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tblpY="1"/>
        <w:tblOverlap w:val="never"/>
        <w:tblW w:w="5000" w:type="pct"/>
        <w:tblLayout w:type="fixed"/>
        <w:tblLook w:val="0000" w:firstRow="0" w:lastRow="0" w:firstColumn="0" w:lastColumn="0" w:noHBand="0" w:noVBand="0"/>
      </w:tblPr>
      <w:tblGrid>
        <w:gridCol w:w="527"/>
        <w:gridCol w:w="1615"/>
        <w:gridCol w:w="1371"/>
        <w:gridCol w:w="9149"/>
        <w:gridCol w:w="1332"/>
      </w:tblGrid>
      <w:tr w:rsidR="00E55BF7" w:rsidRPr="00C411F3" w14:paraId="3EF244D3" w14:textId="77777777" w:rsidTr="651B88E3">
        <w:tc>
          <w:tcPr>
            <w:tcW w:w="188" w:type="pct"/>
            <w:tcBorders>
              <w:top w:val="single" w:sz="4" w:space="0" w:color="000000" w:themeColor="text1"/>
              <w:left w:val="single" w:sz="4" w:space="0" w:color="000000" w:themeColor="text1"/>
              <w:bottom w:val="single" w:sz="4" w:space="0" w:color="000000" w:themeColor="text1"/>
            </w:tcBorders>
          </w:tcPr>
          <w:p w14:paraId="672A6659" w14:textId="77777777" w:rsidR="0013446D" w:rsidRPr="00C411F3" w:rsidRDefault="0013446D" w:rsidP="006A1FEC">
            <w:pPr>
              <w:snapToGrid w:val="0"/>
              <w:spacing w:after="0" w:line="240" w:lineRule="auto"/>
              <w:jc w:val="center"/>
              <w:rPr>
                <w:b/>
                <w:lang w:val="en-GB"/>
              </w:rPr>
            </w:pPr>
          </w:p>
        </w:tc>
        <w:tc>
          <w:tcPr>
            <w:tcW w:w="577"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6230B392" w14:textId="77777777" w:rsidR="0013446D" w:rsidRPr="00C411F3" w:rsidRDefault="0013446D" w:rsidP="006A1FEC">
            <w:pPr>
              <w:snapToGrid w:val="0"/>
              <w:spacing w:after="0" w:line="240" w:lineRule="auto"/>
              <w:jc w:val="center"/>
              <w:rPr>
                <w:b/>
                <w:lang w:val="en-GB"/>
              </w:rPr>
            </w:pPr>
            <w:r w:rsidRPr="00C411F3">
              <w:rPr>
                <w:b/>
                <w:lang w:val="en-GB"/>
              </w:rPr>
              <w:t>ITEM</w:t>
            </w:r>
          </w:p>
        </w:tc>
        <w:tc>
          <w:tcPr>
            <w:tcW w:w="490"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53AB3B65" w14:textId="77777777" w:rsidR="0013446D" w:rsidRPr="00C411F3" w:rsidRDefault="0013446D" w:rsidP="006A1FEC">
            <w:pPr>
              <w:snapToGrid w:val="0"/>
              <w:spacing w:after="0" w:line="240" w:lineRule="auto"/>
              <w:jc w:val="center"/>
              <w:rPr>
                <w:b/>
                <w:lang w:val="en-GB"/>
              </w:rPr>
            </w:pPr>
            <w:r w:rsidRPr="00C411F3">
              <w:rPr>
                <w:b/>
                <w:lang w:val="en-GB"/>
              </w:rPr>
              <w:t>CELL NUMBER(S)</w:t>
            </w:r>
          </w:p>
        </w:tc>
        <w:tc>
          <w:tcPr>
            <w:tcW w:w="3269"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6356D1DE" w14:textId="77777777" w:rsidR="0013446D" w:rsidRPr="00C411F3" w:rsidRDefault="0013446D" w:rsidP="006A1FEC">
            <w:pPr>
              <w:snapToGrid w:val="0"/>
              <w:spacing w:after="0" w:line="240" w:lineRule="auto"/>
              <w:jc w:val="center"/>
              <w:rPr>
                <w:b/>
                <w:lang w:val="en-GB"/>
              </w:rPr>
            </w:pPr>
            <w:r w:rsidRPr="00C411F3">
              <w:rPr>
                <w:b/>
                <w:lang w:val="en-GB"/>
              </w:rPr>
              <w:t>DEFINITION</w:t>
            </w:r>
          </w:p>
        </w:tc>
        <w:tc>
          <w:tcPr>
            <w:tcW w:w="47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628854B" w14:textId="77777777" w:rsidR="0013446D" w:rsidRPr="00C411F3" w:rsidRDefault="0013446D" w:rsidP="006A1FEC">
            <w:pPr>
              <w:snapToGrid w:val="0"/>
              <w:spacing w:after="0" w:line="240" w:lineRule="auto"/>
              <w:jc w:val="center"/>
              <w:rPr>
                <w:b/>
                <w:lang w:val="en-GB"/>
              </w:rPr>
            </w:pPr>
            <w:r w:rsidRPr="00C411F3">
              <w:rPr>
                <w:b/>
                <w:lang w:val="en-GB"/>
              </w:rPr>
              <w:t>EXAMPLE</w:t>
            </w:r>
          </w:p>
        </w:tc>
      </w:tr>
      <w:tr w:rsidR="00034CAA" w:rsidRPr="00C411F3" w14:paraId="63EF8DC7" w14:textId="77777777" w:rsidTr="651B88E3">
        <w:trPr>
          <w:trHeight w:val="581"/>
        </w:trPr>
        <w:tc>
          <w:tcPr>
            <w:tcW w:w="188" w:type="pct"/>
            <w:tcBorders>
              <w:top w:val="single" w:sz="4" w:space="0" w:color="000000" w:themeColor="text1"/>
              <w:left w:val="single" w:sz="4" w:space="0" w:color="000000" w:themeColor="text1"/>
              <w:bottom w:val="single" w:sz="4" w:space="0" w:color="000000" w:themeColor="text1"/>
            </w:tcBorders>
          </w:tcPr>
          <w:p w14:paraId="0A37501D" w14:textId="77777777" w:rsidR="00034CAA" w:rsidRPr="00C411F3" w:rsidRDefault="00034CAA" w:rsidP="00034CAA">
            <w:pPr>
              <w:numPr>
                <w:ilvl w:val="0"/>
                <w:numId w:val="17"/>
              </w:numPr>
              <w:snapToGrid w:val="0"/>
              <w:spacing w:after="0" w:line="240" w:lineRule="auto"/>
              <w:ind w:left="0" w:firstLine="0"/>
              <w:rPr>
                <w:lang w:val="en-GB"/>
              </w:rPr>
            </w:pPr>
          </w:p>
        </w:tc>
        <w:tc>
          <w:tcPr>
            <w:tcW w:w="577" w:type="pct"/>
            <w:tcBorders>
              <w:top w:val="single" w:sz="4" w:space="0" w:color="000000" w:themeColor="text1"/>
              <w:left w:val="single" w:sz="4" w:space="0" w:color="000000" w:themeColor="text1"/>
              <w:bottom w:val="single" w:sz="4" w:space="0" w:color="000000" w:themeColor="text1"/>
            </w:tcBorders>
            <w:shd w:val="clear" w:color="auto" w:fill="auto"/>
          </w:tcPr>
          <w:p w14:paraId="39EC13BE" w14:textId="77777777" w:rsidR="00034CAA" w:rsidRDefault="00034CAA" w:rsidP="00034CAA">
            <w:pPr>
              <w:snapToGrid w:val="0"/>
              <w:spacing w:after="0" w:line="240" w:lineRule="auto"/>
              <w:rPr>
                <w:lang w:val="en-GB"/>
              </w:rPr>
            </w:pPr>
            <w:r>
              <w:rPr>
                <w:lang w:val="en-GB"/>
              </w:rPr>
              <w:t>Purpose</w:t>
            </w:r>
          </w:p>
        </w:tc>
        <w:tc>
          <w:tcPr>
            <w:tcW w:w="490" w:type="pct"/>
            <w:tcBorders>
              <w:top w:val="single" w:sz="4" w:space="0" w:color="000000" w:themeColor="text1"/>
              <w:left w:val="single" w:sz="4" w:space="0" w:color="000000" w:themeColor="text1"/>
              <w:bottom w:val="single" w:sz="4" w:space="0" w:color="000000" w:themeColor="text1"/>
            </w:tcBorders>
            <w:shd w:val="clear" w:color="auto" w:fill="auto"/>
          </w:tcPr>
          <w:p w14:paraId="629D792A" w14:textId="77777777" w:rsidR="00034CAA" w:rsidRDefault="00034CAA" w:rsidP="00034CAA">
            <w:pPr>
              <w:snapToGrid w:val="0"/>
              <w:spacing w:after="0" w:line="240" w:lineRule="auto"/>
              <w:rPr>
                <w:lang w:val="en-GB"/>
              </w:rPr>
            </w:pPr>
            <w:r>
              <w:rPr>
                <w:lang w:val="en-GB"/>
              </w:rPr>
              <w:t>N/A</w:t>
            </w:r>
          </w:p>
        </w:tc>
        <w:tc>
          <w:tcPr>
            <w:tcW w:w="3269" w:type="pct"/>
            <w:tcBorders>
              <w:top w:val="single" w:sz="4" w:space="0" w:color="000000" w:themeColor="text1"/>
              <w:left w:val="single" w:sz="4" w:space="0" w:color="000000" w:themeColor="text1"/>
              <w:bottom w:val="single" w:sz="4" w:space="0" w:color="000000" w:themeColor="text1"/>
            </w:tcBorders>
            <w:shd w:val="clear" w:color="auto" w:fill="auto"/>
          </w:tcPr>
          <w:p w14:paraId="35BCEA8A" w14:textId="77777777" w:rsidR="00034CAA" w:rsidRDefault="00034CAA" w:rsidP="00034CAA">
            <w:pPr>
              <w:snapToGrid w:val="0"/>
              <w:spacing w:after="0" w:line="240" w:lineRule="auto"/>
              <w:rPr>
                <w:lang w:val="en-GB"/>
              </w:rPr>
            </w:pPr>
            <w:r>
              <w:rPr>
                <w:lang w:val="en-GB"/>
              </w:rPr>
              <w:t xml:space="preserve">This </w:t>
            </w:r>
            <w:r w:rsidR="00C25472">
              <w:rPr>
                <w:lang w:val="en-GB"/>
              </w:rPr>
              <w:t>sheet</w:t>
            </w:r>
            <w:r>
              <w:rPr>
                <w:lang w:val="en-GB"/>
              </w:rPr>
              <w:t xml:space="preserve"> provides a statement of the assets, liabilities and excess assets/Basic Own Funds at the current and previous valuation dates. This is done on both SAM and IFRS bases.</w:t>
            </w:r>
          </w:p>
          <w:p w14:paraId="5DAB6C7B" w14:textId="77777777" w:rsidR="00034CAA" w:rsidRDefault="00034CAA" w:rsidP="003A0AFA">
            <w:pPr>
              <w:snapToGrid w:val="0"/>
              <w:spacing w:after="0" w:line="240" w:lineRule="auto"/>
              <w:rPr>
                <w:lang w:val="en-GB"/>
              </w:rPr>
            </w:pPr>
          </w:p>
        </w:tc>
        <w:tc>
          <w:tcPr>
            <w:tcW w:w="47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824FA9" w14:textId="77777777" w:rsidR="00034CAA" w:rsidRDefault="00034CAA" w:rsidP="00034CAA">
            <w:pPr>
              <w:snapToGrid w:val="0"/>
              <w:spacing w:after="0" w:line="240" w:lineRule="auto"/>
              <w:rPr>
                <w:lang w:val="en-GB"/>
              </w:rPr>
            </w:pPr>
            <w:r>
              <w:rPr>
                <w:lang w:val="en-GB"/>
              </w:rPr>
              <w:t>N/A</w:t>
            </w:r>
          </w:p>
        </w:tc>
      </w:tr>
      <w:tr w:rsidR="00034CAA" w:rsidRPr="00C411F3" w14:paraId="0FDA13A8" w14:textId="77777777" w:rsidTr="651B88E3">
        <w:trPr>
          <w:trHeight w:val="677"/>
        </w:trPr>
        <w:tc>
          <w:tcPr>
            <w:tcW w:w="188" w:type="pct"/>
            <w:tcBorders>
              <w:top w:val="single" w:sz="4" w:space="0" w:color="000000" w:themeColor="text1"/>
              <w:left w:val="single" w:sz="4" w:space="0" w:color="000000" w:themeColor="text1"/>
              <w:bottom w:val="single" w:sz="4" w:space="0" w:color="000000" w:themeColor="text1"/>
            </w:tcBorders>
          </w:tcPr>
          <w:p w14:paraId="02EB378F" w14:textId="77777777" w:rsidR="00034CAA" w:rsidRPr="00C411F3" w:rsidRDefault="00034CAA" w:rsidP="00034CAA">
            <w:pPr>
              <w:numPr>
                <w:ilvl w:val="0"/>
                <w:numId w:val="17"/>
              </w:numPr>
              <w:snapToGrid w:val="0"/>
              <w:spacing w:after="0" w:line="240" w:lineRule="auto"/>
              <w:ind w:left="0" w:firstLine="0"/>
              <w:rPr>
                <w:lang w:val="en-GB"/>
              </w:rPr>
            </w:pPr>
          </w:p>
        </w:tc>
        <w:tc>
          <w:tcPr>
            <w:tcW w:w="577" w:type="pct"/>
            <w:tcBorders>
              <w:top w:val="single" w:sz="4" w:space="0" w:color="000000" w:themeColor="text1"/>
              <w:left w:val="single" w:sz="4" w:space="0" w:color="000000" w:themeColor="text1"/>
              <w:bottom w:val="single" w:sz="4" w:space="0" w:color="000000" w:themeColor="text1"/>
            </w:tcBorders>
            <w:shd w:val="clear" w:color="auto" w:fill="auto"/>
          </w:tcPr>
          <w:p w14:paraId="4024C012" w14:textId="77777777" w:rsidR="00034CAA" w:rsidRDefault="00034CAA" w:rsidP="00034CAA">
            <w:pPr>
              <w:snapToGrid w:val="0"/>
              <w:spacing w:after="0" w:line="240" w:lineRule="auto"/>
              <w:rPr>
                <w:lang w:val="en-GB"/>
              </w:rPr>
            </w:pPr>
            <w:r>
              <w:rPr>
                <w:lang w:val="en-GB"/>
              </w:rPr>
              <w:t>Assets</w:t>
            </w:r>
          </w:p>
        </w:tc>
        <w:tc>
          <w:tcPr>
            <w:tcW w:w="490" w:type="pct"/>
            <w:tcBorders>
              <w:top w:val="single" w:sz="4" w:space="0" w:color="000000" w:themeColor="text1"/>
              <w:left w:val="single" w:sz="4" w:space="0" w:color="000000" w:themeColor="text1"/>
              <w:bottom w:val="single" w:sz="4" w:space="0" w:color="000000" w:themeColor="text1"/>
            </w:tcBorders>
            <w:shd w:val="clear" w:color="auto" w:fill="auto"/>
          </w:tcPr>
          <w:p w14:paraId="6A6A9E4E" w14:textId="16C0609B" w:rsidR="00034CAA" w:rsidRDefault="2791F29B" w:rsidP="00034CAA">
            <w:pPr>
              <w:snapToGrid w:val="0"/>
              <w:spacing w:after="0" w:line="240" w:lineRule="auto"/>
              <w:rPr>
                <w:lang w:val="en-GB"/>
              </w:rPr>
            </w:pPr>
            <w:r w:rsidRPr="651B88E3">
              <w:rPr>
                <w:lang w:val="en-GB"/>
              </w:rPr>
              <w:t>Rows 1</w:t>
            </w:r>
            <w:r w:rsidR="61427FFF" w:rsidRPr="651B88E3">
              <w:rPr>
                <w:lang w:val="en-GB"/>
              </w:rPr>
              <w:t>7</w:t>
            </w:r>
            <w:r w:rsidRPr="651B88E3">
              <w:rPr>
                <w:lang w:val="en-GB"/>
              </w:rPr>
              <w:t xml:space="preserve"> t</w:t>
            </w:r>
            <w:r w:rsidR="4636047D" w:rsidRPr="651B88E3">
              <w:rPr>
                <w:lang w:val="en-GB"/>
              </w:rPr>
              <w:t>o 3</w:t>
            </w:r>
            <w:r w:rsidR="653C62C6" w:rsidRPr="651B88E3">
              <w:rPr>
                <w:lang w:val="en-GB"/>
              </w:rPr>
              <w:t>8</w:t>
            </w:r>
          </w:p>
        </w:tc>
        <w:tc>
          <w:tcPr>
            <w:tcW w:w="3269" w:type="pct"/>
            <w:tcBorders>
              <w:top w:val="single" w:sz="4" w:space="0" w:color="000000" w:themeColor="text1"/>
              <w:left w:val="single" w:sz="4" w:space="0" w:color="000000" w:themeColor="text1"/>
              <w:bottom w:val="single" w:sz="4" w:space="0" w:color="000000" w:themeColor="text1"/>
            </w:tcBorders>
            <w:shd w:val="clear" w:color="auto" w:fill="auto"/>
          </w:tcPr>
          <w:p w14:paraId="30F40FCD" w14:textId="77777777" w:rsidR="00034CAA" w:rsidRDefault="00034CAA" w:rsidP="00034CAA">
            <w:pPr>
              <w:snapToGrid w:val="0"/>
              <w:spacing w:after="0" w:line="240" w:lineRule="auto"/>
              <w:rPr>
                <w:lang w:val="en-GB"/>
              </w:rPr>
            </w:pPr>
            <w:r>
              <w:rPr>
                <w:lang w:val="en-GB"/>
              </w:rPr>
              <w:t xml:space="preserve">Asset figures need to be captured under SAM and IFRS, unless indicated otherwise through the colour key.  SAM figures will be populated automatically from the asset </w:t>
            </w:r>
            <w:r w:rsidR="00E803D0">
              <w:rPr>
                <w:lang w:val="en-GB"/>
              </w:rPr>
              <w:t>sheets</w:t>
            </w:r>
            <w:r>
              <w:rPr>
                <w:lang w:val="en-GB"/>
              </w:rPr>
              <w:t>, where possible.</w:t>
            </w:r>
          </w:p>
          <w:p w14:paraId="6A05A809" w14:textId="77777777" w:rsidR="006651FF" w:rsidRDefault="006651FF" w:rsidP="00034CAA">
            <w:pPr>
              <w:snapToGrid w:val="0"/>
              <w:spacing w:after="0" w:line="240" w:lineRule="auto"/>
              <w:rPr>
                <w:lang w:val="en-GB"/>
              </w:rPr>
            </w:pPr>
          </w:p>
          <w:p w14:paraId="15ACE8A6" w14:textId="77777777" w:rsidR="00034CAA" w:rsidRDefault="00034CAA" w:rsidP="00034CAA">
            <w:pPr>
              <w:snapToGrid w:val="0"/>
              <w:spacing w:after="0" w:line="240" w:lineRule="auto"/>
              <w:rPr>
                <w:lang w:val="en-GB"/>
              </w:rPr>
            </w:pPr>
            <w:r>
              <w:rPr>
                <w:lang w:val="en-GB"/>
              </w:rPr>
              <w:t xml:space="preserve">The SAM basis refers to a market consistent valuation, as outlined in the </w:t>
            </w:r>
            <w:r w:rsidR="003A0AFA">
              <w:rPr>
                <w:color w:val="984806"/>
                <w:lang w:val="en-GB"/>
              </w:rPr>
              <w:t>FS</w:t>
            </w:r>
            <w:r w:rsidR="006651FF">
              <w:rPr>
                <w:color w:val="984806"/>
                <w:lang w:val="en-GB"/>
              </w:rPr>
              <w:t>M</w:t>
            </w:r>
            <w:r w:rsidR="003A0AFA">
              <w:rPr>
                <w:color w:val="984806"/>
                <w:lang w:val="en-GB"/>
              </w:rPr>
              <w:t xml:space="preserve"> 2.</w:t>
            </w:r>
            <w:r>
              <w:rPr>
                <w:lang w:val="en-GB"/>
              </w:rPr>
              <w:t xml:space="preserve"> </w:t>
            </w:r>
          </w:p>
          <w:p w14:paraId="5A39BBE3" w14:textId="77777777" w:rsidR="00034CAA" w:rsidRDefault="00034CAA" w:rsidP="00034CAA">
            <w:pPr>
              <w:snapToGrid w:val="0"/>
              <w:spacing w:after="0" w:line="240" w:lineRule="auto"/>
              <w:rPr>
                <w:b/>
                <w:lang w:val="en-GB"/>
              </w:rPr>
            </w:pPr>
          </w:p>
          <w:p w14:paraId="38595F23" w14:textId="77777777" w:rsidR="00034CAA" w:rsidRDefault="00034CAA" w:rsidP="00034CAA">
            <w:pPr>
              <w:snapToGrid w:val="0"/>
              <w:spacing w:after="0" w:line="240" w:lineRule="auto"/>
              <w:rPr>
                <w:b/>
                <w:lang w:val="en-GB"/>
              </w:rPr>
            </w:pPr>
            <w:r>
              <w:rPr>
                <w:b/>
                <w:lang w:val="en-GB"/>
              </w:rPr>
              <w:t>Details:</w:t>
            </w:r>
          </w:p>
          <w:p w14:paraId="5440D2FF" w14:textId="082ED1EE" w:rsidR="00034CAA" w:rsidRDefault="2791F29B" w:rsidP="00034CAA">
            <w:pPr>
              <w:numPr>
                <w:ilvl w:val="0"/>
                <w:numId w:val="32"/>
              </w:numPr>
              <w:snapToGrid w:val="0"/>
              <w:spacing w:after="0" w:line="240" w:lineRule="auto"/>
              <w:rPr>
                <w:lang w:val="en-GB"/>
              </w:rPr>
            </w:pPr>
            <w:r w:rsidRPr="651B88E3">
              <w:rPr>
                <w:lang w:val="en-GB"/>
              </w:rPr>
              <w:t>The value of goodwill</w:t>
            </w:r>
            <w:r w:rsidR="653C62C6" w:rsidRPr="651B88E3">
              <w:rPr>
                <w:lang w:val="en-GB"/>
              </w:rPr>
              <w:t xml:space="preserve">, insurance contracts held that are assets and reinsurance contracts held that are assets  </w:t>
            </w:r>
            <w:r w:rsidRPr="651B88E3">
              <w:rPr>
                <w:lang w:val="en-GB"/>
              </w:rPr>
              <w:t xml:space="preserve"> are set at nil under SAM.</w:t>
            </w:r>
          </w:p>
          <w:p w14:paraId="4EA913D9" w14:textId="77777777" w:rsidR="00034CAA" w:rsidRDefault="00034CAA" w:rsidP="00034CAA">
            <w:pPr>
              <w:numPr>
                <w:ilvl w:val="0"/>
                <w:numId w:val="32"/>
              </w:numPr>
              <w:snapToGrid w:val="0"/>
              <w:spacing w:after="0" w:line="240" w:lineRule="auto"/>
              <w:rPr>
                <w:lang w:val="en-GB"/>
              </w:rPr>
            </w:pPr>
            <w:r>
              <w:rPr>
                <w:lang w:val="en-GB"/>
              </w:rPr>
              <w:t xml:space="preserve">Intangible assets may have a value under SAM. </w:t>
            </w:r>
            <w:r>
              <w:t>The IFRS on Intangible assets is considered to be a good proxy if and only if the intangible assets can be recognised and measured at fair value. If a fair value measurement of an intangible asset is not possible, or when its value is only observable on a business combination as per IFRS, such assets should be valued at nil for SAM.</w:t>
            </w:r>
          </w:p>
          <w:p w14:paraId="3612CA54" w14:textId="77777777" w:rsidR="00034CAA" w:rsidRPr="004A4C64" w:rsidRDefault="00034CAA" w:rsidP="00034CAA">
            <w:pPr>
              <w:numPr>
                <w:ilvl w:val="0"/>
                <w:numId w:val="32"/>
              </w:numPr>
              <w:snapToGrid w:val="0"/>
              <w:spacing w:after="0" w:line="240" w:lineRule="auto"/>
              <w:rPr>
                <w:lang w:val="en-GB"/>
              </w:rPr>
            </w:pPr>
            <w:r>
              <w:t xml:space="preserve">Owner occupied property refers to all property that is partially or fully occupied by the </w:t>
            </w:r>
            <w:r w:rsidR="006651FF">
              <w:t>micro</w:t>
            </w:r>
            <w:r>
              <w:t xml:space="preserve">insurer and/or other companies in the </w:t>
            </w:r>
            <w:r w:rsidR="006651FF">
              <w:t>micro</w:t>
            </w:r>
            <w:r>
              <w:t>insurer’s group.</w:t>
            </w:r>
          </w:p>
          <w:p w14:paraId="02B15542" w14:textId="77777777" w:rsidR="005868BE" w:rsidRPr="000F41BA" w:rsidRDefault="005868BE" w:rsidP="00034CAA">
            <w:pPr>
              <w:numPr>
                <w:ilvl w:val="0"/>
                <w:numId w:val="32"/>
              </w:numPr>
              <w:snapToGrid w:val="0"/>
              <w:spacing w:after="0" w:line="240" w:lineRule="auto"/>
              <w:rPr>
                <w:lang w:val="en-GB"/>
              </w:rPr>
            </w:pPr>
            <w:r w:rsidRPr="000F41BA">
              <w:t>Reinsurance recoverables reflect the reinsurance share of Technical Provisions.</w:t>
            </w:r>
          </w:p>
          <w:p w14:paraId="79C8B02B" w14:textId="77777777" w:rsidR="00034CAA" w:rsidRPr="000F41BA" w:rsidRDefault="005868BE" w:rsidP="004A4C64">
            <w:pPr>
              <w:numPr>
                <w:ilvl w:val="0"/>
                <w:numId w:val="32"/>
              </w:numPr>
              <w:snapToGrid w:val="0"/>
              <w:spacing w:after="0" w:line="240" w:lineRule="auto"/>
            </w:pPr>
            <w:r w:rsidRPr="000F41BA">
              <w:t>CGT should be captured as a single positive net amount und</w:t>
            </w:r>
            <w:r w:rsidR="00D172EA" w:rsidRPr="000F41BA">
              <w:t>er either assets or liabilities</w:t>
            </w:r>
            <w:r w:rsidRPr="000F41BA">
              <w:t xml:space="preserve"> should be captured as a single positive net amount under either assets or liabilities.</w:t>
            </w:r>
          </w:p>
          <w:p w14:paraId="599C6A21" w14:textId="77777777" w:rsidR="00034CAA" w:rsidRPr="000F41BA" w:rsidRDefault="00034CAA" w:rsidP="004A4C64">
            <w:pPr>
              <w:numPr>
                <w:ilvl w:val="0"/>
                <w:numId w:val="32"/>
              </w:numPr>
              <w:snapToGrid w:val="0"/>
              <w:spacing w:after="0" w:line="240" w:lineRule="auto"/>
              <w:rPr>
                <w:lang w:val="en-GB"/>
              </w:rPr>
            </w:pPr>
            <w:r w:rsidRPr="000F41BA">
              <w:rPr>
                <w:lang w:val="en-GB"/>
              </w:rPr>
              <w:t>Other assets refer to those assets which should be included in assets under the SAM and/or IFRS bases, but do not fit any of the other descriptions provided.</w:t>
            </w:r>
          </w:p>
          <w:p w14:paraId="41C8F396" w14:textId="77777777" w:rsidR="00034CAA" w:rsidRDefault="00034CAA" w:rsidP="005868BE">
            <w:pPr>
              <w:snapToGrid w:val="0"/>
              <w:spacing w:after="0" w:line="240" w:lineRule="auto"/>
              <w:rPr>
                <w:lang w:val="en-GB"/>
              </w:rPr>
            </w:pPr>
          </w:p>
        </w:tc>
        <w:tc>
          <w:tcPr>
            <w:tcW w:w="47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46AC13" w14:textId="77777777" w:rsidR="00034CAA" w:rsidRDefault="00034CAA" w:rsidP="00034CAA">
            <w:pPr>
              <w:snapToGrid w:val="0"/>
              <w:spacing w:after="0" w:line="240" w:lineRule="auto"/>
              <w:rPr>
                <w:lang w:val="en-GB"/>
              </w:rPr>
            </w:pPr>
            <w:r>
              <w:rPr>
                <w:lang w:val="en-GB"/>
              </w:rPr>
              <w:t>N/A</w:t>
            </w:r>
          </w:p>
        </w:tc>
      </w:tr>
      <w:tr w:rsidR="00034CAA" w:rsidRPr="00C411F3" w14:paraId="1A97F5DC" w14:textId="77777777" w:rsidTr="651B88E3">
        <w:trPr>
          <w:trHeight w:val="869"/>
        </w:trPr>
        <w:tc>
          <w:tcPr>
            <w:tcW w:w="188" w:type="pct"/>
            <w:tcBorders>
              <w:top w:val="single" w:sz="4" w:space="0" w:color="000000" w:themeColor="text1"/>
              <w:left w:val="single" w:sz="4" w:space="0" w:color="000000" w:themeColor="text1"/>
              <w:bottom w:val="single" w:sz="4" w:space="0" w:color="000000" w:themeColor="text1"/>
            </w:tcBorders>
          </w:tcPr>
          <w:p w14:paraId="72A3D3EC" w14:textId="77777777" w:rsidR="00034CAA" w:rsidRPr="00C411F3" w:rsidRDefault="00034CAA" w:rsidP="00034CAA">
            <w:pPr>
              <w:numPr>
                <w:ilvl w:val="0"/>
                <w:numId w:val="17"/>
              </w:numPr>
              <w:snapToGrid w:val="0"/>
              <w:spacing w:after="0" w:line="240" w:lineRule="auto"/>
              <w:ind w:left="0" w:firstLine="0"/>
              <w:rPr>
                <w:lang w:val="en-GB"/>
              </w:rPr>
            </w:pPr>
          </w:p>
        </w:tc>
        <w:tc>
          <w:tcPr>
            <w:tcW w:w="577" w:type="pct"/>
            <w:tcBorders>
              <w:top w:val="single" w:sz="4" w:space="0" w:color="000000" w:themeColor="text1"/>
              <w:left w:val="single" w:sz="4" w:space="0" w:color="000000" w:themeColor="text1"/>
              <w:bottom w:val="single" w:sz="4" w:space="0" w:color="000000" w:themeColor="text1"/>
            </w:tcBorders>
            <w:shd w:val="clear" w:color="auto" w:fill="auto"/>
          </w:tcPr>
          <w:p w14:paraId="5E10B86A" w14:textId="77777777" w:rsidR="00034CAA" w:rsidRDefault="00034CAA" w:rsidP="00034CAA">
            <w:pPr>
              <w:snapToGrid w:val="0"/>
              <w:spacing w:after="0" w:line="240" w:lineRule="auto"/>
              <w:rPr>
                <w:lang w:val="en-GB"/>
              </w:rPr>
            </w:pPr>
            <w:r>
              <w:rPr>
                <w:lang w:val="en-GB"/>
              </w:rPr>
              <w:t>Liabilities</w:t>
            </w:r>
          </w:p>
        </w:tc>
        <w:tc>
          <w:tcPr>
            <w:tcW w:w="490" w:type="pct"/>
            <w:tcBorders>
              <w:top w:val="single" w:sz="4" w:space="0" w:color="000000" w:themeColor="text1"/>
              <w:left w:val="single" w:sz="4" w:space="0" w:color="000000" w:themeColor="text1"/>
              <w:bottom w:val="single" w:sz="4" w:space="0" w:color="000000" w:themeColor="text1"/>
            </w:tcBorders>
            <w:shd w:val="clear" w:color="auto" w:fill="auto"/>
          </w:tcPr>
          <w:p w14:paraId="4A66F8F2" w14:textId="64800AEF" w:rsidR="00034CAA" w:rsidRDefault="2791F29B" w:rsidP="00800F3B">
            <w:pPr>
              <w:snapToGrid w:val="0"/>
              <w:spacing w:after="0" w:line="240" w:lineRule="auto"/>
              <w:rPr>
                <w:lang w:val="en-GB"/>
              </w:rPr>
            </w:pPr>
            <w:r w:rsidRPr="651B88E3">
              <w:rPr>
                <w:lang w:val="en-GB"/>
              </w:rPr>
              <w:t xml:space="preserve">Rows </w:t>
            </w:r>
            <w:r w:rsidR="61427FFF" w:rsidRPr="651B88E3">
              <w:rPr>
                <w:lang w:val="en-GB"/>
              </w:rPr>
              <w:t>4</w:t>
            </w:r>
            <w:r w:rsidR="653C62C6" w:rsidRPr="651B88E3">
              <w:rPr>
                <w:lang w:val="en-GB"/>
              </w:rPr>
              <w:t>5</w:t>
            </w:r>
            <w:r w:rsidRPr="651B88E3">
              <w:rPr>
                <w:lang w:val="en-GB"/>
              </w:rPr>
              <w:t xml:space="preserve"> to </w:t>
            </w:r>
            <w:r w:rsidR="653C62C6" w:rsidRPr="651B88E3">
              <w:rPr>
                <w:lang w:val="en-GB"/>
              </w:rPr>
              <w:t>71</w:t>
            </w:r>
          </w:p>
        </w:tc>
        <w:tc>
          <w:tcPr>
            <w:tcW w:w="3269" w:type="pct"/>
            <w:tcBorders>
              <w:top w:val="single" w:sz="4" w:space="0" w:color="000000" w:themeColor="text1"/>
              <w:left w:val="single" w:sz="4" w:space="0" w:color="000000" w:themeColor="text1"/>
              <w:bottom w:val="single" w:sz="4" w:space="0" w:color="000000" w:themeColor="text1"/>
            </w:tcBorders>
            <w:shd w:val="clear" w:color="auto" w:fill="auto"/>
          </w:tcPr>
          <w:p w14:paraId="02735B32" w14:textId="77777777" w:rsidR="00034CAA" w:rsidRDefault="00034CAA" w:rsidP="00034CAA">
            <w:pPr>
              <w:snapToGrid w:val="0"/>
              <w:spacing w:after="0" w:line="240" w:lineRule="auto"/>
              <w:rPr>
                <w:lang w:val="en-GB"/>
              </w:rPr>
            </w:pPr>
            <w:r>
              <w:rPr>
                <w:lang w:val="en-GB"/>
              </w:rPr>
              <w:t xml:space="preserve">Liability figures need to be captured under SAM and IFRS, unless indicated otherwise through the colour key. SAM figures will be populated automatically from the technical provisions and other liability </w:t>
            </w:r>
            <w:r w:rsidR="00E803D0">
              <w:rPr>
                <w:lang w:val="en-GB"/>
              </w:rPr>
              <w:t>sheets</w:t>
            </w:r>
            <w:r>
              <w:rPr>
                <w:lang w:val="en-GB"/>
              </w:rPr>
              <w:t>, where possible.</w:t>
            </w:r>
          </w:p>
          <w:p w14:paraId="0D0B940D" w14:textId="77777777" w:rsidR="00034CAA" w:rsidRDefault="00034CAA" w:rsidP="00034CAA">
            <w:pPr>
              <w:snapToGrid w:val="0"/>
              <w:spacing w:after="0" w:line="240" w:lineRule="auto"/>
              <w:rPr>
                <w:lang w:val="en-GB"/>
              </w:rPr>
            </w:pPr>
          </w:p>
          <w:p w14:paraId="2B26409D" w14:textId="77777777" w:rsidR="00034CAA" w:rsidRDefault="00034CAA" w:rsidP="00034CAA">
            <w:pPr>
              <w:snapToGrid w:val="0"/>
              <w:spacing w:after="0" w:line="240" w:lineRule="auto"/>
              <w:rPr>
                <w:b/>
                <w:lang w:val="en-GB"/>
              </w:rPr>
            </w:pPr>
            <w:r>
              <w:rPr>
                <w:b/>
                <w:lang w:val="en-GB"/>
              </w:rPr>
              <w:t>Details:</w:t>
            </w:r>
          </w:p>
          <w:p w14:paraId="6BDCA68F" w14:textId="77777777" w:rsidR="00034CAA" w:rsidRDefault="2791F29B" w:rsidP="00034CAA">
            <w:pPr>
              <w:numPr>
                <w:ilvl w:val="0"/>
                <w:numId w:val="32"/>
              </w:numPr>
              <w:snapToGrid w:val="0"/>
              <w:spacing w:after="0" w:line="240" w:lineRule="auto"/>
              <w:rPr>
                <w:lang w:val="en-GB"/>
              </w:rPr>
            </w:pPr>
            <w:r w:rsidRPr="651B88E3">
              <w:rPr>
                <w:lang w:val="en-GB"/>
              </w:rPr>
              <w:t>Gross Technical Provisions on an IFRS basis reflect policyholder liabilities (gross of reinsurance). The SAM figures at the previous valuation date should correspond with the previous return</w:t>
            </w:r>
            <w:r w:rsidR="068F6907" w:rsidRPr="651B88E3">
              <w:rPr>
                <w:lang w:val="en-GB"/>
              </w:rPr>
              <w:t>, unless restated</w:t>
            </w:r>
            <w:r w:rsidRPr="651B88E3">
              <w:rPr>
                <w:lang w:val="en-GB"/>
              </w:rPr>
              <w:t>.</w:t>
            </w:r>
          </w:p>
          <w:p w14:paraId="5F676504" w14:textId="0674056A" w:rsidR="00477157" w:rsidRPr="00477157" w:rsidRDefault="7E92C50F" w:rsidP="651B88E3">
            <w:pPr>
              <w:numPr>
                <w:ilvl w:val="0"/>
                <w:numId w:val="32"/>
              </w:numPr>
              <w:snapToGrid w:val="0"/>
              <w:spacing w:after="0" w:line="240" w:lineRule="auto"/>
              <w:rPr>
                <w:lang w:val="en-GB"/>
              </w:rPr>
            </w:pPr>
            <w:r w:rsidRPr="651B88E3">
              <w:rPr>
                <w:lang w:val="en-GB"/>
              </w:rPr>
              <w:t>The value of PAA</w:t>
            </w:r>
            <w:r w:rsidR="6A0D1C47" w:rsidRPr="651B88E3">
              <w:rPr>
                <w:lang w:val="en-GB"/>
              </w:rPr>
              <w:t xml:space="preserve"> Insurance contacts held that are liabilities, </w:t>
            </w:r>
            <w:r w:rsidRPr="651B88E3">
              <w:rPr>
                <w:lang w:val="en-GB"/>
              </w:rPr>
              <w:t>other insurance contracts held that are liabilities and reinsurance contracts held that are liabilities are set at nil under SAM.</w:t>
            </w:r>
          </w:p>
          <w:p w14:paraId="44414FC1" w14:textId="77777777" w:rsidR="00034CAA" w:rsidRDefault="00034CAA" w:rsidP="00034CAA">
            <w:pPr>
              <w:numPr>
                <w:ilvl w:val="0"/>
                <w:numId w:val="32"/>
              </w:numPr>
              <w:snapToGrid w:val="0"/>
              <w:spacing w:after="0" w:line="240" w:lineRule="auto"/>
              <w:rPr>
                <w:lang w:val="en-GB"/>
              </w:rPr>
            </w:pPr>
            <w:r>
              <w:rPr>
                <w:lang w:val="en-GB"/>
              </w:rPr>
              <w:t>The “Debentures/Mortgages/Linked units/Loan stocks” item refers to items of debt other than those due to the insurer’s holding company/subsidiaries.  It also excludes subordinated liabilities.</w:t>
            </w:r>
          </w:p>
          <w:p w14:paraId="4B2E1957" w14:textId="77777777" w:rsidR="00034CAA" w:rsidRDefault="00034CAA" w:rsidP="00034CAA">
            <w:pPr>
              <w:numPr>
                <w:ilvl w:val="0"/>
                <w:numId w:val="32"/>
              </w:numPr>
              <w:snapToGrid w:val="0"/>
              <w:spacing w:after="0" w:line="240" w:lineRule="auto"/>
              <w:rPr>
                <w:lang w:val="en-GB"/>
              </w:rPr>
            </w:pPr>
            <w:r>
              <w:rPr>
                <w:lang w:val="en-GB"/>
              </w:rPr>
              <w:t xml:space="preserve">Amounts due to holding company or subsidiaries refer to the </w:t>
            </w:r>
            <w:r w:rsidR="0032112B">
              <w:rPr>
                <w:lang w:val="en-GB"/>
              </w:rPr>
              <w:t>micro</w:t>
            </w:r>
            <w:r>
              <w:rPr>
                <w:lang w:val="en-GB"/>
              </w:rPr>
              <w:t xml:space="preserve">insurer’s debts that are due to other companies within the </w:t>
            </w:r>
            <w:r w:rsidR="0032112B">
              <w:rPr>
                <w:lang w:val="en-GB"/>
              </w:rPr>
              <w:t>micro</w:t>
            </w:r>
            <w:r>
              <w:rPr>
                <w:lang w:val="en-GB"/>
              </w:rPr>
              <w:t>insurer’s group.</w:t>
            </w:r>
          </w:p>
          <w:p w14:paraId="39B368DD" w14:textId="77777777" w:rsidR="00034CAA" w:rsidRDefault="00034CAA" w:rsidP="00034CAA">
            <w:pPr>
              <w:numPr>
                <w:ilvl w:val="0"/>
                <w:numId w:val="32"/>
              </w:numPr>
              <w:snapToGrid w:val="0"/>
              <w:spacing w:after="0" w:line="240" w:lineRule="auto"/>
              <w:rPr>
                <w:lang w:val="en-GB"/>
              </w:rPr>
            </w:pPr>
            <w:r>
              <w:rPr>
                <w:lang w:val="en-GB"/>
              </w:rPr>
              <w:t>Payables (trade, not insurance) refer to regular trade payables, i.e. excluding insurance payables.  For example, amounts due to suppliers would be included here but claims due to policyholders or premiums due to reinsurers would be excluded.</w:t>
            </w:r>
          </w:p>
          <w:p w14:paraId="32A0E3C2" w14:textId="77777777" w:rsidR="00034CAA" w:rsidRDefault="003A0AFA" w:rsidP="00034CAA">
            <w:pPr>
              <w:numPr>
                <w:ilvl w:val="0"/>
                <w:numId w:val="32"/>
              </w:numPr>
              <w:snapToGrid w:val="0"/>
              <w:spacing w:after="0" w:line="240" w:lineRule="auto"/>
              <w:rPr>
                <w:lang w:val="en-GB"/>
              </w:rPr>
            </w:pPr>
            <w:r>
              <w:rPr>
                <w:lang w:val="en-GB"/>
              </w:rPr>
              <w:t>Contingent liabilities</w:t>
            </w:r>
          </w:p>
          <w:p w14:paraId="39BD18FE" w14:textId="77777777" w:rsidR="00034CAA" w:rsidRPr="00B635C8" w:rsidRDefault="00034CAA" w:rsidP="00B635C8">
            <w:pPr>
              <w:numPr>
                <w:ilvl w:val="0"/>
                <w:numId w:val="32"/>
              </w:numPr>
              <w:snapToGrid w:val="0"/>
              <w:spacing w:after="0" w:line="240" w:lineRule="auto"/>
              <w:rPr>
                <w:lang w:val="en-GB"/>
              </w:rPr>
            </w:pPr>
            <w:r>
              <w:rPr>
                <w:lang w:val="en-GB"/>
              </w:rPr>
              <w:t xml:space="preserve">Provision for current taxation refers to amounts immediately due to SARS or other relevant revenue </w:t>
            </w:r>
            <w:r w:rsidR="00D172EA">
              <w:rPr>
                <w:lang w:val="en-GB"/>
              </w:rPr>
              <w:t>authorities.</w:t>
            </w:r>
            <w:r w:rsidR="00D172EA" w:rsidRPr="00B635C8">
              <w:rPr>
                <w:lang w:val="en-GB"/>
              </w:rPr>
              <w:t xml:space="preserve"> Deferred</w:t>
            </w:r>
            <w:r w:rsidRPr="00B635C8">
              <w:rPr>
                <w:lang w:val="en-GB"/>
              </w:rPr>
              <w:t xml:space="preserve"> tax liabilities must </w:t>
            </w:r>
            <w:r w:rsidR="0032112B" w:rsidRPr="0088033D">
              <w:rPr>
                <w:lang w:val="en-GB"/>
              </w:rPr>
              <w:t xml:space="preserve">not </w:t>
            </w:r>
            <w:r w:rsidRPr="0088033D">
              <w:rPr>
                <w:lang w:val="en-GB"/>
              </w:rPr>
              <w:t xml:space="preserve">be </w:t>
            </w:r>
            <w:r w:rsidR="0032112B" w:rsidRPr="0088033D">
              <w:rPr>
                <w:lang w:val="en-GB"/>
              </w:rPr>
              <w:t xml:space="preserve">recognised under SAM  but are included under liabilities on an IFRS </w:t>
            </w:r>
            <w:r w:rsidR="00D172EA" w:rsidRPr="0088033D">
              <w:rPr>
                <w:lang w:val="en-GB"/>
              </w:rPr>
              <w:t>basis.</w:t>
            </w:r>
            <w:r w:rsidR="00D172EA">
              <w:rPr>
                <w:lang w:val="en-GB"/>
              </w:rPr>
              <w:t xml:space="preserve"> </w:t>
            </w:r>
            <w:r w:rsidR="00D172EA" w:rsidRPr="00B635C8">
              <w:rPr>
                <w:lang w:val="en-GB"/>
              </w:rPr>
              <w:t>Other</w:t>
            </w:r>
            <w:r w:rsidRPr="00B635C8">
              <w:rPr>
                <w:lang w:val="en-GB"/>
              </w:rPr>
              <w:t xml:space="preserve"> liabilities refer to those liabilities which should be included in liabilities under the SAM and/or IFRS bases, but does not fit any of the other descriptions provided.</w:t>
            </w:r>
          </w:p>
          <w:p w14:paraId="0E27B00A" w14:textId="77777777" w:rsidR="00034CAA" w:rsidRDefault="00034CAA" w:rsidP="00034CAA">
            <w:pPr>
              <w:snapToGrid w:val="0"/>
              <w:spacing w:after="0" w:line="240" w:lineRule="auto"/>
              <w:ind w:left="720"/>
              <w:rPr>
                <w:lang w:val="en-GB"/>
              </w:rPr>
            </w:pPr>
          </w:p>
          <w:p w14:paraId="26350BFD" w14:textId="77777777" w:rsidR="003A0AFA" w:rsidRPr="007C0B15" w:rsidRDefault="003A0AFA" w:rsidP="003A0AFA">
            <w:pPr>
              <w:snapToGrid w:val="0"/>
              <w:spacing w:after="0" w:line="240" w:lineRule="auto"/>
              <w:rPr>
                <w:color w:val="984806"/>
                <w:lang w:val="en-GB"/>
              </w:rPr>
            </w:pPr>
            <w:r w:rsidRPr="007C0B15">
              <w:rPr>
                <w:color w:val="984806"/>
                <w:lang w:val="en-GB"/>
              </w:rPr>
              <w:t xml:space="preserve">[Refer to </w:t>
            </w:r>
            <w:r>
              <w:rPr>
                <w:color w:val="984806"/>
                <w:lang w:val="en-GB"/>
              </w:rPr>
              <w:t>FS</w:t>
            </w:r>
            <w:r w:rsidR="007264B8">
              <w:rPr>
                <w:color w:val="984806"/>
                <w:lang w:val="en-GB"/>
              </w:rPr>
              <w:t>M</w:t>
            </w:r>
            <w:r>
              <w:rPr>
                <w:color w:val="984806"/>
                <w:lang w:val="en-GB"/>
              </w:rPr>
              <w:t xml:space="preserve"> 2]</w:t>
            </w:r>
          </w:p>
          <w:p w14:paraId="60061E4C" w14:textId="77777777" w:rsidR="00034CAA" w:rsidRDefault="00034CAA" w:rsidP="00034CAA">
            <w:pPr>
              <w:snapToGrid w:val="0"/>
              <w:spacing w:after="0" w:line="240" w:lineRule="auto"/>
              <w:rPr>
                <w:lang w:val="en-GB"/>
              </w:rPr>
            </w:pPr>
          </w:p>
        </w:tc>
        <w:tc>
          <w:tcPr>
            <w:tcW w:w="47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59889B" w14:textId="77777777" w:rsidR="00034CAA" w:rsidRDefault="00034CAA" w:rsidP="00034CAA">
            <w:pPr>
              <w:snapToGrid w:val="0"/>
              <w:spacing w:after="0" w:line="240" w:lineRule="auto"/>
              <w:rPr>
                <w:lang w:val="en-GB"/>
              </w:rPr>
            </w:pPr>
            <w:r>
              <w:rPr>
                <w:lang w:val="en-GB"/>
              </w:rPr>
              <w:t>N/A</w:t>
            </w:r>
          </w:p>
        </w:tc>
      </w:tr>
      <w:tr w:rsidR="00034CAA" w14:paraId="5A96F995" w14:textId="77777777" w:rsidTr="651B88E3">
        <w:trPr>
          <w:trHeight w:val="869"/>
        </w:trPr>
        <w:tc>
          <w:tcPr>
            <w:tcW w:w="188" w:type="pct"/>
            <w:tcBorders>
              <w:top w:val="single" w:sz="4" w:space="0" w:color="000000" w:themeColor="text1"/>
              <w:left w:val="single" w:sz="4" w:space="0" w:color="000000" w:themeColor="text1"/>
              <w:bottom w:val="single" w:sz="4" w:space="0" w:color="000000" w:themeColor="text1"/>
            </w:tcBorders>
          </w:tcPr>
          <w:p w14:paraId="44EAFD9C" w14:textId="77777777" w:rsidR="00034CAA" w:rsidRPr="00B24B83" w:rsidRDefault="00034CAA" w:rsidP="00034CAA">
            <w:pPr>
              <w:numPr>
                <w:ilvl w:val="0"/>
                <w:numId w:val="17"/>
              </w:numPr>
              <w:snapToGrid w:val="0"/>
              <w:spacing w:after="0" w:line="240" w:lineRule="auto"/>
              <w:ind w:left="0" w:firstLine="0"/>
              <w:rPr>
                <w:lang w:val="en-GB"/>
              </w:rPr>
            </w:pPr>
          </w:p>
        </w:tc>
        <w:tc>
          <w:tcPr>
            <w:tcW w:w="577" w:type="pct"/>
            <w:tcBorders>
              <w:top w:val="single" w:sz="4" w:space="0" w:color="000000" w:themeColor="text1"/>
              <w:left w:val="single" w:sz="4" w:space="0" w:color="000000" w:themeColor="text1"/>
              <w:bottom w:val="single" w:sz="4" w:space="0" w:color="000000" w:themeColor="text1"/>
            </w:tcBorders>
            <w:shd w:val="clear" w:color="auto" w:fill="auto"/>
          </w:tcPr>
          <w:p w14:paraId="14DEF52E" w14:textId="77777777" w:rsidR="00034CAA" w:rsidRDefault="00034CAA" w:rsidP="00034CAA">
            <w:pPr>
              <w:snapToGrid w:val="0"/>
              <w:spacing w:after="0" w:line="240" w:lineRule="auto"/>
              <w:rPr>
                <w:lang w:val="en-GB"/>
              </w:rPr>
            </w:pPr>
            <w:r>
              <w:rPr>
                <w:lang w:val="en-GB"/>
              </w:rPr>
              <w:t>Basic Own Funds</w:t>
            </w:r>
          </w:p>
        </w:tc>
        <w:tc>
          <w:tcPr>
            <w:tcW w:w="490" w:type="pct"/>
            <w:tcBorders>
              <w:top w:val="single" w:sz="4" w:space="0" w:color="000000" w:themeColor="text1"/>
              <w:left w:val="single" w:sz="4" w:space="0" w:color="000000" w:themeColor="text1"/>
              <w:bottom w:val="single" w:sz="4" w:space="0" w:color="000000" w:themeColor="text1"/>
            </w:tcBorders>
            <w:shd w:val="clear" w:color="auto" w:fill="auto"/>
          </w:tcPr>
          <w:p w14:paraId="477C424F" w14:textId="042F642D" w:rsidR="00034CAA" w:rsidRDefault="2791F29B" w:rsidP="007D2FA8">
            <w:pPr>
              <w:snapToGrid w:val="0"/>
              <w:spacing w:after="0" w:line="240" w:lineRule="auto"/>
              <w:rPr>
                <w:lang w:val="en-GB"/>
              </w:rPr>
            </w:pPr>
            <w:r w:rsidRPr="651B88E3">
              <w:rPr>
                <w:lang w:val="en-GB"/>
              </w:rPr>
              <w:t xml:space="preserve">Rows </w:t>
            </w:r>
            <w:r w:rsidR="653C62C6" w:rsidRPr="651B88E3">
              <w:rPr>
                <w:lang w:val="en-GB"/>
              </w:rPr>
              <w:t>80</w:t>
            </w:r>
            <w:r w:rsidRPr="651B88E3">
              <w:rPr>
                <w:lang w:val="en-GB"/>
              </w:rPr>
              <w:t xml:space="preserve"> to </w:t>
            </w:r>
            <w:r w:rsidR="63161C87" w:rsidRPr="651B88E3">
              <w:rPr>
                <w:lang w:val="en-GB"/>
              </w:rPr>
              <w:t>1</w:t>
            </w:r>
            <w:r w:rsidR="653C62C6" w:rsidRPr="651B88E3">
              <w:rPr>
                <w:lang w:val="en-GB"/>
              </w:rPr>
              <w:t>10</w:t>
            </w:r>
          </w:p>
        </w:tc>
        <w:tc>
          <w:tcPr>
            <w:tcW w:w="3269" w:type="pct"/>
            <w:tcBorders>
              <w:top w:val="single" w:sz="4" w:space="0" w:color="000000" w:themeColor="text1"/>
              <w:left w:val="single" w:sz="4" w:space="0" w:color="000000" w:themeColor="text1"/>
              <w:bottom w:val="single" w:sz="4" w:space="0" w:color="000000" w:themeColor="text1"/>
            </w:tcBorders>
            <w:shd w:val="clear" w:color="auto" w:fill="auto"/>
          </w:tcPr>
          <w:p w14:paraId="3BE7037C" w14:textId="0949B605" w:rsidR="00034CAA" w:rsidRDefault="2791F29B" w:rsidP="00034CAA">
            <w:pPr>
              <w:snapToGrid w:val="0"/>
              <w:spacing w:after="0" w:line="240" w:lineRule="auto"/>
              <w:rPr>
                <w:lang w:val="en-GB"/>
              </w:rPr>
            </w:pPr>
            <w:r w:rsidRPr="651B88E3">
              <w:rPr>
                <w:lang w:val="en-GB"/>
              </w:rPr>
              <w:t xml:space="preserve">The components of the Basic Own Funds/Excess Assets need to be captured on both SAM and IFRS bases. Excess assets over liabilities (row </w:t>
            </w:r>
            <w:r w:rsidR="653C62C6" w:rsidRPr="651B88E3">
              <w:rPr>
                <w:lang w:val="en-GB"/>
              </w:rPr>
              <w:t>73</w:t>
            </w:r>
            <w:r w:rsidRPr="651B88E3">
              <w:rPr>
                <w:lang w:val="en-GB"/>
              </w:rPr>
              <w:t xml:space="preserve">) must equal the total basic own funds </w:t>
            </w:r>
            <w:r w:rsidR="0AC163DF" w:rsidRPr="651B88E3">
              <w:rPr>
                <w:lang w:val="en-GB"/>
              </w:rPr>
              <w:t xml:space="preserve">after </w:t>
            </w:r>
            <w:r w:rsidR="0151F5ED" w:rsidRPr="651B88E3">
              <w:rPr>
                <w:lang w:val="en-GB"/>
              </w:rPr>
              <w:t>eligibility</w:t>
            </w:r>
            <w:r w:rsidR="0AC163DF" w:rsidRPr="651B88E3">
              <w:rPr>
                <w:lang w:val="en-GB"/>
              </w:rPr>
              <w:t xml:space="preserve"> assessment </w:t>
            </w:r>
            <w:r w:rsidRPr="651B88E3">
              <w:rPr>
                <w:lang w:val="en-GB"/>
              </w:rPr>
              <w:t xml:space="preserve">(row </w:t>
            </w:r>
            <w:r w:rsidR="0AC163DF" w:rsidRPr="651B88E3">
              <w:rPr>
                <w:lang w:val="en-GB"/>
              </w:rPr>
              <w:t>1</w:t>
            </w:r>
            <w:r w:rsidR="653C62C6" w:rsidRPr="651B88E3">
              <w:rPr>
                <w:lang w:val="en-GB"/>
              </w:rPr>
              <w:t>1</w:t>
            </w:r>
            <w:r w:rsidR="63CCF25C" w:rsidRPr="651B88E3">
              <w:rPr>
                <w:lang w:val="en-GB"/>
              </w:rPr>
              <w:t>0</w:t>
            </w:r>
            <w:r w:rsidRPr="651B88E3">
              <w:rPr>
                <w:lang w:val="en-GB"/>
              </w:rPr>
              <w:t>).</w:t>
            </w:r>
          </w:p>
          <w:p w14:paraId="4B94D5A5" w14:textId="77777777" w:rsidR="00034CAA" w:rsidRDefault="00034CAA" w:rsidP="00034CAA">
            <w:pPr>
              <w:snapToGrid w:val="0"/>
              <w:spacing w:after="0" w:line="240" w:lineRule="auto"/>
              <w:rPr>
                <w:lang w:val="en-GB"/>
              </w:rPr>
            </w:pPr>
          </w:p>
          <w:p w14:paraId="031489C4" w14:textId="77777777" w:rsidR="00034CAA" w:rsidRDefault="00034CAA" w:rsidP="00034CAA">
            <w:pPr>
              <w:snapToGrid w:val="0"/>
              <w:spacing w:after="0" w:line="240" w:lineRule="auto"/>
              <w:rPr>
                <w:b/>
                <w:lang w:val="en-GB"/>
              </w:rPr>
            </w:pPr>
            <w:r>
              <w:rPr>
                <w:b/>
                <w:lang w:val="en-GB"/>
              </w:rPr>
              <w:t>Details:</w:t>
            </w:r>
          </w:p>
          <w:p w14:paraId="70151C0E" w14:textId="77777777" w:rsidR="00034CAA" w:rsidRDefault="00034CAA" w:rsidP="00034CAA">
            <w:pPr>
              <w:numPr>
                <w:ilvl w:val="0"/>
                <w:numId w:val="33"/>
              </w:numPr>
              <w:spacing w:after="0"/>
              <w:rPr>
                <w:lang w:val="en-GB"/>
              </w:rPr>
            </w:pPr>
            <w:r>
              <w:rPr>
                <w:lang w:val="en-GB"/>
              </w:rPr>
              <w:t xml:space="preserve">The general definitions under IFRS hold for each of the items required under the IFRS columns and will not be discussed further here. </w:t>
            </w:r>
          </w:p>
          <w:p w14:paraId="642611D8" w14:textId="77777777" w:rsidR="00034CAA" w:rsidRDefault="00034CAA" w:rsidP="00034CAA">
            <w:pPr>
              <w:numPr>
                <w:ilvl w:val="0"/>
                <w:numId w:val="33"/>
              </w:numPr>
              <w:spacing w:after="0"/>
              <w:rPr>
                <w:lang w:val="en-GB"/>
              </w:rPr>
            </w:pPr>
            <w:r>
              <w:rPr>
                <w:lang w:val="en-GB"/>
              </w:rPr>
              <w:t>Ordinary share capital refers to any shares that are not preferred shares and do not have any predetermined dividend amounts.</w:t>
            </w:r>
          </w:p>
          <w:p w14:paraId="456154EB" w14:textId="77777777" w:rsidR="00034CAA" w:rsidRDefault="00034CAA" w:rsidP="00034CAA">
            <w:pPr>
              <w:numPr>
                <w:ilvl w:val="0"/>
                <w:numId w:val="33"/>
              </w:numPr>
              <w:spacing w:after="0"/>
              <w:rPr>
                <w:lang w:val="en-GB"/>
              </w:rPr>
            </w:pPr>
            <w:r>
              <w:rPr>
                <w:iCs/>
                <w:lang w:val="en-US"/>
              </w:rPr>
              <w:t xml:space="preserve">The initial fund, members' contributions or the equivalent basic own-funds item for mutual and mutual-type </w:t>
            </w:r>
            <w:r w:rsidR="00ED3E41">
              <w:rPr>
                <w:iCs/>
                <w:lang w:val="en-US"/>
              </w:rPr>
              <w:t>micro</w:t>
            </w:r>
            <w:r>
              <w:rPr>
                <w:iCs/>
                <w:lang w:val="en-US"/>
              </w:rPr>
              <w:t>insurers less any items of the same type held by the</w:t>
            </w:r>
            <w:r w:rsidR="00D6350F">
              <w:rPr>
                <w:iCs/>
                <w:lang w:val="en-US"/>
              </w:rPr>
              <w:t xml:space="preserve"> </w:t>
            </w:r>
            <w:r w:rsidR="00ED3E41">
              <w:rPr>
                <w:iCs/>
                <w:lang w:val="en-US"/>
              </w:rPr>
              <w:t>micro</w:t>
            </w:r>
            <w:r>
              <w:rPr>
                <w:iCs/>
                <w:lang w:val="en-US"/>
              </w:rPr>
              <w:t>insurer.</w:t>
            </w:r>
          </w:p>
          <w:p w14:paraId="5FC01504" w14:textId="77777777" w:rsidR="00034CAA" w:rsidRDefault="00034CAA" w:rsidP="00034CAA">
            <w:pPr>
              <w:numPr>
                <w:ilvl w:val="0"/>
                <w:numId w:val="33"/>
              </w:numPr>
              <w:spacing w:after="0"/>
              <w:rPr>
                <w:lang w:val="en-GB"/>
              </w:rPr>
            </w:pPr>
            <w:r>
              <w:rPr>
                <w:lang w:val="en-GB"/>
              </w:rPr>
              <w:t>The share premium account is the account to which the amount of money paid (or promised to be paid) by a shareholder for a share is credited to, only if the shareholder paid more than the cost of the share.</w:t>
            </w:r>
          </w:p>
          <w:p w14:paraId="2CDFD9F6" w14:textId="77777777" w:rsidR="00034CAA" w:rsidRDefault="00034CAA" w:rsidP="00034CAA">
            <w:pPr>
              <w:numPr>
                <w:ilvl w:val="0"/>
                <w:numId w:val="33"/>
              </w:numPr>
              <w:spacing w:after="0"/>
              <w:rPr>
                <w:lang w:val="en-GB"/>
              </w:rPr>
            </w:pPr>
            <w:r>
              <w:rPr>
                <w:lang w:val="en-GB"/>
              </w:rPr>
              <w:t>Other reserve</w:t>
            </w:r>
            <w:r w:rsidR="00496CF6">
              <w:rPr>
                <w:lang w:val="en-GB"/>
              </w:rPr>
              <w:t>s from accounting balance sheet</w:t>
            </w:r>
          </w:p>
          <w:p w14:paraId="37788F68" w14:textId="77777777" w:rsidR="00034CAA" w:rsidRDefault="00034CAA" w:rsidP="00034CAA">
            <w:pPr>
              <w:numPr>
                <w:ilvl w:val="0"/>
                <w:numId w:val="33"/>
              </w:numPr>
              <w:snapToGrid w:val="0"/>
              <w:spacing w:after="0" w:line="240" w:lineRule="auto"/>
              <w:rPr>
                <w:iCs/>
                <w:lang w:val="en-US"/>
              </w:rPr>
            </w:pPr>
            <w:r>
              <w:rPr>
                <w:iCs/>
                <w:lang w:val="en-US"/>
              </w:rPr>
              <w:t>The reconciliation reserve ensures that the value of all individual basic own fund items reconcile to the total of excess of assets over liabilities and subordinated liabilities.</w:t>
            </w:r>
          </w:p>
          <w:p w14:paraId="0A3A97C4" w14:textId="77777777" w:rsidR="00034CAA" w:rsidRDefault="00034CAA" w:rsidP="00034CAA">
            <w:pPr>
              <w:numPr>
                <w:ilvl w:val="1"/>
                <w:numId w:val="33"/>
              </w:numPr>
              <w:snapToGrid w:val="0"/>
              <w:spacing w:after="0" w:line="240" w:lineRule="auto"/>
              <w:rPr>
                <w:lang w:val="en-GB"/>
              </w:rPr>
            </w:pPr>
            <w:r>
              <w:rPr>
                <w:lang w:val="en-GB"/>
              </w:rPr>
              <w:t xml:space="preserve"> “Adjustments to assets” is automatically calculated and it refers to the difference between the value of total assets under SAM and IFRS.</w:t>
            </w:r>
          </w:p>
          <w:p w14:paraId="7DDF69C6" w14:textId="77777777" w:rsidR="00034CAA" w:rsidRDefault="00034CAA" w:rsidP="00034CAA">
            <w:pPr>
              <w:numPr>
                <w:ilvl w:val="1"/>
                <w:numId w:val="33"/>
              </w:numPr>
              <w:snapToGrid w:val="0"/>
              <w:spacing w:after="0" w:line="240" w:lineRule="auto"/>
              <w:rPr>
                <w:lang w:val="en-GB"/>
              </w:rPr>
            </w:pPr>
            <w:r>
              <w:rPr>
                <w:lang w:val="en-GB"/>
              </w:rPr>
              <w:t>“Adjustments to technical provisions” represents an amount that is necessary to ensure that the difference in valuing technical provisions on an IFRS and SAM is accounted for.</w:t>
            </w:r>
          </w:p>
          <w:p w14:paraId="164B4EAC" w14:textId="77777777" w:rsidR="00034CAA" w:rsidRDefault="00ED3E41" w:rsidP="00034CAA">
            <w:pPr>
              <w:numPr>
                <w:ilvl w:val="1"/>
                <w:numId w:val="33"/>
              </w:numPr>
              <w:snapToGrid w:val="0"/>
              <w:spacing w:after="0" w:line="240" w:lineRule="auto"/>
              <w:rPr>
                <w:lang w:val="en-GB"/>
              </w:rPr>
            </w:pPr>
            <w:r w:rsidDel="00ED3E41">
              <w:rPr>
                <w:iCs/>
                <w:lang w:val="en-US"/>
              </w:rPr>
              <w:t xml:space="preserve"> </w:t>
            </w:r>
            <w:r w:rsidR="00034CAA">
              <w:rPr>
                <w:iCs/>
                <w:lang w:val="en-US"/>
              </w:rPr>
              <w:t xml:space="preserve">“Adjustments to other liabilities” </w:t>
            </w:r>
            <w:r w:rsidR="00034CAA">
              <w:rPr>
                <w:lang w:val="en-GB"/>
              </w:rPr>
              <w:t>represents an amount that is necessary to ensure that the difference in valuing other liabilities under SAM and IFRS is accounted for.</w:t>
            </w:r>
          </w:p>
          <w:p w14:paraId="562C4A57" w14:textId="77777777" w:rsidR="00034CAA" w:rsidRDefault="00034CAA" w:rsidP="00034CAA">
            <w:pPr>
              <w:numPr>
                <w:ilvl w:val="1"/>
                <w:numId w:val="33"/>
              </w:numPr>
              <w:snapToGrid w:val="0"/>
              <w:spacing w:after="0" w:line="240" w:lineRule="auto"/>
              <w:rPr>
                <w:lang w:val="en-GB"/>
              </w:rPr>
            </w:pPr>
            <w:r>
              <w:rPr>
                <w:lang w:val="en-GB"/>
              </w:rPr>
              <w:t>“Other” refers to all other valuation differences that have not been accounted for in the rest of the reconciliation reserve.</w:t>
            </w:r>
          </w:p>
          <w:p w14:paraId="11A9FD75" w14:textId="77777777" w:rsidR="00034CAA" w:rsidRDefault="00034CAA" w:rsidP="00034CAA">
            <w:pPr>
              <w:numPr>
                <w:ilvl w:val="0"/>
                <w:numId w:val="33"/>
              </w:numPr>
              <w:snapToGrid w:val="0"/>
              <w:spacing w:after="0" w:line="240" w:lineRule="auto"/>
              <w:rPr>
                <w:lang w:val="en-GB"/>
              </w:rPr>
            </w:pPr>
            <w:r>
              <w:rPr>
                <w:lang w:val="en-GB"/>
              </w:rPr>
              <w:t>Preference shares are generally those shares with dividends that are paid to shareholders before dividends are paid out to the holders of ordinary share capital.</w:t>
            </w:r>
          </w:p>
          <w:p w14:paraId="2D888EE2" w14:textId="77777777" w:rsidR="00034CAA" w:rsidRDefault="00034CAA" w:rsidP="00034CAA">
            <w:pPr>
              <w:numPr>
                <w:ilvl w:val="0"/>
                <w:numId w:val="33"/>
              </w:numPr>
              <w:snapToGrid w:val="0"/>
              <w:spacing w:after="0" w:line="240" w:lineRule="auto"/>
              <w:rPr>
                <w:lang w:val="en-GB"/>
              </w:rPr>
            </w:pPr>
            <w:r>
              <w:rPr>
                <w:lang w:val="en-GB"/>
              </w:rPr>
              <w:t xml:space="preserve">Subordinated liabilities are those liabilities that would rank behind policyholder liabilities in a wind up situation and are consequently not included under liabilities on a SAM basis. Subordinated mutual member accounts are defined similarly. </w:t>
            </w:r>
          </w:p>
          <w:p w14:paraId="79714254" w14:textId="77777777" w:rsidR="00034CAA" w:rsidRDefault="00034CAA" w:rsidP="00034CAA">
            <w:pPr>
              <w:numPr>
                <w:ilvl w:val="0"/>
                <w:numId w:val="33"/>
              </w:numPr>
              <w:rPr>
                <w:lang w:val="en-GB"/>
              </w:rPr>
            </w:pPr>
            <w:r>
              <w:rPr>
                <w:lang w:val="en-GB"/>
              </w:rPr>
              <w:t>Other items refer to those Basic Own Fund items which should be included in Basic Own Funds under the SAM and/or IFRS bases, but do not fit any of the other descriptions provided.</w:t>
            </w:r>
          </w:p>
          <w:p w14:paraId="3DEEC669" w14:textId="5602F39B" w:rsidR="00034CAA" w:rsidRDefault="2791F29B" w:rsidP="651B88E3">
            <w:pPr>
              <w:snapToGrid w:val="0"/>
              <w:spacing w:after="0" w:line="240" w:lineRule="auto"/>
              <w:rPr>
                <w:color w:val="984806"/>
                <w:lang w:val="en-GB"/>
              </w:rPr>
            </w:pPr>
            <w:r w:rsidRPr="651B88E3">
              <w:rPr>
                <w:color w:val="984806"/>
                <w:lang w:val="en-GB"/>
              </w:rPr>
              <w:t>[</w:t>
            </w:r>
            <w:r w:rsidR="1E9C18C4" w:rsidRPr="651B88E3">
              <w:rPr>
                <w:color w:val="984806"/>
                <w:lang w:val="en-GB"/>
              </w:rPr>
              <w:t>Refer to FS</w:t>
            </w:r>
            <w:r w:rsidR="0AC163DF" w:rsidRPr="651B88E3">
              <w:rPr>
                <w:color w:val="984806"/>
                <w:lang w:val="en-GB"/>
              </w:rPr>
              <w:t>M</w:t>
            </w:r>
            <w:r w:rsidR="1E9C18C4" w:rsidRPr="651B88E3">
              <w:rPr>
                <w:color w:val="984806"/>
                <w:lang w:val="en-GB"/>
              </w:rPr>
              <w:t xml:space="preserve"> 2</w:t>
            </w:r>
            <w:r w:rsidRPr="651B88E3">
              <w:rPr>
                <w:color w:val="984806"/>
                <w:lang w:val="en-GB"/>
              </w:rPr>
              <w:t>]</w:t>
            </w:r>
          </w:p>
        </w:tc>
        <w:tc>
          <w:tcPr>
            <w:tcW w:w="47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F5090EE" w14:textId="77777777" w:rsidR="00034CAA" w:rsidRDefault="00034CAA" w:rsidP="00034CAA">
            <w:pPr>
              <w:snapToGrid w:val="0"/>
              <w:spacing w:after="0" w:line="240" w:lineRule="auto"/>
              <w:rPr>
                <w:lang w:val="en-GB"/>
              </w:rPr>
            </w:pPr>
            <w:r>
              <w:rPr>
                <w:lang w:val="en-GB"/>
              </w:rPr>
              <w:t>N/A</w:t>
            </w:r>
          </w:p>
        </w:tc>
      </w:tr>
    </w:tbl>
    <w:p w14:paraId="3656B9AB" w14:textId="77777777" w:rsidR="00706773" w:rsidRPr="00C411F3" w:rsidRDefault="00706773" w:rsidP="00593FB7"/>
    <w:sectPr w:rsidR="00706773" w:rsidRPr="00C411F3">
      <w:headerReference w:type="default" r:id="rId10"/>
      <w:footerReference w:type="default" r:id="rId11"/>
      <w:pgSz w:w="16838" w:h="11906" w:orient="landscape"/>
      <w:pgMar w:top="1417" w:right="1417" w:bottom="1417" w:left="1417" w:header="7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486C05" w14:textId="77777777" w:rsidR="001A3F57" w:rsidRDefault="001A3F57">
      <w:pPr>
        <w:spacing w:after="0" w:line="240" w:lineRule="auto"/>
      </w:pPr>
      <w:r>
        <w:separator/>
      </w:r>
    </w:p>
  </w:endnote>
  <w:endnote w:type="continuationSeparator" w:id="0">
    <w:p w14:paraId="4101652C" w14:textId="77777777" w:rsidR="001A3F57" w:rsidRDefault="001A3F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4D92A9" w14:textId="77777777" w:rsidR="00ED7449" w:rsidRDefault="00ED7449" w:rsidP="0013446D">
    <w:pPr>
      <w:pStyle w:val="Footer"/>
      <w:pBdr>
        <w:top w:val="single" w:sz="4" w:space="1" w:color="D9D9D9"/>
      </w:pBdr>
      <w:jc w:val="right"/>
    </w:pPr>
    <w:r>
      <w:fldChar w:fldCharType="begin"/>
    </w:r>
    <w:r>
      <w:instrText xml:space="preserve"> PAGE   \* MERGEFORMAT </w:instrText>
    </w:r>
    <w:r>
      <w:fldChar w:fldCharType="separate"/>
    </w:r>
    <w:r w:rsidR="00CF7399">
      <w:rPr>
        <w:noProof/>
      </w:rPr>
      <w:t>3</w:t>
    </w:r>
    <w:r>
      <w:rPr>
        <w:noProof/>
      </w:rPr>
      <w:fldChar w:fldCharType="end"/>
    </w:r>
    <w:r>
      <w:t xml:space="preserve"> | </w:t>
    </w:r>
    <w:r w:rsidRPr="0013446D">
      <w:rPr>
        <w:color w:val="808080"/>
        <w:spacing w:val="60"/>
      </w:rPr>
      <w:t>Page</w:t>
    </w:r>
  </w:p>
  <w:p w14:paraId="53128261" w14:textId="77777777" w:rsidR="00ED7449" w:rsidRDefault="00ED74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FB0818" w14:textId="77777777" w:rsidR="001A3F57" w:rsidRDefault="001A3F57">
      <w:pPr>
        <w:spacing w:after="0" w:line="240" w:lineRule="auto"/>
      </w:pPr>
      <w:r>
        <w:separator/>
      </w:r>
    </w:p>
  </w:footnote>
  <w:footnote w:type="continuationSeparator" w:id="0">
    <w:p w14:paraId="049F31CB" w14:textId="77777777" w:rsidR="001A3F57" w:rsidRDefault="001A3F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666C8" w14:textId="77777777" w:rsidR="00ED7449" w:rsidRDefault="00034CAA">
    <w:pPr>
      <w:pStyle w:val="Header"/>
    </w:pPr>
    <w:r>
      <w:t>OF2</w:t>
    </w:r>
    <w:r w:rsidR="00ED7449">
      <w:t xml:space="preserve"> </w:t>
    </w:r>
    <w:r w:rsidR="00ED7449" w:rsidRPr="00FF205F">
      <w:t>Log file</w:t>
    </w:r>
    <w:r w:rsidR="00ED7449">
      <w:tab/>
    </w:r>
    <w:r w:rsidR="00ED7449">
      <w:tab/>
    </w:r>
    <w:r w:rsidR="00ED7449">
      <w:tab/>
    </w:r>
    <w:r w:rsidR="00ED7449">
      <w:tab/>
    </w:r>
    <w:r w:rsidR="00ED7449">
      <w:tab/>
    </w:r>
    <w:r w:rsidR="00ED7449">
      <w:tab/>
    </w:r>
    <w:r w:rsidR="00ED7449">
      <w:tab/>
    </w:r>
    <w:r w:rsidR="00ED744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D0B447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cs="Times New Roman"/>
      </w:rPr>
    </w:lvl>
  </w:abstractNum>
  <w:abstractNum w:abstractNumId="2"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rPr>
    </w:lvl>
  </w:abstractNum>
  <w:abstractNum w:abstractNumId="3"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00000005"/>
    <w:multiLevelType w:val="multilevel"/>
    <w:tmpl w:val="A53C76A6"/>
    <w:lvl w:ilvl="0">
      <w:numFmt w:val="bullet"/>
      <w:lvlText w:val="-"/>
      <w:lvlJc w:val="left"/>
      <w:pPr>
        <w:tabs>
          <w:tab w:val="num" w:pos="432"/>
        </w:tabs>
        <w:ind w:left="432" w:hanging="432"/>
      </w:pPr>
      <w:rPr>
        <w:rFonts w:ascii="Calibri" w:hAnsi="Calibri" w:cs="Times New Roman"/>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01501BA7"/>
    <w:multiLevelType w:val="hybridMultilevel"/>
    <w:tmpl w:val="2C121F4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2B842B0A"/>
    <w:multiLevelType w:val="hybridMultilevel"/>
    <w:tmpl w:val="B38A51E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7" w15:restartNumberingAfterBreak="0">
    <w:nsid w:val="2F917D73"/>
    <w:multiLevelType w:val="hybridMultilevel"/>
    <w:tmpl w:val="03DA27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343D3EB0"/>
    <w:multiLevelType w:val="hybridMultilevel"/>
    <w:tmpl w:val="4E8E374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346A04F5"/>
    <w:multiLevelType w:val="hybridMultilevel"/>
    <w:tmpl w:val="A3D24DB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38607B67"/>
    <w:multiLevelType w:val="hybridMultilevel"/>
    <w:tmpl w:val="CD8AC6C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3D510390"/>
    <w:multiLevelType w:val="hybridMultilevel"/>
    <w:tmpl w:val="9D9615D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425323A2"/>
    <w:multiLevelType w:val="hybridMultilevel"/>
    <w:tmpl w:val="8EA83D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44227D9D"/>
    <w:multiLevelType w:val="hybridMultilevel"/>
    <w:tmpl w:val="91DC239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4" w15:restartNumberingAfterBreak="0">
    <w:nsid w:val="503E22D1"/>
    <w:multiLevelType w:val="hybridMultilevel"/>
    <w:tmpl w:val="B9EE5A3E"/>
    <w:lvl w:ilvl="0" w:tplc="594AC19A">
      <w:start w:val="1"/>
      <w:numFmt w:val="decimal"/>
      <w:lvlText w:val="%1."/>
      <w:lvlJc w:val="right"/>
      <w:pPr>
        <w:ind w:left="1581" w:hanging="1411"/>
      </w:pPr>
      <w:rPr>
        <w:rFonts w:hint="default"/>
      </w:rPr>
    </w:lvl>
    <w:lvl w:ilvl="1" w:tplc="1C090019" w:tentative="1">
      <w:start w:val="1"/>
      <w:numFmt w:val="lowerLetter"/>
      <w:lvlText w:val="%2."/>
      <w:lvlJc w:val="left"/>
      <w:pPr>
        <w:ind w:left="1383" w:hanging="360"/>
      </w:pPr>
    </w:lvl>
    <w:lvl w:ilvl="2" w:tplc="1C09001B" w:tentative="1">
      <w:start w:val="1"/>
      <w:numFmt w:val="lowerRoman"/>
      <w:lvlText w:val="%3."/>
      <w:lvlJc w:val="right"/>
      <w:pPr>
        <w:ind w:left="2103" w:hanging="180"/>
      </w:pPr>
    </w:lvl>
    <w:lvl w:ilvl="3" w:tplc="1C09000F" w:tentative="1">
      <w:start w:val="1"/>
      <w:numFmt w:val="decimal"/>
      <w:lvlText w:val="%4."/>
      <w:lvlJc w:val="left"/>
      <w:pPr>
        <w:ind w:left="2823" w:hanging="360"/>
      </w:pPr>
    </w:lvl>
    <w:lvl w:ilvl="4" w:tplc="1C090019" w:tentative="1">
      <w:start w:val="1"/>
      <w:numFmt w:val="lowerLetter"/>
      <w:lvlText w:val="%5."/>
      <w:lvlJc w:val="left"/>
      <w:pPr>
        <w:ind w:left="3543" w:hanging="360"/>
      </w:pPr>
    </w:lvl>
    <w:lvl w:ilvl="5" w:tplc="1C09001B" w:tentative="1">
      <w:start w:val="1"/>
      <w:numFmt w:val="lowerRoman"/>
      <w:lvlText w:val="%6."/>
      <w:lvlJc w:val="right"/>
      <w:pPr>
        <w:ind w:left="4263" w:hanging="180"/>
      </w:pPr>
    </w:lvl>
    <w:lvl w:ilvl="6" w:tplc="1C09000F" w:tentative="1">
      <w:start w:val="1"/>
      <w:numFmt w:val="decimal"/>
      <w:lvlText w:val="%7."/>
      <w:lvlJc w:val="left"/>
      <w:pPr>
        <w:ind w:left="4983" w:hanging="360"/>
      </w:pPr>
    </w:lvl>
    <w:lvl w:ilvl="7" w:tplc="1C090019" w:tentative="1">
      <w:start w:val="1"/>
      <w:numFmt w:val="lowerLetter"/>
      <w:lvlText w:val="%8."/>
      <w:lvlJc w:val="left"/>
      <w:pPr>
        <w:ind w:left="5703" w:hanging="360"/>
      </w:pPr>
    </w:lvl>
    <w:lvl w:ilvl="8" w:tplc="1C09001B" w:tentative="1">
      <w:start w:val="1"/>
      <w:numFmt w:val="lowerRoman"/>
      <w:lvlText w:val="%9."/>
      <w:lvlJc w:val="right"/>
      <w:pPr>
        <w:ind w:left="6423" w:hanging="180"/>
      </w:pPr>
    </w:lvl>
  </w:abstractNum>
  <w:abstractNum w:abstractNumId="15" w15:restartNumberingAfterBreak="0">
    <w:nsid w:val="526705D0"/>
    <w:multiLevelType w:val="hybridMultilevel"/>
    <w:tmpl w:val="7BCCD686"/>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6" w15:restartNumberingAfterBreak="0">
    <w:nsid w:val="5784334B"/>
    <w:multiLevelType w:val="hybridMultilevel"/>
    <w:tmpl w:val="204C44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5A8E4751"/>
    <w:multiLevelType w:val="hybridMultilevel"/>
    <w:tmpl w:val="9EEC65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5D124052"/>
    <w:multiLevelType w:val="hybridMultilevel"/>
    <w:tmpl w:val="CE6C9E2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9" w15:restartNumberingAfterBreak="0">
    <w:nsid w:val="5DA433E5"/>
    <w:multiLevelType w:val="hybridMultilevel"/>
    <w:tmpl w:val="4F6E9524"/>
    <w:lvl w:ilvl="0" w:tplc="75CEC398">
      <w:start w:val="1"/>
      <w:numFmt w:val="decimal"/>
      <w:suff w:val="nothing"/>
      <w:lvlText w:val="%1."/>
      <w:lvlJc w:val="left"/>
      <w:pPr>
        <w:ind w:left="815" w:hanging="673"/>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6291325A"/>
    <w:multiLevelType w:val="hybridMultilevel"/>
    <w:tmpl w:val="E1726C1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645D07B9"/>
    <w:multiLevelType w:val="hybridMultilevel"/>
    <w:tmpl w:val="AC56FD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723523AB"/>
    <w:multiLevelType w:val="hybridMultilevel"/>
    <w:tmpl w:val="21F2AFA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23" w15:restartNumberingAfterBreak="0">
    <w:nsid w:val="72591CA9"/>
    <w:multiLevelType w:val="multilevel"/>
    <w:tmpl w:val="68806FBC"/>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24" w15:restartNumberingAfterBreak="0">
    <w:nsid w:val="78065314"/>
    <w:multiLevelType w:val="hybridMultilevel"/>
    <w:tmpl w:val="EAEABC6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7D3D5227"/>
    <w:multiLevelType w:val="hybridMultilevel"/>
    <w:tmpl w:val="0410141C"/>
    <w:lvl w:ilvl="0" w:tplc="6AEECB42">
      <w:numFmt w:val="bullet"/>
      <w:lvlText w:val="-"/>
      <w:lvlJc w:val="left"/>
      <w:pPr>
        <w:ind w:left="360" w:hanging="360"/>
      </w:pPr>
      <w:rPr>
        <w:rFonts w:ascii="Calibri" w:eastAsia="Calibri" w:hAnsi="Calibri" w:cs="Calibri"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6" w15:restartNumberingAfterBreak="0">
    <w:nsid w:val="7EA66F9D"/>
    <w:multiLevelType w:val="hybridMultilevel"/>
    <w:tmpl w:val="0F8CD54E"/>
    <w:lvl w:ilvl="0" w:tplc="96F23B6C">
      <w:numFmt w:val="bullet"/>
      <w:lvlText w:val="-"/>
      <w:lvlJc w:val="left"/>
      <w:pPr>
        <w:ind w:left="720" w:hanging="360"/>
      </w:pPr>
      <w:rPr>
        <w:rFonts w:ascii="Calibri" w:eastAsia="Calibr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num w:numId="1" w16cid:durableId="115685626">
    <w:abstractNumId w:val="1"/>
  </w:num>
  <w:num w:numId="2" w16cid:durableId="391663285">
    <w:abstractNumId w:val="2"/>
  </w:num>
  <w:num w:numId="3" w16cid:durableId="1067532696">
    <w:abstractNumId w:val="3"/>
  </w:num>
  <w:num w:numId="4" w16cid:durableId="650448978">
    <w:abstractNumId w:val="25"/>
  </w:num>
  <w:num w:numId="5" w16cid:durableId="1582645355">
    <w:abstractNumId w:val="23"/>
  </w:num>
  <w:num w:numId="6" w16cid:durableId="236323773">
    <w:abstractNumId w:val="21"/>
  </w:num>
  <w:num w:numId="7" w16cid:durableId="509025541">
    <w:abstractNumId w:val="17"/>
  </w:num>
  <w:num w:numId="8" w16cid:durableId="191698964">
    <w:abstractNumId w:val="5"/>
  </w:num>
  <w:num w:numId="9" w16cid:durableId="1953249084">
    <w:abstractNumId w:val="12"/>
  </w:num>
  <w:num w:numId="10" w16cid:durableId="761342086">
    <w:abstractNumId w:val="11"/>
  </w:num>
  <w:num w:numId="11" w16cid:durableId="1618565617">
    <w:abstractNumId w:val="8"/>
  </w:num>
  <w:num w:numId="12" w16cid:durableId="865409970">
    <w:abstractNumId w:val="23"/>
  </w:num>
  <w:num w:numId="13" w16cid:durableId="1071271127">
    <w:abstractNumId w:val="23"/>
  </w:num>
  <w:num w:numId="14" w16cid:durableId="557085912">
    <w:abstractNumId w:val="23"/>
  </w:num>
  <w:num w:numId="15" w16cid:durableId="1689213560">
    <w:abstractNumId w:val="23"/>
  </w:num>
  <w:num w:numId="16" w16cid:durableId="2144107895">
    <w:abstractNumId w:val="23"/>
  </w:num>
  <w:num w:numId="17" w16cid:durableId="394007442">
    <w:abstractNumId w:val="19"/>
  </w:num>
  <w:num w:numId="18" w16cid:durableId="1972904065">
    <w:abstractNumId w:val="10"/>
  </w:num>
  <w:num w:numId="19" w16cid:durableId="873881469">
    <w:abstractNumId w:val="14"/>
  </w:num>
  <w:num w:numId="20" w16cid:durableId="464323323">
    <w:abstractNumId w:val="1"/>
  </w:num>
  <w:num w:numId="21" w16cid:durableId="27290420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09494993">
    <w:abstractNumId w:val="20"/>
  </w:num>
  <w:num w:numId="23" w16cid:durableId="1709528094">
    <w:abstractNumId w:val="25"/>
  </w:num>
  <w:num w:numId="24" w16cid:durableId="1296062828">
    <w:abstractNumId w:val="24"/>
  </w:num>
  <w:num w:numId="25" w16cid:durableId="1545172992">
    <w:abstractNumId w:val="26"/>
  </w:num>
  <w:num w:numId="26" w16cid:durableId="1467310538">
    <w:abstractNumId w:val="15"/>
  </w:num>
  <w:num w:numId="27" w16cid:durableId="1379819487">
    <w:abstractNumId w:val="16"/>
  </w:num>
  <w:num w:numId="28" w16cid:durableId="688877103">
    <w:abstractNumId w:val="9"/>
  </w:num>
  <w:num w:numId="29" w16cid:durableId="1604339310">
    <w:abstractNumId w:val="7"/>
  </w:num>
  <w:num w:numId="30" w16cid:durableId="700787200">
    <w:abstractNumId w:val="13"/>
  </w:num>
  <w:num w:numId="31" w16cid:durableId="1873223456">
    <w:abstractNumId w:val="6"/>
  </w:num>
  <w:num w:numId="32" w16cid:durableId="950354302">
    <w:abstractNumId w:val="18"/>
  </w:num>
  <w:num w:numId="33" w16cid:durableId="1190333842">
    <w:abstractNumId w:val="22"/>
  </w:num>
  <w:num w:numId="34" w16cid:durableId="15240562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0F4"/>
    <w:rsid w:val="00006F3F"/>
    <w:rsid w:val="000072E5"/>
    <w:rsid w:val="00007D07"/>
    <w:rsid w:val="000147EB"/>
    <w:rsid w:val="00017C5E"/>
    <w:rsid w:val="00021120"/>
    <w:rsid w:val="00021CF4"/>
    <w:rsid w:val="000221CC"/>
    <w:rsid w:val="0002583E"/>
    <w:rsid w:val="00034CAA"/>
    <w:rsid w:val="0004274C"/>
    <w:rsid w:val="000461BF"/>
    <w:rsid w:val="00057FB2"/>
    <w:rsid w:val="00065C51"/>
    <w:rsid w:val="00070207"/>
    <w:rsid w:val="00070CD3"/>
    <w:rsid w:val="00071BD9"/>
    <w:rsid w:val="00075EF7"/>
    <w:rsid w:val="00083300"/>
    <w:rsid w:val="00084644"/>
    <w:rsid w:val="00086C80"/>
    <w:rsid w:val="000A261A"/>
    <w:rsid w:val="000A759D"/>
    <w:rsid w:val="000B301D"/>
    <w:rsid w:val="000B33B1"/>
    <w:rsid w:val="000B38F2"/>
    <w:rsid w:val="000C605A"/>
    <w:rsid w:val="000D0BD2"/>
    <w:rsid w:val="000D5902"/>
    <w:rsid w:val="000D5D07"/>
    <w:rsid w:val="000E43F2"/>
    <w:rsid w:val="000E4AA8"/>
    <w:rsid w:val="000F3CCB"/>
    <w:rsid w:val="000F41BA"/>
    <w:rsid w:val="000F41ED"/>
    <w:rsid w:val="000F46E2"/>
    <w:rsid w:val="00101C54"/>
    <w:rsid w:val="00104ABE"/>
    <w:rsid w:val="00105120"/>
    <w:rsid w:val="00105F1B"/>
    <w:rsid w:val="001067E9"/>
    <w:rsid w:val="0011326F"/>
    <w:rsid w:val="001154D9"/>
    <w:rsid w:val="001207A2"/>
    <w:rsid w:val="00121535"/>
    <w:rsid w:val="0012728D"/>
    <w:rsid w:val="0012777E"/>
    <w:rsid w:val="00131630"/>
    <w:rsid w:val="0013446D"/>
    <w:rsid w:val="00134D13"/>
    <w:rsid w:val="001354C1"/>
    <w:rsid w:val="001365EC"/>
    <w:rsid w:val="001417DD"/>
    <w:rsid w:val="00145A96"/>
    <w:rsid w:val="00153F16"/>
    <w:rsid w:val="00157DE1"/>
    <w:rsid w:val="0017463A"/>
    <w:rsid w:val="00177F20"/>
    <w:rsid w:val="001811C8"/>
    <w:rsid w:val="00182036"/>
    <w:rsid w:val="00182B54"/>
    <w:rsid w:val="0019295E"/>
    <w:rsid w:val="00192FA5"/>
    <w:rsid w:val="0019605F"/>
    <w:rsid w:val="001A1D9C"/>
    <w:rsid w:val="001A3F57"/>
    <w:rsid w:val="001A592B"/>
    <w:rsid w:val="001C22D6"/>
    <w:rsid w:val="001C4A8E"/>
    <w:rsid w:val="001C720B"/>
    <w:rsid w:val="001D5344"/>
    <w:rsid w:val="001E3B61"/>
    <w:rsid w:val="001E4087"/>
    <w:rsid w:val="001F253C"/>
    <w:rsid w:val="00202442"/>
    <w:rsid w:val="002120CF"/>
    <w:rsid w:val="00212F35"/>
    <w:rsid w:val="00213011"/>
    <w:rsid w:val="00214150"/>
    <w:rsid w:val="00216BA0"/>
    <w:rsid w:val="00226020"/>
    <w:rsid w:val="00226919"/>
    <w:rsid w:val="00227AD3"/>
    <w:rsid w:val="00230A25"/>
    <w:rsid w:val="00230DAF"/>
    <w:rsid w:val="00233373"/>
    <w:rsid w:val="00235BCC"/>
    <w:rsid w:val="00237931"/>
    <w:rsid w:val="0024331B"/>
    <w:rsid w:val="00243B15"/>
    <w:rsid w:val="00251097"/>
    <w:rsid w:val="002519AC"/>
    <w:rsid w:val="0025358E"/>
    <w:rsid w:val="002709F3"/>
    <w:rsid w:val="00273C9D"/>
    <w:rsid w:val="00274AE1"/>
    <w:rsid w:val="00283B58"/>
    <w:rsid w:val="002853CA"/>
    <w:rsid w:val="0028796B"/>
    <w:rsid w:val="00290FDC"/>
    <w:rsid w:val="0029431F"/>
    <w:rsid w:val="002A2095"/>
    <w:rsid w:val="002B0A75"/>
    <w:rsid w:val="002B7342"/>
    <w:rsid w:val="002B751D"/>
    <w:rsid w:val="002B7A5C"/>
    <w:rsid w:val="002C1024"/>
    <w:rsid w:val="002C477A"/>
    <w:rsid w:val="002D0A65"/>
    <w:rsid w:val="002D3253"/>
    <w:rsid w:val="002E3A72"/>
    <w:rsid w:val="002E6DB3"/>
    <w:rsid w:val="002F1FA2"/>
    <w:rsid w:val="002F5ED7"/>
    <w:rsid w:val="00302365"/>
    <w:rsid w:val="00303512"/>
    <w:rsid w:val="00312D26"/>
    <w:rsid w:val="00314548"/>
    <w:rsid w:val="00314A70"/>
    <w:rsid w:val="00316E4E"/>
    <w:rsid w:val="00317A39"/>
    <w:rsid w:val="0032112B"/>
    <w:rsid w:val="00321362"/>
    <w:rsid w:val="00322AA2"/>
    <w:rsid w:val="003318E8"/>
    <w:rsid w:val="0033657F"/>
    <w:rsid w:val="0034265A"/>
    <w:rsid w:val="00346E43"/>
    <w:rsid w:val="00350E3D"/>
    <w:rsid w:val="00353628"/>
    <w:rsid w:val="00356C02"/>
    <w:rsid w:val="00360376"/>
    <w:rsid w:val="0037643B"/>
    <w:rsid w:val="00392518"/>
    <w:rsid w:val="003A0AFA"/>
    <w:rsid w:val="003A3015"/>
    <w:rsid w:val="003A3D13"/>
    <w:rsid w:val="003B0F57"/>
    <w:rsid w:val="003B3C38"/>
    <w:rsid w:val="003C5C8C"/>
    <w:rsid w:val="003D3B19"/>
    <w:rsid w:val="003E2073"/>
    <w:rsid w:val="003E44E4"/>
    <w:rsid w:val="003E7D64"/>
    <w:rsid w:val="003F3D88"/>
    <w:rsid w:val="003F3F5D"/>
    <w:rsid w:val="003F5A18"/>
    <w:rsid w:val="003F6DFC"/>
    <w:rsid w:val="0040404B"/>
    <w:rsid w:val="00406242"/>
    <w:rsid w:val="004103B2"/>
    <w:rsid w:val="00412B20"/>
    <w:rsid w:val="00413EAB"/>
    <w:rsid w:val="00416419"/>
    <w:rsid w:val="00420722"/>
    <w:rsid w:val="004215F4"/>
    <w:rsid w:val="00423ADF"/>
    <w:rsid w:val="00431864"/>
    <w:rsid w:val="00433AD2"/>
    <w:rsid w:val="004344E0"/>
    <w:rsid w:val="004453AC"/>
    <w:rsid w:val="004456EF"/>
    <w:rsid w:val="00446AF8"/>
    <w:rsid w:val="00447A06"/>
    <w:rsid w:val="00450960"/>
    <w:rsid w:val="00451039"/>
    <w:rsid w:val="00451F83"/>
    <w:rsid w:val="004555FE"/>
    <w:rsid w:val="00456BD7"/>
    <w:rsid w:val="00460A45"/>
    <w:rsid w:val="00463555"/>
    <w:rsid w:val="00467925"/>
    <w:rsid w:val="0047116B"/>
    <w:rsid w:val="004747B3"/>
    <w:rsid w:val="00476BC9"/>
    <w:rsid w:val="00477157"/>
    <w:rsid w:val="00483C19"/>
    <w:rsid w:val="00485E15"/>
    <w:rsid w:val="00486E97"/>
    <w:rsid w:val="004900D3"/>
    <w:rsid w:val="004908F2"/>
    <w:rsid w:val="00491E38"/>
    <w:rsid w:val="00492F39"/>
    <w:rsid w:val="00496CF6"/>
    <w:rsid w:val="00497FDB"/>
    <w:rsid w:val="004A0E4A"/>
    <w:rsid w:val="004A26C6"/>
    <w:rsid w:val="004A4C64"/>
    <w:rsid w:val="004A650C"/>
    <w:rsid w:val="004B04AA"/>
    <w:rsid w:val="004B0736"/>
    <w:rsid w:val="004B1020"/>
    <w:rsid w:val="004B105A"/>
    <w:rsid w:val="004B2068"/>
    <w:rsid w:val="004B4EE2"/>
    <w:rsid w:val="004C1C33"/>
    <w:rsid w:val="004D046C"/>
    <w:rsid w:val="004D10AF"/>
    <w:rsid w:val="004D3422"/>
    <w:rsid w:val="004D763F"/>
    <w:rsid w:val="004E36F5"/>
    <w:rsid w:val="004F58A0"/>
    <w:rsid w:val="00507D2B"/>
    <w:rsid w:val="0051235B"/>
    <w:rsid w:val="005126FC"/>
    <w:rsid w:val="00532B2C"/>
    <w:rsid w:val="00535A20"/>
    <w:rsid w:val="00546D0D"/>
    <w:rsid w:val="005479DE"/>
    <w:rsid w:val="00552F89"/>
    <w:rsid w:val="00562FD4"/>
    <w:rsid w:val="005633F9"/>
    <w:rsid w:val="005640F4"/>
    <w:rsid w:val="00564DF8"/>
    <w:rsid w:val="005713F4"/>
    <w:rsid w:val="00573805"/>
    <w:rsid w:val="005761F9"/>
    <w:rsid w:val="00586100"/>
    <w:rsid w:val="0058674B"/>
    <w:rsid w:val="005868BE"/>
    <w:rsid w:val="00593FB7"/>
    <w:rsid w:val="00594F99"/>
    <w:rsid w:val="005A117F"/>
    <w:rsid w:val="005A642B"/>
    <w:rsid w:val="005B3EDD"/>
    <w:rsid w:val="005B4329"/>
    <w:rsid w:val="005B4AC4"/>
    <w:rsid w:val="005C5B3D"/>
    <w:rsid w:val="005D31EF"/>
    <w:rsid w:val="005D46D6"/>
    <w:rsid w:val="005E3893"/>
    <w:rsid w:val="005F6A90"/>
    <w:rsid w:val="00600AFA"/>
    <w:rsid w:val="006031BC"/>
    <w:rsid w:val="00603940"/>
    <w:rsid w:val="00605911"/>
    <w:rsid w:val="00607A59"/>
    <w:rsid w:val="0061025B"/>
    <w:rsid w:val="00613E4D"/>
    <w:rsid w:val="0062197C"/>
    <w:rsid w:val="00624D37"/>
    <w:rsid w:val="00625F14"/>
    <w:rsid w:val="00626704"/>
    <w:rsid w:val="006276D2"/>
    <w:rsid w:val="0063149C"/>
    <w:rsid w:val="00632739"/>
    <w:rsid w:val="00637AC8"/>
    <w:rsid w:val="00647F32"/>
    <w:rsid w:val="006520C2"/>
    <w:rsid w:val="006651FF"/>
    <w:rsid w:val="00672530"/>
    <w:rsid w:val="006749C6"/>
    <w:rsid w:val="006776EB"/>
    <w:rsid w:val="006817FE"/>
    <w:rsid w:val="006818CF"/>
    <w:rsid w:val="00686DFC"/>
    <w:rsid w:val="00687AFC"/>
    <w:rsid w:val="00692FC1"/>
    <w:rsid w:val="00693A4B"/>
    <w:rsid w:val="006A1FEC"/>
    <w:rsid w:val="006A796C"/>
    <w:rsid w:val="006B743B"/>
    <w:rsid w:val="006C343B"/>
    <w:rsid w:val="006C5BA4"/>
    <w:rsid w:val="006D2B10"/>
    <w:rsid w:val="006D6688"/>
    <w:rsid w:val="006E307F"/>
    <w:rsid w:val="006E79DC"/>
    <w:rsid w:val="006F2681"/>
    <w:rsid w:val="006F2B7A"/>
    <w:rsid w:val="006F30D8"/>
    <w:rsid w:val="006F330A"/>
    <w:rsid w:val="006F4F9D"/>
    <w:rsid w:val="006F77D1"/>
    <w:rsid w:val="00706773"/>
    <w:rsid w:val="0071693D"/>
    <w:rsid w:val="00716C63"/>
    <w:rsid w:val="007176E2"/>
    <w:rsid w:val="00720014"/>
    <w:rsid w:val="0072306F"/>
    <w:rsid w:val="00723E61"/>
    <w:rsid w:val="007264B8"/>
    <w:rsid w:val="00743AA2"/>
    <w:rsid w:val="007454AE"/>
    <w:rsid w:val="00750CBF"/>
    <w:rsid w:val="007549BF"/>
    <w:rsid w:val="007630BF"/>
    <w:rsid w:val="00773C97"/>
    <w:rsid w:val="00775509"/>
    <w:rsid w:val="00794207"/>
    <w:rsid w:val="00796F18"/>
    <w:rsid w:val="007A43D6"/>
    <w:rsid w:val="007B0004"/>
    <w:rsid w:val="007B5D22"/>
    <w:rsid w:val="007C0B15"/>
    <w:rsid w:val="007D1725"/>
    <w:rsid w:val="007D25AA"/>
    <w:rsid w:val="007D2FA8"/>
    <w:rsid w:val="007D685B"/>
    <w:rsid w:val="007D6DB1"/>
    <w:rsid w:val="007E3C09"/>
    <w:rsid w:val="007E4DE3"/>
    <w:rsid w:val="007E72DF"/>
    <w:rsid w:val="007E73ED"/>
    <w:rsid w:val="007F4C0A"/>
    <w:rsid w:val="00800F3B"/>
    <w:rsid w:val="00801350"/>
    <w:rsid w:val="00811D96"/>
    <w:rsid w:val="00811FDE"/>
    <w:rsid w:val="00812E6E"/>
    <w:rsid w:val="008130F1"/>
    <w:rsid w:val="00813103"/>
    <w:rsid w:val="00813B65"/>
    <w:rsid w:val="00822A51"/>
    <w:rsid w:val="0084627D"/>
    <w:rsid w:val="00854B06"/>
    <w:rsid w:val="008603A9"/>
    <w:rsid w:val="00862A12"/>
    <w:rsid w:val="008679D3"/>
    <w:rsid w:val="008735DE"/>
    <w:rsid w:val="00875738"/>
    <w:rsid w:val="0088033D"/>
    <w:rsid w:val="00880708"/>
    <w:rsid w:val="00882D6B"/>
    <w:rsid w:val="00894322"/>
    <w:rsid w:val="00896BA5"/>
    <w:rsid w:val="008A39CB"/>
    <w:rsid w:val="008A5D3E"/>
    <w:rsid w:val="008B031E"/>
    <w:rsid w:val="008B2A28"/>
    <w:rsid w:val="008C457F"/>
    <w:rsid w:val="008C47A8"/>
    <w:rsid w:val="008C5655"/>
    <w:rsid w:val="008C7071"/>
    <w:rsid w:val="008D7A5D"/>
    <w:rsid w:val="008E6D49"/>
    <w:rsid w:val="008E7505"/>
    <w:rsid w:val="008F2C58"/>
    <w:rsid w:val="008F53CF"/>
    <w:rsid w:val="008F74E8"/>
    <w:rsid w:val="00903AAA"/>
    <w:rsid w:val="00913B73"/>
    <w:rsid w:val="009240DC"/>
    <w:rsid w:val="009267C8"/>
    <w:rsid w:val="00930574"/>
    <w:rsid w:val="00930A8D"/>
    <w:rsid w:val="00933770"/>
    <w:rsid w:val="00937E7A"/>
    <w:rsid w:val="009404C8"/>
    <w:rsid w:val="009442C5"/>
    <w:rsid w:val="00944E73"/>
    <w:rsid w:val="00950E54"/>
    <w:rsid w:val="00954F7C"/>
    <w:rsid w:val="00965D92"/>
    <w:rsid w:val="00970AEB"/>
    <w:rsid w:val="009726F0"/>
    <w:rsid w:val="0097338A"/>
    <w:rsid w:val="00986CA8"/>
    <w:rsid w:val="00996DFF"/>
    <w:rsid w:val="009A0ED0"/>
    <w:rsid w:val="009A4CA2"/>
    <w:rsid w:val="009B100E"/>
    <w:rsid w:val="009B1A08"/>
    <w:rsid w:val="009B3F28"/>
    <w:rsid w:val="009B42DD"/>
    <w:rsid w:val="009B4D2F"/>
    <w:rsid w:val="009B6B6E"/>
    <w:rsid w:val="009C2092"/>
    <w:rsid w:val="009C496F"/>
    <w:rsid w:val="009C678A"/>
    <w:rsid w:val="009D1649"/>
    <w:rsid w:val="009D2A8B"/>
    <w:rsid w:val="009D3CAA"/>
    <w:rsid w:val="009E43D1"/>
    <w:rsid w:val="009E465B"/>
    <w:rsid w:val="009E6CFD"/>
    <w:rsid w:val="009F1C56"/>
    <w:rsid w:val="009F2DD4"/>
    <w:rsid w:val="009F36B9"/>
    <w:rsid w:val="009F4729"/>
    <w:rsid w:val="009F4ACB"/>
    <w:rsid w:val="00A00278"/>
    <w:rsid w:val="00A013D6"/>
    <w:rsid w:val="00A110F4"/>
    <w:rsid w:val="00A20454"/>
    <w:rsid w:val="00A20518"/>
    <w:rsid w:val="00A25A66"/>
    <w:rsid w:val="00A25E18"/>
    <w:rsid w:val="00A327B5"/>
    <w:rsid w:val="00A35C97"/>
    <w:rsid w:val="00A42D42"/>
    <w:rsid w:val="00A43782"/>
    <w:rsid w:val="00A46593"/>
    <w:rsid w:val="00A53CFB"/>
    <w:rsid w:val="00A57E13"/>
    <w:rsid w:val="00A64870"/>
    <w:rsid w:val="00A64FF8"/>
    <w:rsid w:val="00A7218B"/>
    <w:rsid w:val="00A721CA"/>
    <w:rsid w:val="00A814BE"/>
    <w:rsid w:val="00A91560"/>
    <w:rsid w:val="00A92B8F"/>
    <w:rsid w:val="00A9306B"/>
    <w:rsid w:val="00A94022"/>
    <w:rsid w:val="00A9615E"/>
    <w:rsid w:val="00AA0293"/>
    <w:rsid w:val="00AA085A"/>
    <w:rsid w:val="00AA123F"/>
    <w:rsid w:val="00AA77D6"/>
    <w:rsid w:val="00AB14B7"/>
    <w:rsid w:val="00AB33BF"/>
    <w:rsid w:val="00AB3758"/>
    <w:rsid w:val="00AB40EE"/>
    <w:rsid w:val="00AC2CE1"/>
    <w:rsid w:val="00AC3774"/>
    <w:rsid w:val="00AC57E6"/>
    <w:rsid w:val="00AD1BB0"/>
    <w:rsid w:val="00AD2F0E"/>
    <w:rsid w:val="00AE4C3D"/>
    <w:rsid w:val="00AE7F18"/>
    <w:rsid w:val="00B059F5"/>
    <w:rsid w:val="00B1781C"/>
    <w:rsid w:val="00B17E30"/>
    <w:rsid w:val="00B204BE"/>
    <w:rsid w:val="00B227E1"/>
    <w:rsid w:val="00B249FB"/>
    <w:rsid w:val="00B24B83"/>
    <w:rsid w:val="00B30E8C"/>
    <w:rsid w:val="00B30F85"/>
    <w:rsid w:val="00B33B36"/>
    <w:rsid w:val="00B37600"/>
    <w:rsid w:val="00B41CA5"/>
    <w:rsid w:val="00B50F49"/>
    <w:rsid w:val="00B566C3"/>
    <w:rsid w:val="00B605F9"/>
    <w:rsid w:val="00B622BA"/>
    <w:rsid w:val="00B635C8"/>
    <w:rsid w:val="00B71119"/>
    <w:rsid w:val="00B77FEB"/>
    <w:rsid w:val="00B82460"/>
    <w:rsid w:val="00B82B20"/>
    <w:rsid w:val="00B878B2"/>
    <w:rsid w:val="00B87FDC"/>
    <w:rsid w:val="00B93190"/>
    <w:rsid w:val="00B97CB9"/>
    <w:rsid w:val="00BA23F2"/>
    <w:rsid w:val="00BA3066"/>
    <w:rsid w:val="00BA7124"/>
    <w:rsid w:val="00BB1074"/>
    <w:rsid w:val="00BB55E1"/>
    <w:rsid w:val="00BC0213"/>
    <w:rsid w:val="00BC2AE1"/>
    <w:rsid w:val="00BC30E9"/>
    <w:rsid w:val="00BC61E7"/>
    <w:rsid w:val="00BD186F"/>
    <w:rsid w:val="00BD7757"/>
    <w:rsid w:val="00BE38BD"/>
    <w:rsid w:val="00BF23BD"/>
    <w:rsid w:val="00BF5EB5"/>
    <w:rsid w:val="00C009BD"/>
    <w:rsid w:val="00C14635"/>
    <w:rsid w:val="00C17312"/>
    <w:rsid w:val="00C177BC"/>
    <w:rsid w:val="00C253DD"/>
    <w:rsid w:val="00C25472"/>
    <w:rsid w:val="00C271D0"/>
    <w:rsid w:val="00C3039B"/>
    <w:rsid w:val="00C31BC0"/>
    <w:rsid w:val="00C35D35"/>
    <w:rsid w:val="00C40008"/>
    <w:rsid w:val="00C40E24"/>
    <w:rsid w:val="00C40F75"/>
    <w:rsid w:val="00C411F3"/>
    <w:rsid w:val="00C42C09"/>
    <w:rsid w:val="00C4509E"/>
    <w:rsid w:val="00C4742B"/>
    <w:rsid w:val="00C57249"/>
    <w:rsid w:val="00C5741D"/>
    <w:rsid w:val="00C637EE"/>
    <w:rsid w:val="00C737FD"/>
    <w:rsid w:val="00C75CB8"/>
    <w:rsid w:val="00C7632C"/>
    <w:rsid w:val="00C7789F"/>
    <w:rsid w:val="00C84295"/>
    <w:rsid w:val="00C849BA"/>
    <w:rsid w:val="00C867DD"/>
    <w:rsid w:val="00C926DC"/>
    <w:rsid w:val="00C9311E"/>
    <w:rsid w:val="00C9567C"/>
    <w:rsid w:val="00CA162E"/>
    <w:rsid w:val="00CA5043"/>
    <w:rsid w:val="00CA63EF"/>
    <w:rsid w:val="00CB4CAB"/>
    <w:rsid w:val="00CB4DDC"/>
    <w:rsid w:val="00CD3DAF"/>
    <w:rsid w:val="00CD50FA"/>
    <w:rsid w:val="00CD5DFB"/>
    <w:rsid w:val="00CD6F55"/>
    <w:rsid w:val="00CE06A0"/>
    <w:rsid w:val="00CE5896"/>
    <w:rsid w:val="00CE5ACA"/>
    <w:rsid w:val="00CF69FB"/>
    <w:rsid w:val="00CF7399"/>
    <w:rsid w:val="00D12120"/>
    <w:rsid w:val="00D14F47"/>
    <w:rsid w:val="00D172EA"/>
    <w:rsid w:val="00D2132A"/>
    <w:rsid w:val="00D30AAB"/>
    <w:rsid w:val="00D37AEA"/>
    <w:rsid w:val="00D4659E"/>
    <w:rsid w:val="00D517F5"/>
    <w:rsid w:val="00D52015"/>
    <w:rsid w:val="00D6350F"/>
    <w:rsid w:val="00D6573D"/>
    <w:rsid w:val="00D71011"/>
    <w:rsid w:val="00D808BB"/>
    <w:rsid w:val="00D83602"/>
    <w:rsid w:val="00D931ED"/>
    <w:rsid w:val="00D95891"/>
    <w:rsid w:val="00D96ACD"/>
    <w:rsid w:val="00DB4A78"/>
    <w:rsid w:val="00DB5984"/>
    <w:rsid w:val="00DC0F97"/>
    <w:rsid w:val="00DC16A9"/>
    <w:rsid w:val="00DD1B89"/>
    <w:rsid w:val="00DE1E9C"/>
    <w:rsid w:val="00DE2D60"/>
    <w:rsid w:val="00DE4D61"/>
    <w:rsid w:val="00DF2489"/>
    <w:rsid w:val="00DF4208"/>
    <w:rsid w:val="00E04C30"/>
    <w:rsid w:val="00E05D0E"/>
    <w:rsid w:val="00E077C1"/>
    <w:rsid w:val="00E1462C"/>
    <w:rsid w:val="00E2369F"/>
    <w:rsid w:val="00E23F60"/>
    <w:rsid w:val="00E25D00"/>
    <w:rsid w:val="00E27705"/>
    <w:rsid w:val="00E2788F"/>
    <w:rsid w:val="00E30399"/>
    <w:rsid w:val="00E304EE"/>
    <w:rsid w:val="00E31DA5"/>
    <w:rsid w:val="00E34F05"/>
    <w:rsid w:val="00E3645E"/>
    <w:rsid w:val="00E43A45"/>
    <w:rsid w:val="00E45E5A"/>
    <w:rsid w:val="00E537AB"/>
    <w:rsid w:val="00E54E6C"/>
    <w:rsid w:val="00E55BF7"/>
    <w:rsid w:val="00E60E57"/>
    <w:rsid w:val="00E67908"/>
    <w:rsid w:val="00E67BFB"/>
    <w:rsid w:val="00E67FEB"/>
    <w:rsid w:val="00E7272E"/>
    <w:rsid w:val="00E740FB"/>
    <w:rsid w:val="00E74310"/>
    <w:rsid w:val="00E75087"/>
    <w:rsid w:val="00E803D0"/>
    <w:rsid w:val="00E81FDF"/>
    <w:rsid w:val="00E83C26"/>
    <w:rsid w:val="00E856BE"/>
    <w:rsid w:val="00E86819"/>
    <w:rsid w:val="00E86DF0"/>
    <w:rsid w:val="00E86F31"/>
    <w:rsid w:val="00EA6556"/>
    <w:rsid w:val="00EA6D3E"/>
    <w:rsid w:val="00EA72C5"/>
    <w:rsid w:val="00EA73F6"/>
    <w:rsid w:val="00EB0469"/>
    <w:rsid w:val="00EB5578"/>
    <w:rsid w:val="00EC27F1"/>
    <w:rsid w:val="00ED2390"/>
    <w:rsid w:val="00ED3E41"/>
    <w:rsid w:val="00ED7449"/>
    <w:rsid w:val="00EE533D"/>
    <w:rsid w:val="00EE7E45"/>
    <w:rsid w:val="00EF0C90"/>
    <w:rsid w:val="00EF45E2"/>
    <w:rsid w:val="00EF732E"/>
    <w:rsid w:val="00F0464F"/>
    <w:rsid w:val="00F07BE4"/>
    <w:rsid w:val="00F16FF2"/>
    <w:rsid w:val="00F23BFA"/>
    <w:rsid w:val="00F24368"/>
    <w:rsid w:val="00F4414A"/>
    <w:rsid w:val="00F44952"/>
    <w:rsid w:val="00F45B68"/>
    <w:rsid w:val="00F5283A"/>
    <w:rsid w:val="00F55348"/>
    <w:rsid w:val="00F70083"/>
    <w:rsid w:val="00F7517B"/>
    <w:rsid w:val="00F859F3"/>
    <w:rsid w:val="00F86494"/>
    <w:rsid w:val="00F97797"/>
    <w:rsid w:val="00FA2B75"/>
    <w:rsid w:val="00FA38E3"/>
    <w:rsid w:val="00FA40D3"/>
    <w:rsid w:val="00FB14DC"/>
    <w:rsid w:val="00FB59EE"/>
    <w:rsid w:val="00FB5DE2"/>
    <w:rsid w:val="00FB7165"/>
    <w:rsid w:val="00FC1798"/>
    <w:rsid w:val="00FC64A0"/>
    <w:rsid w:val="00FD0ECA"/>
    <w:rsid w:val="00FD4235"/>
    <w:rsid w:val="00FD6F8A"/>
    <w:rsid w:val="00FD7473"/>
    <w:rsid w:val="00FD78D5"/>
    <w:rsid w:val="00FE1952"/>
    <w:rsid w:val="00FE3C85"/>
    <w:rsid w:val="00FF205F"/>
    <w:rsid w:val="00FF22B2"/>
    <w:rsid w:val="00FF2772"/>
    <w:rsid w:val="00FF462B"/>
    <w:rsid w:val="00FF53BB"/>
    <w:rsid w:val="0151F5ED"/>
    <w:rsid w:val="068F6907"/>
    <w:rsid w:val="0AC163DF"/>
    <w:rsid w:val="1E9C18C4"/>
    <w:rsid w:val="2791F29B"/>
    <w:rsid w:val="4636047D"/>
    <w:rsid w:val="61427FFF"/>
    <w:rsid w:val="63161C87"/>
    <w:rsid w:val="63CCF25C"/>
    <w:rsid w:val="651B88E3"/>
    <w:rsid w:val="653C62C6"/>
    <w:rsid w:val="6A0D1C47"/>
    <w:rsid w:val="7E92C50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5FC3DEB"/>
  <w15:chartTrackingRefBased/>
  <w15:docId w15:val="{C599BB77-937F-4E8B-9F6A-8220A1587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3" w:unhideWhenUsed="1" w:qFormat="1"/>
    <w:lsdException w:name="List Bullet 3" w:semiHidden="1" w:uiPriority="13" w:unhideWhenUsed="1" w:qFormat="1"/>
    <w:lsdException w:name="List Bullet 4" w:semiHidden="1" w:uiPriority="13"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200" w:line="276" w:lineRule="auto"/>
    </w:pPr>
    <w:rPr>
      <w:rFonts w:ascii="Calibri" w:eastAsia="Calibri" w:hAnsi="Calibri" w:cs="Calibri"/>
      <w:sz w:val="22"/>
      <w:szCs w:val="22"/>
      <w:lang w:val="en-ZA"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Wingdings" w:eastAsia="Calibri" w:hAnsi="Wingding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2z0">
    <w:name w:val="WW8Num2z0"/>
    <w:rPr>
      <w:rFonts w:ascii="Symbol" w:hAnsi="Symbol" w:cs="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Tipodeletrapredefinidodopargrafo3">
    <w:name w:val="Tipo de letra predefinido do parágrafo3"/>
  </w:style>
  <w:style w:type="character" w:customStyle="1" w:styleId="Tipodeletrapredefinidodopargrafo2">
    <w:name w:val="Tipo de letra predefinido do parágrafo2"/>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3">
    <w:name w:val="WW8Num1z3"/>
    <w:rPr>
      <w:rFonts w:ascii="Symbol" w:hAnsi="Symbol" w:cs="Symbol"/>
    </w:rPr>
  </w:style>
  <w:style w:type="character" w:customStyle="1" w:styleId="Tipodeletrapredefinidodopargrafo1">
    <w:name w:val="Tipo de letra predefinido do parágrafo1"/>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Refdecomentrio1">
    <w:name w:val="Ref. de comentário1"/>
    <w:rPr>
      <w:sz w:val="16"/>
      <w:szCs w:val="16"/>
    </w:rPr>
  </w:style>
  <w:style w:type="character" w:customStyle="1" w:styleId="CabealhoCarcter">
    <w:name w:val="Cabeçalho Carácter"/>
    <w:rPr>
      <w:sz w:val="22"/>
      <w:szCs w:val="22"/>
      <w:lang w:val="fr-FR"/>
    </w:rPr>
  </w:style>
  <w:style w:type="character" w:customStyle="1" w:styleId="RodapCarcter">
    <w:name w:val="Rodapé Carácter"/>
    <w:rPr>
      <w:sz w:val="22"/>
      <w:szCs w:val="22"/>
      <w:lang w:val="fr-FR"/>
    </w:rPr>
  </w:style>
  <w:style w:type="character" w:customStyle="1" w:styleId="TextodecomentrioCarcter">
    <w:name w:val="Texto de comentário Carácter"/>
    <w:rPr>
      <w:rFonts w:ascii="Calibri" w:eastAsia="Calibri" w:hAnsi="Calibri" w:cs="Calibri"/>
      <w:lang w:val="fr-FR"/>
    </w:rPr>
  </w:style>
  <w:style w:type="character" w:customStyle="1" w:styleId="Refdecomentrio2">
    <w:name w:val="Ref. de comentário2"/>
    <w:rPr>
      <w:sz w:val="16"/>
      <w:szCs w:val="16"/>
    </w:rPr>
  </w:style>
  <w:style w:type="character" w:customStyle="1" w:styleId="TextodebaloCarcter">
    <w:name w:val="Texto de balão Carácter"/>
    <w:rPr>
      <w:rFonts w:ascii="Tahoma" w:eastAsia="Calibri" w:hAnsi="Tahoma" w:cs="Tahoma"/>
      <w:sz w:val="16"/>
      <w:szCs w:val="16"/>
      <w:lang w:val="fr-FR"/>
    </w:rPr>
  </w:style>
  <w:style w:type="character" w:customStyle="1" w:styleId="Refdecomentrio3">
    <w:name w:val="Ref. de comentário3"/>
    <w:rPr>
      <w:sz w:val="16"/>
      <w:szCs w:val="16"/>
    </w:rPr>
  </w:style>
  <w:style w:type="character" w:customStyle="1" w:styleId="TextodecomentrioCarcter1">
    <w:name w:val="Texto de comentário Carácter1"/>
    <w:rPr>
      <w:rFonts w:ascii="Calibri" w:eastAsia="Calibri" w:hAnsi="Calibri" w:cs="Calibri"/>
      <w:lang w:val="fr-FR"/>
    </w:rPr>
  </w:style>
  <w:style w:type="character" w:customStyle="1" w:styleId="AssuntodecomentrioCarcter">
    <w:name w:val="Assunto de comentário Carácter"/>
    <w:rPr>
      <w:rFonts w:ascii="Calibri" w:eastAsia="Calibri" w:hAnsi="Calibri" w:cs="Calibri"/>
      <w:b/>
      <w:bCs/>
      <w:lang w:val="fr-FR"/>
    </w:rPr>
  </w:style>
  <w:style w:type="paragraph" w:customStyle="1" w:styleId="Heading">
    <w:name w:val="Heading"/>
    <w:basedOn w:val="Normal"/>
    <w:next w:val="BodyText"/>
    <w:pPr>
      <w:keepNext/>
      <w:spacing w:before="240" w:after="120"/>
    </w:pPr>
    <w:rPr>
      <w:rFonts w:ascii="Arial" w:eastAsia="DejaVu Sans" w:hAnsi="Arial" w:cs="Lohit Hindi"/>
      <w:sz w:val="28"/>
      <w:szCs w:val="28"/>
    </w:rPr>
  </w:style>
  <w:style w:type="paragraph" w:styleId="BodyText">
    <w:name w:val="Body Text"/>
    <w:basedOn w:val="Normal"/>
    <w:pPr>
      <w:spacing w:after="120"/>
    </w:pPr>
  </w:style>
  <w:style w:type="paragraph" w:styleId="List">
    <w:name w:val="List"/>
    <w:basedOn w:val="BodyText"/>
    <w:rPr>
      <w:rFonts w:cs="Lohit Hindi"/>
    </w:rPr>
  </w:style>
  <w:style w:type="paragraph" w:customStyle="1" w:styleId="Caption1">
    <w:name w:val="Caption1"/>
    <w:basedOn w:val="Normal"/>
    <w:pPr>
      <w:suppressLineNumbers/>
      <w:spacing w:before="120" w:after="120"/>
    </w:pPr>
    <w:rPr>
      <w:rFonts w:cs="Lohit Hindi"/>
      <w:i/>
      <w:iCs/>
      <w:sz w:val="24"/>
      <w:szCs w:val="24"/>
    </w:rPr>
  </w:style>
  <w:style w:type="paragraph" w:customStyle="1" w:styleId="Index">
    <w:name w:val="Index"/>
    <w:basedOn w:val="Normal"/>
    <w:pPr>
      <w:suppressLineNumbers/>
    </w:pPr>
    <w:rPr>
      <w:rFonts w:cs="Lohit Hindi"/>
    </w:rPr>
  </w:style>
  <w:style w:type="paragraph" w:customStyle="1" w:styleId="Legenda1">
    <w:name w:val="Legenda1"/>
    <w:basedOn w:val="Normal"/>
    <w:pPr>
      <w:suppressLineNumbers/>
      <w:spacing w:before="120" w:after="120"/>
    </w:pPr>
    <w:rPr>
      <w:rFonts w:cs="Lohit Hindi"/>
      <w:i/>
      <w:iCs/>
      <w:sz w:val="24"/>
      <w:szCs w:val="24"/>
    </w:rPr>
  </w:style>
  <w:style w:type="paragraph" w:customStyle="1" w:styleId="Textodebalo1">
    <w:name w:val="Texto de balão1"/>
    <w:basedOn w:val="Normal"/>
    <w:rPr>
      <w:rFonts w:ascii="Tahoma" w:hAnsi="Tahoma" w:cs="Tahoma"/>
      <w:sz w:val="16"/>
      <w:szCs w:val="16"/>
    </w:rPr>
  </w:style>
  <w:style w:type="paragraph" w:customStyle="1" w:styleId="Textodecomentrio1">
    <w:name w:val="Texto de comentário1"/>
    <w:basedOn w:val="Normal"/>
    <w:rPr>
      <w:sz w:val="20"/>
      <w:szCs w:val="20"/>
    </w:rPr>
  </w:style>
  <w:style w:type="paragraph" w:customStyle="1" w:styleId="Assuntodecomentrio1">
    <w:name w:val="Assunto de comentário1"/>
    <w:basedOn w:val="Textodecomentrio1"/>
    <w:next w:val="Textodecomentrio1"/>
    <w:rPr>
      <w:b/>
      <w:bCs/>
    </w:rPr>
  </w:style>
  <w:style w:type="paragraph" w:styleId="Header">
    <w:name w:val="header"/>
    <w:basedOn w:val="Normal"/>
    <w:pPr>
      <w:tabs>
        <w:tab w:val="center" w:pos="4252"/>
        <w:tab w:val="right" w:pos="8504"/>
      </w:tabs>
    </w:pPr>
  </w:style>
  <w:style w:type="paragraph" w:styleId="Footer">
    <w:name w:val="footer"/>
    <w:basedOn w:val="Normal"/>
    <w:link w:val="FooterChar"/>
    <w:uiPriority w:val="99"/>
    <w:pPr>
      <w:tabs>
        <w:tab w:val="center" w:pos="4252"/>
        <w:tab w:val="right" w:pos="8504"/>
      </w:tabs>
    </w:pPr>
    <w:rPr>
      <w:rFonts w:cs="Times New Roman"/>
      <w:lang w:val="x-none"/>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Textodecomentrio2">
    <w:name w:val="Texto de comentário2"/>
    <w:basedOn w:val="Normal"/>
    <w:rPr>
      <w:sz w:val="20"/>
      <w:szCs w:val="20"/>
    </w:rPr>
  </w:style>
  <w:style w:type="paragraph" w:styleId="BalloonText">
    <w:name w:val="Balloon Text"/>
    <w:basedOn w:val="Normal"/>
    <w:pPr>
      <w:spacing w:after="0" w:line="240" w:lineRule="auto"/>
    </w:pPr>
    <w:rPr>
      <w:rFonts w:ascii="Tahoma" w:hAnsi="Tahoma" w:cs="Times New Roman"/>
      <w:sz w:val="16"/>
      <w:szCs w:val="16"/>
    </w:rPr>
  </w:style>
  <w:style w:type="paragraph" w:customStyle="1" w:styleId="Textodecomentrio3">
    <w:name w:val="Texto de comentário3"/>
    <w:basedOn w:val="Normal"/>
    <w:rPr>
      <w:rFonts w:cs="Times New Roman"/>
      <w:sz w:val="20"/>
      <w:szCs w:val="20"/>
    </w:rPr>
  </w:style>
  <w:style w:type="paragraph" w:styleId="CommentSubject">
    <w:name w:val="annotation subject"/>
    <w:basedOn w:val="Textodecomentrio3"/>
    <w:next w:val="Textodecomentrio3"/>
    <w:rPr>
      <w:b/>
      <w:bCs/>
    </w:rPr>
  </w:style>
  <w:style w:type="paragraph" w:customStyle="1" w:styleId="ColorfulShading-Accent11">
    <w:name w:val="Colorful Shading - Accent 11"/>
    <w:pPr>
      <w:suppressAutoHyphens/>
    </w:pPr>
    <w:rPr>
      <w:rFonts w:ascii="Calibri" w:eastAsia="Calibri" w:hAnsi="Calibri" w:cs="Calibri"/>
      <w:sz w:val="22"/>
      <w:szCs w:val="22"/>
      <w:lang w:val="fr-FR" w:eastAsia="ar-SA"/>
    </w:rPr>
  </w:style>
  <w:style w:type="character" w:customStyle="1" w:styleId="FooterChar">
    <w:name w:val="Footer Char"/>
    <w:link w:val="Footer"/>
    <w:uiPriority w:val="99"/>
    <w:rsid w:val="0013446D"/>
    <w:rPr>
      <w:rFonts w:ascii="Calibri" w:eastAsia="Calibri" w:hAnsi="Calibri" w:cs="Calibri"/>
      <w:sz w:val="22"/>
      <w:szCs w:val="22"/>
      <w:lang w:eastAsia="ar-SA"/>
    </w:rPr>
  </w:style>
  <w:style w:type="paragraph" w:styleId="ListBullet">
    <w:name w:val="List Bullet"/>
    <w:basedOn w:val="Normal"/>
    <w:uiPriority w:val="13"/>
    <w:unhideWhenUsed/>
    <w:qFormat/>
    <w:rsid w:val="00813103"/>
    <w:pPr>
      <w:numPr>
        <w:numId w:val="5"/>
      </w:numPr>
      <w:suppressAutoHyphens w:val="0"/>
      <w:spacing w:after="240" w:line="240" w:lineRule="atLeast"/>
      <w:contextualSpacing/>
    </w:pPr>
    <w:rPr>
      <w:rFonts w:ascii="Arial" w:hAnsi="Arial" w:cs="Times New Roman"/>
      <w:sz w:val="20"/>
      <w:szCs w:val="20"/>
      <w:lang w:val="en-GB" w:eastAsia="en-US"/>
    </w:rPr>
  </w:style>
  <w:style w:type="numbering" w:customStyle="1" w:styleId="PwCListBullets1">
    <w:name w:val="PwC List Bullets 1"/>
    <w:uiPriority w:val="99"/>
    <w:rsid w:val="00813103"/>
    <w:pPr>
      <w:numPr>
        <w:numId w:val="5"/>
      </w:numPr>
    </w:pPr>
  </w:style>
  <w:style w:type="paragraph" w:styleId="ListBullet2">
    <w:name w:val="List Bullet 2"/>
    <w:basedOn w:val="Normal"/>
    <w:uiPriority w:val="13"/>
    <w:unhideWhenUsed/>
    <w:qFormat/>
    <w:rsid w:val="00813103"/>
    <w:pPr>
      <w:numPr>
        <w:ilvl w:val="1"/>
        <w:numId w:val="5"/>
      </w:numPr>
      <w:suppressAutoHyphens w:val="0"/>
      <w:spacing w:after="240" w:line="240" w:lineRule="atLeast"/>
      <w:contextualSpacing/>
    </w:pPr>
    <w:rPr>
      <w:rFonts w:ascii="Arial" w:hAnsi="Arial" w:cs="Times New Roman"/>
      <w:sz w:val="20"/>
      <w:szCs w:val="20"/>
      <w:lang w:val="en-GB" w:eastAsia="en-US"/>
    </w:rPr>
  </w:style>
  <w:style w:type="paragraph" w:styleId="ListBullet3">
    <w:name w:val="List Bullet 3"/>
    <w:basedOn w:val="Normal"/>
    <w:uiPriority w:val="13"/>
    <w:unhideWhenUsed/>
    <w:qFormat/>
    <w:rsid w:val="00813103"/>
    <w:pPr>
      <w:numPr>
        <w:ilvl w:val="2"/>
        <w:numId w:val="5"/>
      </w:numPr>
      <w:suppressAutoHyphens w:val="0"/>
      <w:spacing w:after="240" w:line="240" w:lineRule="atLeast"/>
      <w:contextualSpacing/>
    </w:pPr>
    <w:rPr>
      <w:rFonts w:ascii="Arial" w:hAnsi="Arial" w:cs="Times New Roman"/>
      <w:sz w:val="20"/>
      <w:szCs w:val="20"/>
      <w:lang w:val="en-GB" w:eastAsia="en-US"/>
    </w:rPr>
  </w:style>
  <w:style w:type="paragraph" w:styleId="ListBullet4">
    <w:name w:val="List Bullet 4"/>
    <w:basedOn w:val="Normal"/>
    <w:uiPriority w:val="13"/>
    <w:unhideWhenUsed/>
    <w:rsid w:val="00813103"/>
    <w:pPr>
      <w:numPr>
        <w:ilvl w:val="3"/>
        <w:numId w:val="5"/>
      </w:numPr>
      <w:suppressAutoHyphens w:val="0"/>
      <w:spacing w:after="240" w:line="240" w:lineRule="atLeast"/>
      <w:contextualSpacing/>
    </w:pPr>
    <w:rPr>
      <w:rFonts w:ascii="Arial" w:hAnsi="Arial" w:cs="Times New Roman"/>
      <w:sz w:val="20"/>
      <w:szCs w:val="20"/>
      <w:lang w:val="en-GB" w:eastAsia="en-US"/>
    </w:rPr>
  </w:style>
  <w:style w:type="character" w:styleId="CommentReference">
    <w:name w:val="annotation reference"/>
    <w:uiPriority w:val="99"/>
    <w:semiHidden/>
    <w:unhideWhenUsed/>
    <w:rsid w:val="0062197C"/>
    <w:rPr>
      <w:sz w:val="16"/>
      <w:szCs w:val="16"/>
    </w:rPr>
  </w:style>
  <w:style w:type="paragraph" w:styleId="CommentText">
    <w:name w:val="annotation text"/>
    <w:basedOn w:val="Normal"/>
    <w:link w:val="CommentTextChar"/>
    <w:uiPriority w:val="99"/>
    <w:unhideWhenUsed/>
    <w:rsid w:val="0062197C"/>
    <w:rPr>
      <w:sz w:val="20"/>
      <w:szCs w:val="20"/>
    </w:rPr>
  </w:style>
  <w:style w:type="character" w:customStyle="1" w:styleId="CommentTextChar">
    <w:name w:val="Comment Text Char"/>
    <w:link w:val="CommentText"/>
    <w:uiPriority w:val="99"/>
    <w:rsid w:val="0062197C"/>
    <w:rPr>
      <w:rFonts w:ascii="Calibri" w:eastAsia="Calibri" w:hAnsi="Calibri" w:cs="Calibri"/>
      <w:lang w:eastAsia="ar-SA"/>
    </w:rPr>
  </w:style>
  <w:style w:type="paragraph" w:styleId="Revision">
    <w:name w:val="Revision"/>
    <w:hidden/>
    <w:uiPriority w:val="99"/>
    <w:semiHidden/>
    <w:rsid w:val="0032112B"/>
    <w:rPr>
      <w:rFonts w:ascii="Calibri" w:eastAsia="Calibri" w:hAnsi="Calibri" w:cs="Calibri"/>
      <w:sz w:val="22"/>
      <w:szCs w:val="22"/>
      <w:lang w:val="en-Z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242047">
      <w:bodyDiv w:val="1"/>
      <w:marLeft w:val="0"/>
      <w:marRight w:val="0"/>
      <w:marTop w:val="0"/>
      <w:marBottom w:val="0"/>
      <w:divBdr>
        <w:top w:val="none" w:sz="0" w:space="0" w:color="auto"/>
        <w:left w:val="none" w:sz="0" w:space="0" w:color="auto"/>
        <w:bottom w:val="none" w:sz="0" w:space="0" w:color="auto"/>
        <w:right w:val="none" w:sz="0" w:space="0" w:color="auto"/>
      </w:divBdr>
    </w:div>
    <w:div w:id="108552687">
      <w:bodyDiv w:val="1"/>
      <w:marLeft w:val="0"/>
      <w:marRight w:val="0"/>
      <w:marTop w:val="0"/>
      <w:marBottom w:val="0"/>
      <w:divBdr>
        <w:top w:val="none" w:sz="0" w:space="0" w:color="auto"/>
        <w:left w:val="none" w:sz="0" w:space="0" w:color="auto"/>
        <w:bottom w:val="none" w:sz="0" w:space="0" w:color="auto"/>
        <w:right w:val="none" w:sz="0" w:space="0" w:color="auto"/>
      </w:divBdr>
    </w:div>
    <w:div w:id="166750496">
      <w:bodyDiv w:val="1"/>
      <w:marLeft w:val="0"/>
      <w:marRight w:val="0"/>
      <w:marTop w:val="0"/>
      <w:marBottom w:val="0"/>
      <w:divBdr>
        <w:top w:val="none" w:sz="0" w:space="0" w:color="auto"/>
        <w:left w:val="none" w:sz="0" w:space="0" w:color="auto"/>
        <w:bottom w:val="none" w:sz="0" w:space="0" w:color="auto"/>
        <w:right w:val="none" w:sz="0" w:space="0" w:color="auto"/>
      </w:divBdr>
    </w:div>
    <w:div w:id="1088233170">
      <w:bodyDiv w:val="1"/>
      <w:marLeft w:val="0"/>
      <w:marRight w:val="0"/>
      <w:marTop w:val="0"/>
      <w:marBottom w:val="0"/>
      <w:divBdr>
        <w:top w:val="none" w:sz="0" w:space="0" w:color="auto"/>
        <w:left w:val="none" w:sz="0" w:space="0" w:color="auto"/>
        <w:bottom w:val="none" w:sz="0" w:space="0" w:color="auto"/>
        <w:right w:val="none" w:sz="0" w:space="0" w:color="auto"/>
      </w:divBdr>
    </w:div>
    <w:div w:id="1115053911">
      <w:bodyDiv w:val="1"/>
      <w:marLeft w:val="0"/>
      <w:marRight w:val="0"/>
      <w:marTop w:val="0"/>
      <w:marBottom w:val="0"/>
      <w:divBdr>
        <w:top w:val="none" w:sz="0" w:space="0" w:color="auto"/>
        <w:left w:val="none" w:sz="0" w:space="0" w:color="auto"/>
        <w:bottom w:val="none" w:sz="0" w:space="0" w:color="auto"/>
        <w:right w:val="none" w:sz="0" w:space="0" w:color="auto"/>
      </w:divBdr>
    </w:div>
    <w:div w:id="1503276216">
      <w:bodyDiv w:val="1"/>
      <w:marLeft w:val="0"/>
      <w:marRight w:val="0"/>
      <w:marTop w:val="0"/>
      <w:marBottom w:val="0"/>
      <w:divBdr>
        <w:top w:val="none" w:sz="0" w:space="0" w:color="auto"/>
        <w:left w:val="none" w:sz="0" w:space="0" w:color="auto"/>
        <w:bottom w:val="none" w:sz="0" w:space="0" w:color="auto"/>
        <w:right w:val="none" w:sz="0" w:space="0" w:color="auto"/>
      </w:divBdr>
    </w:div>
    <w:div w:id="2011593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7F752DE99712409C5AEB988B807697" ma:contentTypeVersion="4" ma:contentTypeDescription="Create a new document." ma:contentTypeScope="" ma:versionID="5a69e746634222f22caa796211c35124">
  <xsd:schema xmlns:xsd="http://www.w3.org/2001/XMLSchema" xmlns:xs="http://www.w3.org/2001/XMLSchema" xmlns:p="http://schemas.microsoft.com/office/2006/metadata/properties" xmlns:ns2="8f78cd2a-c8d8-4f2e-847e-d356ebb904a6" targetNamespace="http://schemas.microsoft.com/office/2006/metadata/properties" ma:root="true" ma:fieldsID="266d9c7334b3d5c61e701ee52303c3fc" ns2:_="">
    <xsd:import namespace="8f78cd2a-c8d8-4f2e-847e-d356ebb904a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78cd2a-c8d8-4f2e-847e-d356ebb904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80426A-9FE3-41C3-9E81-02945E1F71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78cd2a-c8d8-4f2e-847e-d356ebb904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D0BF38-5866-4BC4-BD99-CB48D5DE6AE9}">
  <ds:schemaRefs>
    <ds:schemaRef ds:uri="http://schemas.microsoft.com/sharepoint/v3/contenttype/forms"/>
  </ds:schemaRefs>
</ds:datastoreItem>
</file>

<file path=customXml/itemProps3.xml><?xml version="1.0" encoding="utf-8"?>
<ds:datastoreItem xmlns:ds="http://schemas.openxmlformats.org/officeDocument/2006/customXml" ds:itemID="{68529ABE-33F2-4CAE-9FE5-E9963000A64D}">
  <ds:schemaRefs>
    <ds:schemaRef ds:uri="http://schemas.openxmlformats.org/officeDocument/2006/bibliography"/>
  </ds:schemaRefs>
</ds:datastoreItem>
</file>

<file path=docMetadata/LabelInfo.xml><?xml version="1.0" encoding="utf-8"?>
<clbl:labelList xmlns:clbl="http://schemas.microsoft.com/office/2020/mipLabelMetadata">
  <clbl:label id="{70c52299-74de-4dfd-b117-c9c408edfa50}" enabled="1" method="Standard" siteId="{853cbaab-a620-4178-8933-88d76414184a}"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848</Words>
  <Characters>4838</Characters>
  <Application>Microsoft Office Word</Application>
  <DocSecurity>0</DocSecurity>
  <Lines>40</Lines>
  <Paragraphs>11</Paragraphs>
  <ScaleCrop>false</ScaleCrop>
  <Company>ISP</Company>
  <LinksUpToDate>false</LinksUpToDate>
  <CharactersWithSpaces>5675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 - ACAM</dc:creator>
  <cp:keywords/>
  <cp:lastModifiedBy>Ramatla Msimanga</cp:lastModifiedBy>
  <cp:revision>9</cp:revision>
  <cp:lastPrinted>2013-01-25T22:04:00Z</cp:lastPrinted>
  <dcterms:created xsi:type="dcterms:W3CDTF">2024-09-30T12:58:00Z</dcterms:created>
  <dcterms:modified xsi:type="dcterms:W3CDTF">2024-09-30T12:58:00Z</dcterms:modified>
</cp:coreProperties>
</file>