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720A" w14:textId="0253B83B" w:rsidR="00A61CAE" w:rsidRPr="00B4379E" w:rsidRDefault="00AE1CCD" w:rsidP="00B4379E">
      <w:pPr>
        <w:spacing w:before="6"/>
        <w:jc w:val="center"/>
        <w:rPr>
          <w:rFonts w:ascii="Times New Roman" w:eastAsia="Times New Roman" w:hAnsi="Times New Roman" w:cs="Times New Roman"/>
          <w:sz w:val="7"/>
          <w:szCs w:val="7"/>
        </w:rPr>
      </w:pPr>
      <w:r>
        <w:rPr>
          <w:rFonts w:ascii="Times New Roman" w:eastAsia="Times New Roman" w:hAnsi="Times New Roman" w:cs="Times New Roman"/>
          <w:noProof/>
          <w:sz w:val="20"/>
          <w:szCs w:val="20"/>
          <w:lang w:val="en-ZA" w:eastAsia="en-ZA"/>
        </w:rPr>
        <w:drawing>
          <wp:inline distT="0" distB="0" distL="0" distR="0" wp14:anchorId="5FA6781E" wp14:editId="71B3C469">
            <wp:extent cx="1597231" cy="1283229"/>
            <wp:effectExtent l="0" t="0" r="3175" b="0"/>
            <wp:docPr id="1" name="image1.pn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ic:nvPicPr>
                  <pic:blipFill>
                    <a:blip r:embed="rId8" cstate="print"/>
                    <a:stretch>
                      <a:fillRect/>
                    </a:stretch>
                  </pic:blipFill>
                  <pic:spPr>
                    <a:xfrm>
                      <a:off x="0" y="0"/>
                      <a:ext cx="1601029" cy="1286280"/>
                    </a:xfrm>
                    <a:prstGeom prst="rect">
                      <a:avLst/>
                    </a:prstGeom>
                  </pic:spPr>
                </pic:pic>
              </a:graphicData>
            </a:graphic>
          </wp:inline>
        </w:drawing>
      </w:r>
    </w:p>
    <w:p w14:paraId="01AA720B" w14:textId="77777777" w:rsidR="00A61CAE" w:rsidRDefault="00A61CAE">
      <w:pPr>
        <w:rPr>
          <w:rFonts w:ascii="Times New Roman" w:eastAsia="Times New Roman" w:hAnsi="Times New Roman" w:cs="Times New Roman"/>
          <w:sz w:val="20"/>
          <w:szCs w:val="20"/>
        </w:rPr>
      </w:pPr>
    </w:p>
    <w:p w14:paraId="01AA720C" w14:textId="77777777" w:rsidR="00A61CAE" w:rsidRDefault="00A61CAE">
      <w:pPr>
        <w:spacing w:before="7"/>
        <w:rPr>
          <w:rFonts w:ascii="Times New Roman" w:eastAsia="Times New Roman" w:hAnsi="Times New Roman" w:cs="Times New Roman"/>
          <w:sz w:val="15"/>
          <w:szCs w:val="15"/>
        </w:rPr>
      </w:pPr>
    </w:p>
    <w:p w14:paraId="01AA720D" w14:textId="77777777" w:rsidR="00A61CAE" w:rsidRDefault="009A35D4">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ZA" w:eastAsia="en-ZA"/>
        </w:rPr>
        <mc:AlternateContent>
          <mc:Choice Requires="wps">
            <w:drawing>
              <wp:inline distT="0" distB="0" distL="0" distR="0" wp14:anchorId="01AA7311" wp14:editId="5FDD3E62">
                <wp:extent cx="5869305" cy="3175000"/>
                <wp:effectExtent l="0" t="0" r="17145" b="25400"/>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305" cy="3175000"/>
                        </a:xfrm>
                        <a:prstGeom prst="rect">
                          <a:avLst/>
                        </a:prstGeom>
                        <a:noFill/>
                        <a:ln w="19558">
                          <a:solidFill>
                            <a:srgbClr val="BF8F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6A525D" w14:textId="77777777" w:rsidR="00B93567" w:rsidRPr="00A10F6D" w:rsidRDefault="00B93567" w:rsidP="00B93567">
                            <w:pPr>
                              <w:jc w:val="center"/>
                              <w:rPr>
                                <w:rFonts w:cs="Arial"/>
                                <w:b/>
                                <w:shd w:val="clear" w:color="auto" w:fill="FFFFFF" w:themeFill="background1"/>
                              </w:rPr>
                            </w:pPr>
                          </w:p>
                          <w:p w14:paraId="790AF24D" w14:textId="6F7929E3" w:rsidR="00730854" w:rsidRPr="00501502" w:rsidRDefault="00DE2652" w:rsidP="00B93567">
                            <w:pPr>
                              <w:ind w:left="284" w:right="114"/>
                              <w:jc w:val="both"/>
                              <w:rPr>
                                <w:rFonts w:cs="Arial"/>
                                <w:b/>
                                <w:sz w:val="32"/>
                                <w:szCs w:val="32"/>
                              </w:rPr>
                            </w:pPr>
                            <w:r w:rsidRPr="00501502">
                              <w:rPr>
                                <w:rFonts w:cs="Arial"/>
                                <w:b/>
                                <w:sz w:val="32"/>
                                <w:szCs w:val="32"/>
                              </w:rPr>
                              <w:t>Statement</w:t>
                            </w:r>
                            <w:r w:rsidR="00B11430">
                              <w:rPr>
                                <w:rFonts w:cs="Arial"/>
                                <w:b/>
                                <w:sz w:val="32"/>
                                <w:szCs w:val="32"/>
                              </w:rPr>
                              <w:t>*</w:t>
                            </w:r>
                            <w:r w:rsidRPr="00501502">
                              <w:rPr>
                                <w:rFonts w:cs="Arial"/>
                                <w:b/>
                                <w:sz w:val="32"/>
                                <w:szCs w:val="32"/>
                              </w:rPr>
                              <w:t xml:space="preserve"> </w:t>
                            </w:r>
                            <w:r w:rsidR="00E61A33">
                              <w:rPr>
                                <w:rFonts w:cs="Arial"/>
                                <w:b/>
                                <w:sz w:val="32"/>
                                <w:szCs w:val="32"/>
                              </w:rPr>
                              <w:t>explaining</w:t>
                            </w:r>
                            <w:r w:rsidRPr="00501502">
                              <w:rPr>
                                <w:rFonts w:cs="Arial"/>
                                <w:b/>
                                <w:sz w:val="32"/>
                                <w:szCs w:val="32"/>
                              </w:rPr>
                              <w:t xml:space="preserve"> the need for</w:t>
                            </w:r>
                            <w:r w:rsidR="007937F6">
                              <w:rPr>
                                <w:rFonts w:cs="Arial"/>
                                <w:b/>
                                <w:sz w:val="32"/>
                                <w:szCs w:val="32"/>
                              </w:rPr>
                              <w:t>,</w:t>
                            </w:r>
                            <w:r w:rsidR="00E61A33">
                              <w:rPr>
                                <w:rFonts w:cs="Arial"/>
                                <w:b/>
                                <w:sz w:val="32"/>
                                <w:szCs w:val="32"/>
                              </w:rPr>
                              <w:t xml:space="preserve"> </w:t>
                            </w:r>
                            <w:r w:rsidRPr="00501502">
                              <w:rPr>
                                <w:rFonts w:cs="Arial"/>
                                <w:b/>
                                <w:sz w:val="32"/>
                                <w:szCs w:val="32"/>
                              </w:rPr>
                              <w:t xml:space="preserve">intended operation </w:t>
                            </w:r>
                            <w:r w:rsidR="00E61A33">
                              <w:rPr>
                                <w:rFonts w:cs="Arial"/>
                                <w:b/>
                                <w:sz w:val="32"/>
                                <w:szCs w:val="32"/>
                              </w:rPr>
                              <w:t xml:space="preserve">and expected impact </w:t>
                            </w:r>
                            <w:r w:rsidRPr="00501502">
                              <w:rPr>
                                <w:rFonts w:cs="Arial"/>
                                <w:b/>
                                <w:sz w:val="32"/>
                                <w:szCs w:val="32"/>
                              </w:rPr>
                              <w:t xml:space="preserve">of the </w:t>
                            </w:r>
                            <w:r w:rsidR="00E87C07">
                              <w:rPr>
                                <w:rFonts w:cs="Arial"/>
                                <w:b/>
                                <w:sz w:val="32"/>
                                <w:szCs w:val="32"/>
                              </w:rPr>
                              <w:t xml:space="preserve">prudential standard </w:t>
                            </w:r>
                            <w:r w:rsidR="00825C46">
                              <w:rPr>
                                <w:rFonts w:cs="Arial"/>
                                <w:b/>
                                <w:sz w:val="32"/>
                                <w:szCs w:val="32"/>
                              </w:rPr>
                              <w:t xml:space="preserve">for designated institutions in respect of </w:t>
                            </w:r>
                            <w:r w:rsidR="000205DA">
                              <w:rPr>
                                <w:rFonts w:cs="Arial"/>
                                <w:b/>
                                <w:sz w:val="32"/>
                                <w:szCs w:val="32"/>
                              </w:rPr>
                              <w:t xml:space="preserve">transfer powers in </w:t>
                            </w:r>
                            <w:proofErr w:type="gramStart"/>
                            <w:r w:rsidR="000205DA">
                              <w:rPr>
                                <w:rFonts w:cs="Arial"/>
                                <w:b/>
                                <w:sz w:val="32"/>
                                <w:szCs w:val="32"/>
                              </w:rPr>
                              <w:t>resolution</w:t>
                            </w:r>
                            <w:proofErr w:type="gramEnd"/>
                          </w:p>
                          <w:p w14:paraId="4400B0FE" w14:textId="77777777" w:rsidR="00730854" w:rsidRDefault="00730854" w:rsidP="001470AE">
                            <w:pPr>
                              <w:ind w:left="284" w:right="114"/>
                              <w:jc w:val="center"/>
                              <w:rPr>
                                <w:rFonts w:cs="Arial"/>
                                <w:b/>
                                <w:sz w:val="34"/>
                                <w:szCs w:val="34"/>
                              </w:rPr>
                            </w:pPr>
                          </w:p>
                          <w:p w14:paraId="3751993A" w14:textId="77777777" w:rsidR="009465CD" w:rsidRDefault="009465CD" w:rsidP="00E61A33">
                            <w:pPr>
                              <w:jc w:val="center"/>
                              <w:rPr>
                                <w:rFonts w:cs="Arial"/>
                                <w:b/>
                                <w:shd w:val="clear" w:color="auto" w:fill="FFFFFF" w:themeFill="background1"/>
                              </w:rPr>
                            </w:pPr>
                          </w:p>
                          <w:p w14:paraId="58DFA074" w14:textId="1DBC5826" w:rsidR="00DE2652" w:rsidRDefault="0014598F" w:rsidP="00E61A33">
                            <w:pPr>
                              <w:jc w:val="center"/>
                              <w:rPr>
                                <w:rFonts w:cs="Arial"/>
                                <w:b/>
                                <w:shd w:val="clear" w:color="auto" w:fill="FFFFFF" w:themeFill="background1"/>
                              </w:rPr>
                            </w:pPr>
                            <w:r>
                              <w:rPr>
                                <w:rFonts w:cs="Arial"/>
                                <w:b/>
                                <w:shd w:val="clear" w:color="auto" w:fill="FFFFFF" w:themeFill="background1"/>
                              </w:rPr>
                              <w:t>February</w:t>
                            </w:r>
                            <w:r w:rsidR="00DE2652">
                              <w:rPr>
                                <w:rFonts w:cs="Arial"/>
                                <w:b/>
                                <w:shd w:val="clear" w:color="auto" w:fill="FFFFFF" w:themeFill="background1"/>
                              </w:rPr>
                              <w:t xml:space="preserve"> 202</w:t>
                            </w:r>
                            <w:r>
                              <w:rPr>
                                <w:rFonts w:cs="Arial"/>
                                <w:b/>
                                <w:shd w:val="clear" w:color="auto" w:fill="FFFFFF" w:themeFill="background1"/>
                              </w:rPr>
                              <w:t>3</w:t>
                            </w:r>
                          </w:p>
                          <w:p w14:paraId="0AAF3D89" w14:textId="01048E02" w:rsidR="009465CD" w:rsidRDefault="00B11430" w:rsidP="001470AE">
                            <w:pPr>
                              <w:ind w:left="284"/>
                              <w:rPr>
                                <w:rFonts w:cs="Arial"/>
                                <w:b/>
                                <w:shd w:val="clear" w:color="auto" w:fill="FFFFFF" w:themeFill="background1"/>
                              </w:rPr>
                            </w:pPr>
                            <w:r>
                              <w:rPr>
                                <w:rFonts w:cs="Arial"/>
                                <w:sz w:val="14"/>
                                <w:szCs w:val="14"/>
                              </w:rPr>
                              <w:t>*This statement is prepared and published in accordance with and in fulfilment of the requirements under section 98(1) of the Financial Sector Regulation Act, 2017 (Act No. 9 of 2017)</w:t>
                            </w:r>
                          </w:p>
                          <w:p w14:paraId="2DACBDFD" w14:textId="77777777" w:rsidR="009465CD" w:rsidRPr="00C86BBB" w:rsidRDefault="009465CD" w:rsidP="00DE2652">
                            <w:pPr>
                              <w:jc w:val="center"/>
                              <w:rPr>
                                <w:rFonts w:cs="Arial"/>
                                <w:b/>
                                <w:shd w:val="clear" w:color="auto" w:fill="FFFFFF" w:themeFill="background1"/>
                              </w:rPr>
                            </w:pPr>
                          </w:p>
                          <w:p w14:paraId="161B55FD" w14:textId="77777777" w:rsidR="00DE2652" w:rsidRDefault="00DE2652" w:rsidP="00DE2652">
                            <w:pPr>
                              <w:rPr>
                                <w:rFonts w:cs="Arial"/>
                                <w:b/>
                                <w:shd w:val="clear" w:color="auto" w:fill="FFFFFF" w:themeFill="background1"/>
                              </w:rPr>
                            </w:pPr>
                          </w:p>
                          <w:p w14:paraId="01AA732E" w14:textId="16D18B82" w:rsidR="004F66DB" w:rsidRDefault="004F66DB" w:rsidP="00303E5C">
                            <w:pPr>
                              <w:rPr>
                                <w:rFonts w:eastAsia="Arial" w:cs="Arial"/>
                                <w:szCs w:val="24"/>
                              </w:rPr>
                            </w:pPr>
                          </w:p>
                          <w:p w14:paraId="7FE1A635" w14:textId="77777777" w:rsidR="009465CD" w:rsidRDefault="009465CD" w:rsidP="00303E5C">
                            <w:pPr>
                              <w:rPr>
                                <w:rFonts w:eastAsia="Arial" w:cs="Arial"/>
                                <w:szCs w:val="24"/>
                              </w:rPr>
                            </w:pPr>
                          </w:p>
                        </w:txbxContent>
                      </wps:txbx>
                      <wps:bodyPr rot="0" vert="horz" wrap="square" lIns="0" tIns="0" rIns="0" bIns="0" anchor="t" anchorCtr="0" upright="1">
                        <a:noAutofit/>
                      </wps:bodyPr>
                    </wps:wsp>
                  </a:graphicData>
                </a:graphic>
              </wp:inline>
            </w:drawing>
          </mc:Choice>
          <mc:Fallback>
            <w:pict>
              <v:shapetype w14:anchorId="01AA7311" id="_x0000_t202" coordsize="21600,21600" o:spt="202" path="m,l,21600r21600,l21600,xe">
                <v:stroke joinstyle="miter"/>
                <v:path gradientshapeok="t" o:connecttype="rect"/>
              </v:shapetype>
              <v:shape id="Text Box 14" o:spid="_x0000_s1026" type="#_x0000_t202" style="width:462.15pt;height:2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" filled="f" strokecolor="#bf8f00" strokeweight="1.54pt">
                <v:textbox inset="0,0,0,0">
                  <w:txbxContent>
                    <w:p w14:paraId="336A525D" w14:textId="77777777" w:rsidR="00B93567" w:rsidRPr="00A10F6D" w:rsidRDefault="00B93567" w:rsidP="00B93567">
                      <w:pPr>
                        <w:jc w:val="center"/>
                        <w:rPr>
                          <w:rFonts w:cs="Arial"/>
                          <w:b/>
                          <w:shd w:val="clear" w:color="auto" w:fill="FFFFFF" w:themeFill="background1"/>
                        </w:rPr>
                      </w:pPr>
                    </w:p>
                    <w:p w14:paraId="790AF24D" w14:textId="6F7929E3" w:rsidR="00730854" w:rsidRPr="00501502" w:rsidRDefault="00DE2652" w:rsidP="00B93567">
                      <w:pPr>
                        <w:ind w:left="284" w:right="114"/>
                        <w:jc w:val="both"/>
                        <w:rPr>
                          <w:rFonts w:cs="Arial"/>
                          <w:b/>
                          <w:sz w:val="32"/>
                          <w:szCs w:val="32"/>
                        </w:rPr>
                      </w:pPr>
                      <w:r w:rsidRPr="00501502">
                        <w:rPr>
                          <w:rFonts w:cs="Arial"/>
                          <w:b/>
                          <w:sz w:val="32"/>
                          <w:szCs w:val="32"/>
                        </w:rPr>
                        <w:t>Statement</w:t>
                      </w:r>
                      <w:r w:rsidR="00B11430">
                        <w:rPr>
                          <w:rFonts w:cs="Arial"/>
                          <w:b/>
                          <w:sz w:val="32"/>
                          <w:szCs w:val="32"/>
                        </w:rPr>
                        <w:t>*</w:t>
                      </w:r>
                      <w:r w:rsidRPr="00501502">
                        <w:rPr>
                          <w:rFonts w:cs="Arial"/>
                          <w:b/>
                          <w:sz w:val="32"/>
                          <w:szCs w:val="32"/>
                        </w:rPr>
                        <w:t xml:space="preserve"> </w:t>
                      </w:r>
                      <w:r w:rsidR="00E61A33">
                        <w:rPr>
                          <w:rFonts w:cs="Arial"/>
                          <w:b/>
                          <w:sz w:val="32"/>
                          <w:szCs w:val="32"/>
                        </w:rPr>
                        <w:t>explaining</w:t>
                      </w:r>
                      <w:r w:rsidRPr="00501502">
                        <w:rPr>
                          <w:rFonts w:cs="Arial"/>
                          <w:b/>
                          <w:sz w:val="32"/>
                          <w:szCs w:val="32"/>
                        </w:rPr>
                        <w:t xml:space="preserve"> the need for</w:t>
                      </w:r>
                      <w:r w:rsidR="007937F6">
                        <w:rPr>
                          <w:rFonts w:cs="Arial"/>
                          <w:b/>
                          <w:sz w:val="32"/>
                          <w:szCs w:val="32"/>
                        </w:rPr>
                        <w:t>,</w:t>
                      </w:r>
                      <w:r w:rsidR="00E61A33">
                        <w:rPr>
                          <w:rFonts w:cs="Arial"/>
                          <w:b/>
                          <w:sz w:val="32"/>
                          <w:szCs w:val="32"/>
                        </w:rPr>
                        <w:t xml:space="preserve"> </w:t>
                      </w:r>
                      <w:r w:rsidRPr="00501502">
                        <w:rPr>
                          <w:rFonts w:cs="Arial"/>
                          <w:b/>
                          <w:sz w:val="32"/>
                          <w:szCs w:val="32"/>
                        </w:rPr>
                        <w:t xml:space="preserve">intended operation </w:t>
                      </w:r>
                      <w:r w:rsidR="00E61A33">
                        <w:rPr>
                          <w:rFonts w:cs="Arial"/>
                          <w:b/>
                          <w:sz w:val="32"/>
                          <w:szCs w:val="32"/>
                        </w:rPr>
                        <w:t xml:space="preserve">and expected impact </w:t>
                      </w:r>
                      <w:r w:rsidRPr="00501502">
                        <w:rPr>
                          <w:rFonts w:cs="Arial"/>
                          <w:b/>
                          <w:sz w:val="32"/>
                          <w:szCs w:val="32"/>
                        </w:rPr>
                        <w:t xml:space="preserve">of the </w:t>
                      </w:r>
                      <w:r w:rsidR="00E87C07">
                        <w:rPr>
                          <w:rFonts w:cs="Arial"/>
                          <w:b/>
                          <w:sz w:val="32"/>
                          <w:szCs w:val="32"/>
                        </w:rPr>
                        <w:t xml:space="preserve">prudential standard </w:t>
                      </w:r>
                      <w:r w:rsidR="00825C46">
                        <w:rPr>
                          <w:rFonts w:cs="Arial"/>
                          <w:b/>
                          <w:sz w:val="32"/>
                          <w:szCs w:val="32"/>
                        </w:rPr>
                        <w:t xml:space="preserve">for designated institutions in respect of </w:t>
                      </w:r>
                      <w:r w:rsidR="000205DA">
                        <w:rPr>
                          <w:rFonts w:cs="Arial"/>
                          <w:b/>
                          <w:sz w:val="32"/>
                          <w:szCs w:val="32"/>
                        </w:rPr>
                        <w:t xml:space="preserve">transfer powers in </w:t>
                      </w:r>
                      <w:proofErr w:type="gramStart"/>
                      <w:r w:rsidR="000205DA">
                        <w:rPr>
                          <w:rFonts w:cs="Arial"/>
                          <w:b/>
                          <w:sz w:val="32"/>
                          <w:szCs w:val="32"/>
                        </w:rPr>
                        <w:t>resolution</w:t>
                      </w:r>
                      <w:proofErr w:type="gramEnd"/>
                    </w:p>
                    <w:p w14:paraId="4400B0FE" w14:textId="77777777" w:rsidR="00730854" w:rsidRDefault="00730854" w:rsidP="001470AE">
                      <w:pPr>
                        <w:ind w:left="284" w:right="114"/>
                        <w:jc w:val="center"/>
                        <w:rPr>
                          <w:rFonts w:cs="Arial"/>
                          <w:b/>
                          <w:sz w:val="34"/>
                          <w:szCs w:val="34"/>
                        </w:rPr>
                      </w:pPr>
                    </w:p>
                    <w:p w14:paraId="3751993A" w14:textId="77777777" w:rsidR="009465CD" w:rsidRDefault="009465CD" w:rsidP="00E61A33">
                      <w:pPr>
                        <w:jc w:val="center"/>
                        <w:rPr>
                          <w:rFonts w:cs="Arial"/>
                          <w:b/>
                          <w:shd w:val="clear" w:color="auto" w:fill="FFFFFF" w:themeFill="background1"/>
                        </w:rPr>
                      </w:pPr>
                    </w:p>
                    <w:p w14:paraId="58DFA074" w14:textId="1DBC5826" w:rsidR="00DE2652" w:rsidRDefault="0014598F" w:rsidP="00E61A33">
                      <w:pPr>
                        <w:jc w:val="center"/>
                        <w:rPr>
                          <w:rFonts w:cs="Arial"/>
                          <w:b/>
                          <w:shd w:val="clear" w:color="auto" w:fill="FFFFFF" w:themeFill="background1"/>
                        </w:rPr>
                      </w:pPr>
                      <w:r>
                        <w:rPr>
                          <w:rFonts w:cs="Arial"/>
                          <w:b/>
                          <w:shd w:val="clear" w:color="auto" w:fill="FFFFFF" w:themeFill="background1"/>
                        </w:rPr>
                        <w:t>February</w:t>
                      </w:r>
                      <w:r w:rsidR="00DE2652">
                        <w:rPr>
                          <w:rFonts w:cs="Arial"/>
                          <w:b/>
                          <w:shd w:val="clear" w:color="auto" w:fill="FFFFFF" w:themeFill="background1"/>
                        </w:rPr>
                        <w:t xml:space="preserve"> 202</w:t>
                      </w:r>
                      <w:r>
                        <w:rPr>
                          <w:rFonts w:cs="Arial"/>
                          <w:b/>
                          <w:shd w:val="clear" w:color="auto" w:fill="FFFFFF" w:themeFill="background1"/>
                        </w:rPr>
                        <w:t>3</w:t>
                      </w:r>
                    </w:p>
                    <w:p w14:paraId="0AAF3D89" w14:textId="01048E02" w:rsidR="009465CD" w:rsidRDefault="00B11430" w:rsidP="001470AE">
                      <w:pPr>
                        <w:ind w:left="284"/>
                        <w:rPr>
                          <w:rFonts w:cs="Arial"/>
                          <w:b/>
                          <w:shd w:val="clear" w:color="auto" w:fill="FFFFFF" w:themeFill="background1"/>
                        </w:rPr>
                      </w:pPr>
                      <w:r>
                        <w:rPr>
                          <w:rFonts w:cs="Arial"/>
                          <w:sz w:val="14"/>
                          <w:szCs w:val="14"/>
                        </w:rPr>
                        <w:t>*This statement is prepared and published in accordance with and in fulfilment of the requirements under section 98(1) of the Financial Sector Regulation Act, 2017 (Act No. 9 of 2017)</w:t>
                      </w:r>
                    </w:p>
                    <w:p w14:paraId="2DACBDFD" w14:textId="77777777" w:rsidR="009465CD" w:rsidRPr="00C86BBB" w:rsidRDefault="009465CD" w:rsidP="00DE2652">
                      <w:pPr>
                        <w:jc w:val="center"/>
                        <w:rPr>
                          <w:rFonts w:cs="Arial"/>
                          <w:b/>
                          <w:shd w:val="clear" w:color="auto" w:fill="FFFFFF" w:themeFill="background1"/>
                        </w:rPr>
                      </w:pPr>
                    </w:p>
                    <w:p w14:paraId="161B55FD" w14:textId="77777777" w:rsidR="00DE2652" w:rsidRDefault="00DE2652" w:rsidP="00DE2652">
                      <w:pPr>
                        <w:rPr>
                          <w:rFonts w:cs="Arial"/>
                          <w:b/>
                          <w:shd w:val="clear" w:color="auto" w:fill="FFFFFF" w:themeFill="background1"/>
                        </w:rPr>
                      </w:pPr>
                    </w:p>
                    <w:p w14:paraId="01AA732E" w14:textId="16D18B82" w:rsidR="004F66DB" w:rsidRDefault="004F66DB" w:rsidP="00303E5C">
                      <w:pPr>
                        <w:rPr>
                          <w:rFonts w:eastAsia="Arial" w:cs="Arial"/>
                          <w:szCs w:val="24"/>
                        </w:rPr>
                      </w:pPr>
                    </w:p>
                    <w:p w14:paraId="7FE1A635" w14:textId="77777777" w:rsidR="009465CD" w:rsidRDefault="009465CD" w:rsidP="00303E5C">
                      <w:pPr>
                        <w:rPr>
                          <w:rFonts w:eastAsia="Arial" w:cs="Arial"/>
                          <w:szCs w:val="24"/>
                        </w:rPr>
                      </w:pPr>
                    </w:p>
                  </w:txbxContent>
                </v:textbox>
                <w10:anchorlock/>
              </v:shape>
            </w:pict>
          </mc:Fallback>
        </mc:AlternateContent>
      </w:r>
    </w:p>
    <w:p w14:paraId="3B9EDD9C" w14:textId="77777777" w:rsidR="00A61CAE" w:rsidRDefault="00A61CAE">
      <w:pPr>
        <w:spacing w:line="200" w:lineRule="atLeast"/>
        <w:rPr>
          <w:rFonts w:ascii="Times New Roman" w:eastAsia="Times New Roman" w:hAnsi="Times New Roman" w:cs="Times New Roman"/>
          <w:sz w:val="20"/>
          <w:szCs w:val="20"/>
        </w:rPr>
      </w:pPr>
    </w:p>
    <w:sdt>
      <w:sdtPr>
        <w:rPr>
          <w:rFonts w:asciiTheme="minorHAnsi" w:eastAsiaTheme="minorHAnsi" w:hAnsiTheme="minorHAnsi" w:cstheme="minorBidi"/>
          <w:color w:val="auto"/>
          <w:sz w:val="22"/>
          <w:szCs w:val="22"/>
        </w:rPr>
        <w:id w:val="466631416"/>
        <w:docPartObj>
          <w:docPartGallery w:val="Table of Contents"/>
          <w:docPartUnique/>
        </w:docPartObj>
      </w:sdtPr>
      <w:sdtEndPr>
        <w:rPr>
          <w:rFonts w:ascii="Arial" w:hAnsi="Arial"/>
          <w:b/>
          <w:bCs/>
          <w:noProof/>
          <w:sz w:val="24"/>
        </w:rPr>
      </w:sdtEndPr>
      <w:sdtContent>
        <w:p w14:paraId="2015E349" w14:textId="73DD5A8F" w:rsidR="005727EA" w:rsidRPr="000133C9" w:rsidRDefault="005727EA" w:rsidP="00DA036E">
          <w:pPr>
            <w:pStyle w:val="TOCHeading"/>
            <w:ind w:left="567" w:hanging="425"/>
            <w:rPr>
              <w:rFonts w:ascii="Arial" w:hAnsi="Arial" w:cs="Arial"/>
              <w:b/>
              <w:bCs/>
              <w:color w:val="auto"/>
              <w:sz w:val="24"/>
              <w:szCs w:val="24"/>
            </w:rPr>
          </w:pPr>
          <w:r w:rsidRPr="000133C9">
            <w:rPr>
              <w:rFonts w:ascii="Arial" w:hAnsi="Arial" w:cs="Arial"/>
              <w:b/>
              <w:bCs/>
              <w:color w:val="auto"/>
              <w:sz w:val="24"/>
              <w:szCs w:val="24"/>
            </w:rPr>
            <w:t>Table of Contents</w:t>
          </w:r>
        </w:p>
        <w:p w14:paraId="0346B92A" w14:textId="3FE3C5B4" w:rsidR="00C95E1D" w:rsidRDefault="005727EA">
          <w:pPr>
            <w:pStyle w:val="TOC2"/>
            <w:tabs>
              <w:tab w:val="left" w:pos="880"/>
              <w:tab w:val="right" w:leader="dot" w:pos="9240"/>
            </w:tabs>
            <w:rPr>
              <w:rFonts w:asciiTheme="minorHAnsi" w:eastAsiaTheme="minorEastAsia" w:hAnsiTheme="minorHAnsi"/>
              <w:i w:val="0"/>
              <w:noProof/>
              <w:sz w:val="22"/>
              <w:szCs w:val="22"/>
              <w:lang w:val="en-ZA" w:eastAsia="en-ZA"/>
            </w:rPr>
          </w:pPr>
          <w:r w:rsidRPr="006E09B4">
            <w:rPr>
              <w:rFonts w:cs="Arial"/>
              <w:b/>
              <w:bCs/>
              <w:i w:val="0"/>
              <w:sz w:val="24"/>
              <w:szCs w:val="24"/>
            </w:rPr>
            <w:fldChar w:fldCharType="begin"/>
          </w:r>
          <w:r w:rsidRPr="006E09B4">
            <w:rPr>
              <w:rFonts w:cs="Arial"/>
              <w:b/>
              <w:bCs/>
              <w:i w:val="0"/>
              <w:sz w:val="24"/>
              <w:szCs w:val="24"/>
            </w:rPr>
            <w:instrText xml:space="preserve"> TOC \o "1-3" \h \z \u </w:instrText>
          </w:r>
          <w:r w:rsidRPr="006E09B4">
            <w:rPr>
              <w:rFonts w:cs="Arial"/>
              <w:b/>
              <w:bCs/>
              <w:i w:val="0"/>
              <w:sz w:val="24"/>
              <w:szCs w:val="24"/>
            </w:rPr>
            <w:fldChar w:fldCharType="separate"/>
          </w:r>
          <w:hyperlink w:anchor="_Toc128474600" w:history="1">
            <w:r w:rsidR="00C95E1D" w:rsidRPr="001610C1">
              <w:rPr>
                <w:rStyle w:val="Hyperlink"/>
                <w:rFonts w:cs="Arial"/>
                <w:noProof/>
                <w:spacing w:val="-1"/>
              </w:rPr>
              <w:t>1.</w:t>
            </w:r>
            <w:r w:rsidR="00C95E1D">
              <w:rPr>
                <w:rFonts w:asciiTheme="minorHAnsi" w:eastAsiaTheme="minorEastAsia" w:hAnsiTheme="minorHAnsi"/>
                <w:i w:val="0"/>
                <w:noProof/>
                <w:sz w:val="22"/>
                <w:szCs w:val="22"/>
                <w:lang w:val="en-ZA" w:eastAsia="en-ZA"/>
              </w:rPr>
              <w:tab/>
            </w:r>
            <w:r w:rsidR="00C95E1D" w:rsidRPr="001610C1">
              <w:rPr>
                <w:rStyle w:val="Hyperlink"/>
                <w:rFonts w:cs="Arial"/>
                <w:noProof/>
                <w:spacing w:val="-1"/>
              </w:rPr>
              <w:t>Introduction</w:t>
            </w:r>
            <w:r w:rsidR="00C95E1D">
              <w:rPr>
                <w:noProof/>
                <w:webHidden/>
              </w:rPr>
              <w:tab/>
            </w:r>
            <w:r w:rsidR="00C95E1D">
              <w:rPr>
                <w:noProof/>
                <w:webHidden/>
              </w:rPr>
              <w:fldChar w:fldCharType="begin"/>
            </w:r>
            <w:r w:rsidR="00C95E1D">
              <w:rPr>
                <w:noProof/>
                <w:webHidden/>
              </w:rPr>
              <w:instrText xml:space="preserve"> PAGEREF _Toc128474600 \h </w:instrText>
            </w:r>
            <w:r w:rsidR="00C95E1D">
              <w:rPr>
                <w:noProof/>
                <w:webHidden/>
              </w:rPr>
            </w:r>
            <w:r w:rsidR="00C95E1D">
              <w:rPr>
                <w:noProof/>
                <w:webHidden/>
              </w:rPr>
              <w:fldChar w:fldCharType="separate"/>
            </w:r>
            <w:r w:rsidR="00C95E1D">
              <w:rPr>
                <w:noProof/>
                <w:webHidden/>
              </w:rPr>
              <w:t>3</w:t>
            </w:r>
            <w:r w:rsidR="00C95E1D">
              <w:rPr>
                <w:noProof/>
                <w:webHidden/>
              </w:rPr>
              <w:fldChar w:fldCharType="end"/>
            </w:r>
          </w:hyperlink>
        </w:p>
        <w:p w14:paraId="4B3A2B91" w14:textId="7388BCCC" w:rsidR="00C95E1D" w:rsidRDefault="00C95E1D">
          <w:pPr>
            <w:pStyle w:val="TOC2"/>
            <w:tabs>
              <w:tab w:val="left" w:pos="880"/>
              <w:tab w:val="right" w:leader="dot" w:pos="9240"/>
            </w:tabs>
            <w:rPr>
              <w:rFonts w:asciiTheme="minorHAnsi" w:eastAsiaTheme="minorEastAsia" w:hAnsiTheme="minorHAnsi"/>
              <w:i w:val="0"/>
              <w:noProof/>
              <w:sz w:val="22"/>
              <w:szCs w:val="22"/>
              <w:lang w:val="en-ZA" w:eastAsia="en-ZA"/>
            </w:rPr>
          </w:pPr>
          <w:hyperlink w:anchor="_Toc128474601" w:history="1">
            <w:r w:rsidRPr="001610C1">
              <w:rPr>
                <w:rStyle w:val="Hyperlink"/>
                <w:rFonts w:cs="Arial"/>
                <w:noProof/>
                <w:spacing w:val="-1"/>
              </w:rPr>
              <w:t>2.</w:t>
            </w:r>
            <w:r>
              <w:rPr>
                <w:rFonts w:asciiTheme="minorHAnsi" w:eastAsiaTheme="minorEastAsia" w:hAnsiTheme="minorHAnsi"/>
                <w:i w:val="0"/>
                <w:noProof/>
                <w:sz w:val="22"/>
                <w:szCs w:val="22"/>
                <w:lang w:val="en-ZA" w:eastAsia="en-ZA"/>
              </w:rPr>
              <w:tab/>
            </w:r>
            <w:r w:rsidRPr="001610C1">
              <w:rPr>
                <w:rStyle w:val="Hyperlink"/>
                <w:rFonts w:cs="Arial"/>
                <w:noProof/>
                <w:spacing w:val="-1"/>
              </w:rPr>
              <w:t>The need for the Standard</w:t>
            </w:r>
            <w:r>
              <w:rPr>
                <w:noProof/>
                <w:webHidden/>
              </w:rPr>
              <w:tab/>
            </w:r>
            <w:r>
              <w:rPr>
                <w:noProof/>
                <w:webHidden/>
              </w:rPr>
              <w:fldChar w:fldCharType="begin"/>
            </w:r>
            <w:r>
              <w:rPr>
                <w:noProof/>
                <w:webHidden/>
              </w:rPr>
              <w:instrText xml:space="preserve"> PAGEREF _Toc128474601 \h </w:instrText>
            </w:r>
            <w:r>
              <w:rPr>
                <w:noProof/>
                <w:webHidden/>
              </w:rPr>
            </w:r>
            <w:r>
              <w:rPr>
                <w:noProof/>
                <w:webHidden/>
              </w:rPr>
              <w:fldChar w:fldCharType="separate"/>
            </w:r>
            <w:r>
              <w:rPr>
                <w:noProof/>
                <w:webHidden/>
              </w:rPr>
              <w:t>3</w:t>
            </w:r>
            <w:r>
              <w:rPr>
                <w:noProof/>
                <w:webHidden/>
              </w:rPr>
              <w:fldChar w:fldCharType="end"/>
            </w:r>
          </w:hyperlink>
        </w:p>
        <w:p w14:paraId="11A63312" w14:textId="51E4258C" w:rsidR="00C95E1D" w:rsidRDefault="00C95E1D">
          <w:pPr>
            <w:pStyle w:val="TOC2"/>
            <w:tabs>
              <w:tab w:val="left" w:pos="880"/>
              <w:tab w:val="right" w:leader="dot" w:pos="9240"/>
            </w:tabs>
            <w:rPr>
              <w:rFonts w:asciiTheme="minorHAnsi" w:eastAsiaTheme="minorEastAsia" w:hAnsiTheme="minorHAnsi"/>
              <w:i w:val="0"/>
              <w:noProof/>
              <w:sz w:val="22"/>
              <w:szCs w:val="22"/>
              <w:lang w:val="en-ZA" w:eastAsia="en-ZA"/>
            </w:rPr>
          </w:pPr>
          <w:hyperlink w:anchor="_Toc128474602" w:history="1">
            <w:r w:rsidRPr="001610C1">
              <w:rPr>
                <w:rStyle w:val="Hyperlink"/>
                <w:rFonts w:cs="Arial"/>
                <w:noProof/>
                <w:spacing w:val="-1"/>
              </w:rPr>
              <w:t>3.</w:t>
            </w:r>
            <w:r>
              <w:rPr>
                <w:rFonts w:asciiTheme="minorHAnsi" w:eastAsiaTheme="minorEastAsia" w:hAnsiTheme="minorHAnsi"/>
                <w:i w:val="0"/>
                <w:noProof/>
                <w:sz w:val="22"/>
                <w:szCs w:val="22"/>
                <w:lang w:val="en-ZA" w:eastAsia="en-ZA"/>
              </w:rPr>
              <w:tab/>
            </w:r>
            <w:r w:rsidRPr="001610C1">
              <w:rPr>
                <w:rStyle w:val="Hyperlink"/>
                <w:rFonts w:cs="Arial"/>
                <w:noProof/>
                <w:spacing w:val="-1"/>
              </w:rPr>
              <w:t>The intended operation of the Standard</w:t>
            </w:r>
            <w:r>
              <w:rPr>
                <w:noProof/>
                <w:webHidden/>
              </w:rPr>
              <w:tab/>
            </w:r>
            <w:r>
              <w:rPr>
                <w:noProof/>
                <w:webHidden/>
              </w:rPr>
              <w:fldChar w:fldCharType="begin"/>
            </w:r>
            <w:r>
              <w:rPr>
                <w:noProof/>
                <w:webHidden/>
              </w:rPr>
              <w:instrText xml:space="preserve"> PAGEREF _Toc128474602 \h </w:instrText>
            </w:r>
            <w:r>
              <w:rPr>
                <w:noProof/>
                <w:webHidden/>
              </w:rPr>
            </w:r>
            <w:r>
              <w:rPr>
                <w:noProof/>
                <w:webHidden/>
              </w:rPr>
              <w:fldChar w:fldCharType="separate"/>
            </w:r>
            <w:r>
              <w:rPr>
                <w:noProof/>
                <w:webHidden/>
              </w:rPr>
              <w:t>4</w:t>
            </w:r>
            <w:r>
              <w:rPr>
                <w:noProof/>
                <w:webHidden/>
              </w:rPr>
              <w:fldChar w:fldCharType="end"/>
            </w:r>
          </w:hyperlink>
        </w:p>
        <w:p w14:paraId="3001F868" w14:textId="73FD7462" w:rsidR="00C95E1D" w:rsidRDefault="00C95E1D">
          <w:pPr>
            <w:pStyle w:val="TOC2"/>
            <w:tabs>
              <w:tab w:val="left" w:pos="880"/>
              <w:tab w:val="right" w:leader="dot" w:pos="9240"/>
            </w:tabs>
            <w:rPr>
              <w:rFonts w:asciiTheme="minorHAnsi" w:eastAsiaTheme="minorEastAsia" w:hAnsiTheme="minorHAnsi"/>
              <w:i w:val="0"/>
              <w:noProof/>
              <w:sz w:val="22"/>
              <w:szCs w:val="22"/>
              <w:lang w:val="en-ZA" w:eastAsia="en-ZA"/>
            </w:rPr>
          </w:pPr>
          <w:hyperlink w:anchor="_Toc128474603" w:history="1">
            <w:r w:rsidRPr="001610C1">
              <w:rPr>
                <w:rStyle w:val="Hyperlink"/>
                <w:rFonts w:cs="Arial"/>
                <w:noProof/>
                <w:spacing w:val="-1"/>
              </w:rPr>
              <w:t>4.</w:t>
            </w:r>
            <w:r>
              <w:rPr>
                <w:rFonts w:asciiTheme="minorHAnsi" w:eastAsiaTheme="minorEastAsia" w:hAnsiTheme="minorHAnsi"/>
                <w:i w:val="0"/>
                <w:noProof/>
                <w:sz w:val="22"/>
                <w:szCs w:val="22"/>
                <w:lang w:val="en-ZA" w:eastAsia="en-ZA"/>
              </w:rPr>
              <w:tab/>
            </w:r>
            <w:r w:rsidRPr="001610C1">
              <w:rPr>
                <w:rStyle w:val="Hyperlink"/>
                <w:rFonts w:cs="Arial"/>
                <w:noProof/>
                <w:spacing w:val="-1"/>
              </w:rPr>
              <w:t>Expected impact of the Standard</w:t>
            </w:r>
            <w:r>
              <w:rPr>
                <w:noProof/>
                <w:webHidden/>
              </w:rPr>
              <w:tab/>
            </w:r>
            <w:r>
              <w:rPr>
                <w:noProof/>
                <w:webHidden/>
              </w:rPr>
              <w:fldChar w:fldCharType="begin"/>
            </w:r>
            <w:r>
              <w:rPr>
                <w:noProof/>
                <w:webHidden/>
              </w:rPr>
              <w:instrText xml:space="preserve"> PAGEREF _Toc128474603 \h </w:instrText>
            </w:r>
            <w:r>
              <w:rPr>
                <w:noProof/>
                <w:webHidden/>
              </w:rPr>
            </w:r>
            <w:r>
              <w:rPr>
                <w:noProof/>
                <w:webHidden/>
              </w:rPr>
              <w:fldChar w:fldCharType="separate"/>
            </w:r>
            <w:r>
              <w:rPr>
                <w:noProof/>
                <w:webHidden/>
              </w:rPr>
              <w:t>5</w:t>
            </w:r>
            <w:r>
              <w:rPr>
                <w:noProof/>
                <w:webHidden/>
              </w:rPr>
              <w:fldChar w:fldCharType="end"/>
            </w:r>
          </w:hyperlink>
        </w:p>
        <w:p w14:paraId="56A37077" w14:textId="7148B528" w:rsidR="00C95E1D" w:rsidRDefault="00C95E1D">
          <w:pPr>
            <w:pStyle w:val="TOC2"/>
            <w:tabs>
              <w:tab w:val="left" w:pos="880"/>
              <w:tab w:val="right" w:leader="dot" w:pos="9240"/>
            </w:tabs>
            <w:rPr>
              <w:rFonts w:asciiTheme="minorHAnsi" w:eastAsiaTheme="minorEastAsia" w:hAnsiTheme="minorHAnsi"/>
              <w:i w:val="0"/>
              <w:noProof/>
              <w:sz w:val="22"/>
              <w:szCs w:val="22"/>
              <w:lang w:val="en-ZA" w:eastAsia="en-ZA"/>
            </w:rPr>
          </w:pPr>
          <w:hyperlink w:anchor="_Toc128474604" w:history="1">
            <w:r w:rsidRPr="001610C1">
              <w:rPr>
                <w:rStyle w:val="Hyperlink"/>
                <w:rFonts w:cs="Arial"/>
                <w:noProof/>
                <w:spacing w:val="-1"/>
              </w:rPr>
              <w:t>5.</w:t>
            </w:r>
            <w:r>
              <w:rPr>
                <w:rFonts w:asciiTheme="minorHAnsi" w:eastAsiaTheme="minorEastAsia" w:hAnsiTheme="minorHAnsi"/>
                <w:i w:val="0"/>
                <w:noProof/>
                <w:sz w:val="22"/>
                <w:szCs w:val="22"/>
                <w:lang w:val="en-ZA" w:eastAsia="en-ZA"/>
              </w:rPr>
              <w:tab/>
            </w:r>
            <w:r w:rsidRPr="001610C1">
              <w:rPr>
                <w:rStyle w:val="Hyperlink"/>
                <w:rFonts w:cs="Arial"/>
                <w:noProof/>
                <w:spacing w:val="-1"/>
              </w:rPr>
              <w:t>Conclusion</w:t>
            </w:r>
            <w:r>
              <w:rPr>
                <w:noProof/>
                <w:webHidden/>
              </w:rPr>
              <w:tab/>
            </w:r>
            <w:r>
              <w:rPr>
                <w:noProof/>
                <w:webHidden/>
              </w:rPr>
              <w:fldChar w:fldCharType="begin"/>
            </w:r>
            <w:r>
              <w:rPr>
                <w:noProof/>
                <w:webHidden/>
              </w:rPr>
              <w:instrText xml:space="preserve"> PAGEREF _Toc128474604 \h </w:instrText>
            </w:r>
            <w:r>
              <w:rPr>
                <w:noProof/>
                <w:webHidden/>
              </w:rPr>
            </w:r>
            <w:r>
              <w:rPr>
                <w:noProof/>
                <w:webHidden/>
              </w:rPr>
              <w:fldChar w:fldCharType="separate"/>
            </w:r>
            <w:r>
              <w:rPr>
                <w:noProof/>
                <w:webHidden/>
              </w:rPr>
              <w:t>9</w:t>
            </w:r>
            <w:r>
              <w:rPr>
                <w:noProof/>
                <w:webHidden/>
              </w:rPr>
              <w:fldChar w:fldCharType="end"/>
            </w:r>
          </w:hyperlink>
        </w:p>
        <w:p w14:paraId="02BD3E11" w14:textId="108AB423" w:rsidR="005727EA" w:rsidRDefault="005727EA" w:rsidP="00E17151">
          <w:pPr>
            <w:spacing w:after="360"/>
            <w:ind w:hanging="425"/>
          </w:pPr>
          <w:r w:rsidRPr="006E09B4">
            <w:rPr>
              <w:rFonts w:cs="Arial"/>
              <w:b/>
              <w:bCs/>
              <w:noProof/>
              <w:szCs w:val="24"/>
            </w:rPr>
            <w:fldChar w:fldCharType="end"/>
          </w:r>
        </w:p>
      </w:sdtContent>
    </w:sdt>
    <w:p w14:paraId="2808097B" w14:textId="77777777" w:rsidR="00A61CAE" w:rsidRPr="00585419" w:rsidRDefault="00A61CAE">
      <w:pPr>
        <w:rPr>
          <w:rFonts w:eastAsia="Arial" w:cs="Arial"/>
        </w:rPr>
      </w:pPr>
    </w:p>
    <w:p w14:paraId="4710D659" w14:textId="77777777" w:rsidR="00CD6811" w:rsidRDefault="00CD6811">
      <w:pPr>
        <w:rPr>
          <w:rFonts w:eastAsia="Arial" w:cs="Arial"/>
        </w:rPr>
      </w:pPr>
    </w:p>
    <w:p w14:paraId="01AA721F" w14:textId="002C85AC" w:rsidR="00CD6811" w:rsidRPr="008369F0" w:rsidRDefault="00CD6811">
      <w:pPr>
        <w:rPr>
          <w:rFonts w:eastAsia="Arial" w:cs="Arial"/>
        </w:rPr>
        <w:sectPr w:rsidR="00CD6811" w:rsidRPr="008369F0" w:rsidSect="001470AE">
          <w:headerReference w:type="default" r:id="rId9"/>
          <w:footerReference w:type="default" r:id="rId10"/>
          <w:pgSz w:w="11910" w:h="16840"/>
          <w:pgMar w:top="1020" w:right="1320" w:bottom="1160" w:left="1340" w:header="733" w:footer="961" w:gutter="0"/>
          <w:pgNumType w:start="2"/>
          <w:cols w:space="720"/>
          <w:titlePg/>
          <w:docGrid w:linePitch="326"/>
        </w:sectPr>
      </w:pPr>
    </w:p>
    <w:p w14:paraId="1FDC60A8" w14:textId="44372CEE" w:rsidR="00515925" w:rsidRPr="00CD6811" w:rsidRDefault="00515925" w:rsidP="005C52D3">
      <w:pPr>
        <w:pStyle w:val="Heading2"/>
        <w:numPr>
          <w:ilvl w:val="0"/>
          <w:numId w:val="5"/>
        </w:numPr>
        <w:tabs>
          <w:tab w:val="left" w:pos="851"/>
        </w:tabs>
        <w:spacing w:line="360" w:lineRule="auto"/>
        <w:ind w:left="1134" w:hanging="1134"/>
        <w:jc w:val="both"/>
        <w:rPr>
          <w:rFonts w:cs="Arial"/>
          <w:spacing w:val="-1"/>
          <w:sz w:val="24"/>
          <w:szCs w:val="24"/>
        </w:rPr>
      </w:pPr>
      <w:bookmarkStart w:id="0" w:name="List_of_acronyms"/>
      <w:bookmarkStart w:id="1" w:name="1._Introduction"/>
      <w:bookmarkStart w:id="2" w:name="_Toc94699811"/>
      <w:bookmarkStart w:id="3" w:name="_Toc128474600"/>
      <w:bookmarkEnd w:id="0"/>
      <w:bookmarkEnd w:id="1"/>
      <w:r w:rsidRPr="00CD6811">
        <w:rPr>
          <w:rFonts w:cs="Arial"/>
          <w:spacing w:val="-1"/>
          <w:sz w:val="24"/>
          <w:szCs w:val="24"/>
        </w:rPr>
        <w:lastRenderedPageBreak/>
        <w:t>Introduction</w:t>
      </w:r>
      <w:bookmarkEnd w:id="2"/>
      <w:bookmarkEnd w:id="3"/>
    </w:p>
    <w:p w14:paraId="28D4C7B5" w14:textId="19A10BC3" w:rsidR="00B11430" w:rsidRPr="00591497" w:rsidRDefault="00B11430" w:rsidP="005C52D3">
      <w:pPr>
        <w:pStyle w:val="ListParagraph"/>
        <w:widowControl/>
        <w:numPr>
          <w:ilvl w:val="1"/>
          <w:numId w:val="39"/>
        </w:numPr>
        <w:autoSpaceDE w:val="0"/>
        <w:autoSpaceDN w:val="0"/>
        <w:adjustRightInd w:val="0"/>
        <w:spacing w:before="240" w:line="360" w:lineRule="auto"/>
        <w:ind w:left="851" w:hanging="851"/>
        <w:jc w:val="both"/>
        <w:rPr>
          <w:rFonts w:cs="Arial"/>
          <w:bCs/>
          <w:color w:val="000000" w:themeColor="text1"/>
          <w:szCs w:val="24"/>
        </w:rPr>
      </w:pPr>
      <w:r w:rsidRPr="00591497">
        <w:rPr>
          <w:rFonts w:cs="Arial"/>
          <w:bCs/>
          <w:color w:val="000000" w:themeColor="text1"/>
          <w:szCs w:val="24"/>
        </w:rPr>
        <w:t>In terms of the Financial Sector Regulation Act</w:t>
      </w:r>
      <w:r w:rsidR="00F964A1" w:rsidRPr="00591497">
        <w:rPr>
          <w:rFonts w:cs="Arial"/>
          <w:bCs/>
          <w:color w:val="000000" w:themeColor="text1"/>
          <w:szCs w:val="24"/>
        </w:rPr>
        <w:t xml:space="preserve"> </w:t>
      </w:r>
      <w:r w:rsidRPr="00591497">
        <w:rPr>
          <w:rFonts w:cs="Arial"/>
          <w:bCs/>
          <w:color w:val="000000" w:themeColor="text1"/>
          <w:szCs w:val="24"/>
        </w:rPr>
        <w:t>No. 9 of 2017</w:t>
      </w:r>
      <w:r w:rsidR="00F964A1" w:rsidRPr="00591497">
        <w:rPr>
          <w:rFonts w:cs="Arial"/>
          <w:bCs/>
          <w:color w:val="000000" w:themeColor="text1"/>
          <w:szCs w:val="24"/>
        </w:rPr>
        <w:t xml:space="preserve"> </w:t>
      </w:r>
      <w:r w:rsidRPr="00591497">
        <w:rPr>
          <w:rFonts w:cs="Arial"/>
          <w:bCs/>
          <w:color w:val="000000" w:themeColor="text1"/>
          <w:szCs w:val="24"/>
        </w:rPr>
        <w:t>(FSR Act), a regulatory instrument (</w:t>
      </w:r>
      <w:r w:rsidR="00591497" w:rsidRPr="00591497">
        <w:rPr>
          <w:rFonts w:cs="Arial"/>
          <w:bCs/>
          <w:color w:val="000000" w:themeColor="text1"/>
          <w:szCs w:val="24"/>
        </w:rPr>
        <w:t>i.e.,</w:t>
      </w:r>
      <w:r w:rsidRPr="00591497">
        <w:rPr>
          <w:rFonts w:cs="Arial"/>
          <w:bCs/>
          <w:color w:val="000000" w:themeColor="text1"/>
          <w:szCs w:val="24"/>
        </w:rPr>
        <w:t xml:space="preserve"> a prudential, conduct or joint standard) must not be made unless the maker, in this case, the</w:t>
      </w:r>
      <w:r w:rsidRPr="00591497">
        <w:rPr>
          <w:rFonts w:cs="Arial"/>
          <w:szCs w:val="24"/>
        </w:rPr>
        <w:t xml:space="preserve"> </w:t>
      </w:r>
      <w:r w:rsidRPr="00591497">
        <w:rPr>
          <w:rFonts w:cs="Arial"/>
          <w:bCs/>
          <w:color w:val="000000" w:themeColor="text1"/>
          <w:szCs w:val="24"/>
        </w:rPr>
        <w:t>Prudential Authority (PA) has published</w:t>
      </w:r>
      <w:r w:rsidR="0026049B">
        <w:rPr>
          <w:rFonts w:cs="Arial"/>
          <w:bCs/>
          <w:color w:val="000000" w:themeColor="text1"/>
          <w:szCs w:val="24"/>
        </w:rPr>
        <w:t xml:space="preserve"> -</w:t>
      </w:r>
    </w:p>
    <w:p w14:paraId="05FE27D3" w14:textId="7CC5440D" w:rsidR="00B11430" w:rsidRPr="005C52D3" w:rsidRDefault="00F964A1" w:rsidP="005C52D3">
      <w:pPr>
        <w:pStyle w:val="Heading4"/>
        <w:numPr>
          <w:ilvl w:val="0"/>
          <w:numId w:val="57"/>
        </w:numPr>
        <w:spacing w:after="240" w:line="360" w:lineRule="auto"/>
        <w:ind w:left="1418" w:hanging="567"/>
        <w:rPr>
          <w:rFonts w:eastAsiaTheme="minorHAnsi" w:cs="Arial"/>
          <w:iCs w:val="0"/>
          <w:color w:val="auto"/>
          <w:lang w:val="en-US"/>
        </w:rPr>
      </w:pPr>
      <w:r w:rsidRPr="005C52D3">
        <w:rPr>
          <w:rFonts w:eastAsiaTheme="minorHAnsi" w:cs="Arial"/>
          <w:iCs w:val="0"/>
          <w:color w:val="auto"/>
          <w:lang w:val="en-US"/>
        </w:rPr>
        <w:t>the</w:t>
      </w:r>
      <w:r w:rsidR="00B11430" w:rsidRPr="005C52D3">
        <w:rPr>
          <w:rFonts w:eastAsiaTheme="minorHAnsi" w:cs="Arial"/>
          <w:iCs w:val="0"/>
          <w:color w:val="auto"/>
          <w:lang w:val="en-US"/>
        </w:rPr>
        <w:t xml:space="preserve"> draft of the regulatory </w:t>
      </w:r>
      <w:proofErr w:type="gramStart"/>
      <w:r w:rsidR="00B11430" w:rsidRPr="005C52D3">
        <w:rPr>
          <w:rFonts w:eastAsiaTheme="minorHAnsi" w:cs="Arial"/>
          <w:iCs w:val="0"/>
          <w:color w:val="auto"/>
          <w:lang w:val="en-US"/>
        </w:rPr>
        <w:t>instrument;</w:t>
      </w:r>
      <w:proofErr w:type="gramEnd"/>
      <w:r w:rsidR="00B11430" w:rsidRPr="005C52D3">
        <w:rPr>
          <w:rFonts w:eastAsiaTheme="minorHAnsi" w:cs="Arial"/>
          <w:iCs w:val="0"/>
          <w:color w:val="auto"/>
          <w:lang w:val="en-US"/>
        </w:rPr>
        <w:t xml:space="preserve"> </w:t>
      </w:r>
    </w:p>
    <w:p w14:paraId="024A7E8E" w14:textId="77777777" w:rsidR="00B11430" w:rsidRPr="005C52D3" w:rsidRDefault="00B11430" w:rsidP="005C52D3">
      <w:pPr>
        <w:pStyle w:val="Heading4"/>
        <w:numPr>
          <w:ilvl w:val="0"/>
          <w:numId w:val="57"/>
        </w:numPr>
        <w:spacing w:after="240" w:line="360" w:lineRule="auto"/>
        <w:ind w:left="1418" w:hanging="567"/>
        <w:rPr>
          <w:rFonts w:eastAsiaTheme="minorHAnsi" w:cs="Arial"/>
          <w:iCs w:val="0"/>
          <w:color w:val="auto"/>
          <w:lang w:val="en-US"/>
        </w:rPr>
      </w:pPr>
      <w:r w:rsidRPr="005C52D3">
        <w:rPr>
          <w:rFonts w:eastAsiaTheme="minorHAnsi" w:cs="Arial"/>
          <w:iCs w:val="0"/>
          <w:color w:val="auto"/>
          <w:lang w:val="en-US"/>
        </w:rPr>
        <w:t xml:space="preserve">a statement explaining the need for and the intended operation of the regulatory </w:t>
      </w:r>
      <w:proofErr w:type="gramStart"/>
      <w:r w:rsidRPr="005C52D3">
        <w:rPr>
          <w:rFonts w:eastAsiaTheme="minorHAnsi" w:cs="Arial"/>
          <w:iCs w:val="0"/>
          <w:color w:val="auto"/>
          <w:lang w:val="en-US"/>
        </w:rPr>
        <w:t>instrument;</w:t>
      </w:r>
      <w:proofErr w:type="gramEnd"/>
      <w:r w:rsidRPr="005C52D3">
        <w:rPr>
          <w:rFonts w:eastAsiaTheme="minorHAnsi" w:cs="Arial"/>
          <w:iCs w:val="0"/>
          <w:color w:val="auto"/>
          <w:lang w:val="en-US"/>
        </w:rPr>
        <w:t xml:space="preserve"> </w:t>
      </w:r>
    </w:p>
    <w:p w14:paraId="13725AF0" w14:textId="12B2BDD8" w:rsidR="007937F6" w:rsidRPr="005C52D3" w:rsidRDefault="007937F6" w:rsidP="005C52D3">
      <w:pPr>
        <w:pStyle w:val="Heading4"/>
        <w:numPr>
          <w:ilvl w:val="0"/>
          <w:numId w:val="57"/>
        </w:numPr>
        <w:spacing w:after="240" w:line="360" w:lineRule="auto"/>
        <w:ind w:left="1418" w:hanging="567"/>
        <w:rPr>
          <w:rFonts w:eastAsiaTheme="minorHAnsi" w:cs="Arial"/>
          <w:iCs w:val="0"/>
          <w:color w:val="auto"/>
          <w:lang w:val="en-US"/>
        </w:rPr>
      </w:pPr>
      <w:r w:rsidRPr="005C52D3">
        <w:rPr>
          <w:rFonts w:eastAsiaTheme="minorHAnsi" w:cs="Arial"/>
          <w:iCs w:val="0"/>
          <w:color w:val="auto"/>
          <w:lang w:val="en-US"/>
        </w:rPr>
        <w:t xml:space="preserve">a statement of the expected impact of the regulatory instrument; and </w:t>
      </w:r>
    </w:p>
    <w:p w14:paraId="0040802E" w14:textId="12312F9A" w:rsidR="00B11430" w:rsidRPr="005C52D3" w:rsidRDefault="00B11430" w:rsidP="005C52D3">
      <w:pPr>
        <w:pStyle w:val="Heading4"/>
        <w:numPr>
          <w:ilvl w:val="0"/>
          <w:numId w:val="57"/>
        </w:numPr>
        <w:spacing w:after="240" w:line="360" w:lineRule="auto"/>
        <w:ind w:left="1418" w:hanging="567"/>
        <w:rPr>
          <w:rFonts w:eastAsiaTheme="minorHAnsi" w:cs="Arial"/>
          <w:iCs w:val="0"/>
          <w:color w:val="auto"/>
          <w:lang w:val="en-US"/>
        </w:rPr>
      </w:pPr>
      <w:r w:rsidRPr="005C52D3">
        <w:rPr>
          <w:rFonts w:eastAsiaTheme="minorHAnsi" w:cs="Arial"/>
          <w:iCs w:val="0"/>
          <w:color w:val="auto"/>
          <w:lang w:val="en-US"/>
        </w:rPr>
        <w:t>a notice inviting submissions in relation to the regulatory instrument and stating where, how and by when submissions are to be made</w:t>
      </w:r>
      <w:r w:rsidR="007937F6" w:rsidRPr="005C52D3">
        <w:rPr>
          <w:rFonts w:eastAsiaTheme="minorHAnsi" w:cs="Arial"/>
          <w:iCs w:val="0"/>
          <w:color w:val="auto"/>
          <w:lang w:val="en-US"/>
        </w:rPr>
        <w:t>.</w:t>
      </w:r>
      <w:r w:rsidRPr="005C52D3">
        <w:rPr>
          <w:rFonts w:eastAsiaTheme="minorHAnsi" w:cs="Arial"/>
          <w:iCs w:val="0"/>
          <w:color w:val="auto"/>
          <w:lang w:val="en-US"/>
        </w:rPr>
        <w:t xml:space="preserve"> </w:t>
      </w:r>
    </w:p>
    <w:p w14:paraId="29F2661B" w14:textId="21020486" w:rsidR="00B11430" w:rsidRDefault="00B11430" w:rsidP="005C52D3">
      <w:pPr>
        <w:pStyle w:val="ListParagraph"/>
        <w:widowControl/>
        <w:numPr>
          <w:ilvl w:val="1"/>
          <w:numId w:val="39"/>
        </w:numPr>
        <w:autoSpaceDE w:val="0"/>
        <w:autoSpaceDN w:val="0"/>
        <w:adjustRightInd w:val="0"/>
        <w:spacing w:before="240" w:line="360" w:lineRule="auto"/>
        <w:ind w:left="851" w:hanging="720"/>
        <w:jc w:val="both"/>
        <w:rPr>
          <w:rFonts w:cs="Arial"/>
          <w:bCs/>
          <w:color w:val="000000" w:themeColor="text1"/>
          <w:szCs w:val="24"/>
        </w:rPr>
      </w:pPr>
      <w:r w:rsidRPr="00BC6735">
        <w:rPr>
          <w:rFonts w:cs="Arial"/>
          <w:bCs/>
          <w:color w:val="000000" w:themeColor="text1"/>
          <w:szCs w:val="24"/>
        </w:rPr>
        <w:t xml:space="preserve">In line with the requirements under the FSR Act, the </w:t>
      </w:r>
      <w:r w:rsidR="00F964A1" w:rsidRPr="00BC6735">
        <w:rPr>
          <w:rFonts w:cs="Arial"/>
          <w:bCs/>
          <w:color w:val="000000" w:themeColor="text1"/>
          <w:szCs w:val="24"/>
        </w:rPr>
        <w:t xml:space="preserve">PA has </w:t>
      </w:r>
      <w:r w:rsidRPr="00BC6735">
        <w:rPr>
          <w:rFonts w:cs="Arial"/>
          <w:bCs/>
          <w:color w:val="000000" w:themeColor="text1"/>
          <w:szCs w:val="24"/>
        </w:rPr>
        <w:t xml:space="preserve">prepared </w:t>
      </w:r>
      <w:r w:rsidR="00591497" w:rsidRPr="00BC6735">
        <w:rPr>
          <w:rFonts w:cs="Arial"/>
          <w:bCs/>
          <w:color w:val="000000" w:themeColor="text1"/>
          <w:szCs w:val="24"/>
        </w:rPr>
        <w:t>this</w:t>
      </w:r>
      <w:r w:rsidRPr="00BC6735">
        <w:rPr>
          <w:rFonts w:cs="Arial"/>
          <w:bCs/>
          <w:color w:val="000000" w:themeColor="text1"/>
          <w:szCs w:val="24"/>
        </w:rPr>
        <w:t xml:space="preserve"> statement </w:t>
      </w:r>
      <w:r w:rsidR="00591497" w:rsidRPr="00BC6735">
        <w:rPr>
          <w:rFonts w:cs="Arial"/>
          <w:bCs/>
          <w:color w:val="000000" w:themeColor="text1"/>
          <w:szCs w:val="24"/>
        </w:rPr>
        <w:t xml:space="preserve">to </w:t>
      </w:r>
      <w:r w:rsidR="00F964A1" w:rsidRPr="00BC6735">
        <w:rPr>
          <w:rFonts w:cs="Arial"/>
          <w:bCs/>
          <w:color w:val="000000" w:themeColor="text1"/>
          <w:szCs w:val="24"/>
        </w:rPr>
        <w:t>explain</w:t>
      </w:r>
      <w:r w:rsidR="00591497" w:rsidRPr="00BC6735">
        <w:rPr>
          <w:rFonts w:cs="Arial"/>
          <w:bCs/>
          <w:color w:val="000000" w:themeColor="text1"/>
          <w:szCs w:val="24"/>
        </w:rPr>
        <w:t xml:space="preserve"> </w:t>
      </w:r>
      <w:r w:rsidR="00F964A1" w:rsidRPr="00BC6735">
        <w:rPr>
          <w:rFonts w:cs="Arial"/>
          <w:bCs/>
          <w:color w:val="000000" w:themeColor="text1"/>
          <w:szCs w:val="24"/>
        </w:rPr>
        <w:t xml:space="preserve">the </w:t>
      </w:r>
      <w:r w:rsidRPr="00BC6735">
        <w:rPr>
          <w:rFonts w:cs="Arial"/>
          <w:bCs/>
          <w:color w:val="000000" w:themeColor="text1"/>
          <w:szCs w:val="24"/>
        </w:rPr>
        <w:t>need for</w:t>
      </w:r>
      <w:r w:rsidR="00F964A1" w:rsidRPr="00BC6735">
        <w:rPr>
          <w:rFonts w:cs="Arial"/>
          <w:bCs/>
          <w:color w:val="000000" w:themeColor="text1"/>
          <w:szCs w:val="24"/>
        </w:rPr>
        <w:t xml:space="preserve"> </w:t>
      </w:r>
      <w:r w:rsidR="00A12FD8" w:rsidRPr="00BC6735">
        <w:rPr>
          <w:rFonts w:cs="Arial"/>
          <w:bCs/>
          <w:color w:val="000000" w:themeColor="text1"/>
          <w:szCs w:val="24"/>
        </w:rPr>
        <w:t xml:space="preserve">the </w:t>
      </w:r>
      <w:r w:rsidR="00A12FD8">
        <w:rPr>
          <w:rFonts w:cs="Arial"/>
          <w:bCs/>
          <w:color w:val="000000" w:themeColor="text1"/>
          <w:szCs w:val="24"/>
        </w:rPr>
        <w:t>proposed</w:t>
      </w:r>
      <w:r w:rsidR="00A918C2">
        <w:rPr>
          <w:rFonts w:cs="Arial"/>
          <w:bCs/>
          <w:color w:val="000000" w:themeColor="text1"/>
          <w:szCs w:val="24"/>
        </w:rPr>
        <w:t xml:space="preserve"> </w:t>
      </w:r>
      <w:r w:rsidR="007937F6">
        <w:rPr>
          <w:rFonts w:cs="Arial"/>
          <w:bCs/>
          <w:color w:val="000000" w:themeColor="text1"/>
          <w:szCs w:val="24"/>
        </w:rPr>
        <w:t>P</w:t>
      </w:r>
      <w:r w:rsidR="00A918C2">
        <w:rPr>
          <w:rFonts w:cs="Arial"/>
          <w:bCs/>
          <w:color w:val="000000" w:themeColor="text1"/>
          <w:szCs w:val="24"/>
        </w:rPr>
        <w:t xml:space="preserve">rudential </w:t>
      </w:r>
      <w:r w:rsidR="007937F6">
        <w:rPr>
          <w:rFonts w:cs="Arial"/>
          <w:bCs/>
          <w:color w:val="000000" w:themeColor="text1"/>
          <w:szCs w:val="24"/>
        </w:rPr>
        <w:t>S</w:t>
      </w:r>
      <w:r w:rsidR="00191B45">
        <w:rPr>
          <w:rFonts w:cs="Arial"/>
          <w:bCs/>
          <w:color w:val="000000" w:themeColor="text1"/>
          <w:szCs w:val="24"/>
        </w:rPr>
        <w:t>tandard</w:t>
      </w:r>
      <w:r w:rsidR="007937F6">
        <w:rPr>
          <w:rFonts w:cs="Arial"/>
          <w:bCs/>
          <w:color w:val="000000" w:themeColor="text1"/>
          <w:szCs w:val="24"/>
        </w:rPr>
        <w:t xml:space="preserve"> on </w:t>
      </w:r>
      <w:r w:rsidR="007937F6" w:rsidRPr="00DC3D63">
        <w:rPr>
          <w:rFonts w:cs="Arial"/>
          <w:bCs/>
          <w:color w:val="000000" w:themeColor="text1"/>
          <w:szCs w:val="24"/>
        </w:rPr>
        <w:t>Transfer of assets and liabilities of designated institution</w:t>
      </w:r>
      <w:r w:rsidR="00C8406D">
        <w:rPr>
          <w:rFonts w:cs="Arial"/>
          <w:bCs/>
          <w:color w:val="000000" w:themeColor="text1"/>
          <w:szCs w:val="24"/>
        </w:rPr>
        <w:t>s</w:t>
      </w:r>
      <w:r w:rsidR="007937F6" w:rsidRPr="00DC3D63">
        <w:rPr>
          <w:rFonts w:cs="Arial"/>
          <w:bCs/>
          <w:color w:val="000000" w:themeColor="text1"/>
          <w:szCs w:val="24"/>
        </w:rPr>
        <w:t xml:space="preserve"> in resolution</w:t>
      </w:r>
      <w:r w:rsidR="00191B45">
        <w:rPr>
          <w:rFonts w:cs="Arial"/>
          <w:bCs/>
          <w:color w:val="000000" w:themeColor="text1"/>
          <w:szCs w:val="24"/>
        </w:rPr>
        <w:t xml:space="preserve"> (the </w:t>
      </w:r>
      <w:r w:rsidR="00F964A1" w:rsidRPr="00BC6735">
        <w:rPr>
          <w:rFonts w:cs="Arial"/>
          <w:bCs/>
          <w:color w:val="000000" w:themeColor="text1"/>
          <w:szCs w:val="24"/>
        </w:rPr>
        <w:t>Standard</w:t>
      </w:r>
      <w:r w:rsidR="00191B45">
        <w:rPr>
          <w:rFonts w:cs="Arial"/>
          <w:bCs/>
          <w:color w:val="000000" w:themeColor="text1"/>
          <w:szCs w:val="24"/>
        </w:rPr>
        <w:t>)</w:t>
      </w:r>
      <w:r w:rsidRPr="00BC6735">
        <w:rPr>
          <w:rFonts w:cs="Arial"/>
          <w:bCs/>
          <w:color w:val="000000" w:themeColor="text1"/>
          <w:szCs w:val="24"/>
        </w:rPr>
        <w:t xml:space="preserve">, </w:t>
      </w:r>
      <w:r w:rsidR="00F964A1" w:rsidRPr="00BC6735">
        <w:rPr>
          <w:rFonts w:cs="Arial"/>
          <w:bCs/>
          <w:color w:val="000000" w:themeColor="text1"/>
          <w:szCs w:val="24"/>
        </w:rPr>
        <w:t xml:space="preserve">the </w:t>
      </w:r>
      <w:r w:rsidRPr="00BC6735">
        <w:rPr>
          <w:rFonts w:cs="Arial"/>
          <w:bCs/>
          <w:color w:val="000000" w:themeColor="text1"/>
          <w:szCs w:val="24"/>
        </w:rPr>
        <w:t xml:space="preserve">expected impact </w:t>
      </w:r>
      <w:r w:rsidR="00F964A1" w:rsidRPr="00BC6735">
        <w:rPr>
          <w:rFonts w:cs="Arial"/>
          <w:bCs/>
          <w:color w:val="000000" w:themeColor="text1"/>
          <w:szCs w:val="24"/>
        </w:rPr>
        <w:t xml:space="preserve">as well as the </w:t>
      </w:r>
      <w:r w:rsidRPr="00BC6735">
        <w:rPr>
          <w:rFonts w:cs="Arial"/>
          <w:bCs/>
          <w:color w:val="000000" w:themeColor="text1"/>
          <w:szCs w:val="24"/>
        </w:rPr>
        <w:t xml:space="preserve">intended operation </w:t>
      </w:r>
      <w:r w:rsidR="00F964A1" w:rsidRPr="00BC6735">
        <w:rPr>
          <w:rFonts w:cs="Arial"/>
          <w:bCs/>
          <w:color w:val="000000" w:themeColor="text1"/>
          <w:szCs w:val="24"/>
        </w:rPr>
        <w:t xml:space="preserve">of </w:t>
      </w:r>
      <w:r w:rsidR="00F37D0F" w:rsidRPr="00BC6735">
        <w:rPr>
          <w:rFonts w:cs="Arial"/>
          <w:bCs/>
          <w:color w:val="000000" w:themeColor="text1"/>
          <w:szCs w:val="24"/>
        </w:rPr>
        <w:t>the Standard</w:t>
      </w:r>
      <w:r w:rsidR="00C13FAF">
        <w:rPr>
          <w:rFonts w:cs="Arial"/>
          <w:bCs/>
          <w:color w:val="000000" w:themeColor="text1"/>
          <w:szCs w:val="24"/>
        </w:rPr>
        <w:t xml:space="preserve"> </w:t>
      </w:r>
      <w:r w:rsidR="00591497" w:rsidRPr="00BC6735">
        <w:rPr>
          <w:rFonts w:cs="Arial"/>
          <w:bCs/>
          <w:color w:val="000000" w:themeColor="text1"/>
          <w:szCs w:val="24"/>
        </w:rPr>
        <w:t>(Statement).</w:t>
      </w:r>
    </w:p>
    <w:p w14:paraId="1657CCD6" w14:textId="51F1EF35" w:rsidR="00B11430" w:rsidRPr="006D59FB" w:rsidRDefault="006D59FB" w:rsidP="005C52D3">
      <w:pPr>
        <w:pStyle w:val="Heading2"/>
        <w:numPr>
          <w:ilvl w:val="0"/>
          <w:numId w:val="5"/>
        </w:numPr>
        <w:tabs>
          <w:tab w:val="left" w:pos="851"/>
        </w:tabs>
        <w:spacing w:line="360" w:lineRule="auto"/>
        <w:ind w:left="1134" w:hanging="1134"/>
        <w:jc w:val="both"/>
        <w:rPr>
          <w:rFonts w:cs="Arial"/>
          <w:spacing w:val="-1"/>
          <w:sz w:val="24"/>
          <w:szCs w:val="24"/>
        </w:rPr>
      </w:pPr>
      <w:bookmarkStart w:id="4" w:name="_Toc128474601"/>
      <w:r w:rsidRPr="008A2628">
        <w:rPr>
          <w:rFonts w:cs="Arial"/>
          <w:spacing w:val="-1"/>
          <w:sz w:val="24"/>
          <w:szCs w:val="24"/>
        </w:rPr>
        <w:t>The need for the Standard</w:t>
      </w:r>
      <w:bookmarkEnd w:id="4"/>
    </w:p>
    <w:p w14:paraId="679BAE9C" w14:textId="66FD4FD1" w:rsidR="00B11430" w:rsidRPr="006A0FBF" w:rsidRDefault="00B11430" w:rsidP="005C52D3">
      <w:pPr>
        <w:pStyle w:val="ListParagraph"/>
        <w:numPr>
          <w:ilvl w:val="1"/>
          <w:numId w:val="5"/>
        </w:numPr>
        <w:spacing w:line="360" w:lineRule="auto"/>
        <w:ind w:left="851" w:hanging="851"/>
        <w:jc w:val="both"/>
        <w:rPr>
          <w:rFonts w:cs="Arial"/>
          <w:szCs w:val="24"/>
        </w:rPr>
      </w:pPr>
      <w:r w:rsidRPr="00BC6735">
        <w:rPr>
          <w:rFonts w:cs="Arial"/>
          <w:szCs w:val="24"/>
        </w:rPr>
        <w:t xml:space="preserve">Following the 2008 </w:t>
      </w:r>
      <w:r w:rsidR="00591497" w:rsidRPr="00BC6735">
        <w:rPr>
          <w:rFonts w:cs="Arial"/>
          <w:szCs w:val="24"/>
        </w:rPr>
        <w:t xml:space="preserve">global </w:t>
      </w:r>
      <w:r w:rsidRPr="00BC6735">
        <w:rPr>
          <w:rFonts w:cs="Arial"/>
          <w:szCs w:val="24"/>
        </w:rPr>
        <w:t>financial crisis, the Key Attributes of Effective Resolution Regimes for Financial Institutions (Key Attributes), issued by the Financial Stability Board (FSB) in 2011 and revised in 2014, were formally adopted as an international standard in 2015</w:t>
      </w:r>
      <w:r w:rsidR="00591497" w:rsidRPr="00BC6735">
        <w:rPr>
          <w:rFonts w:cs="Arial"/>
          <w:szCs w:val="24"/>
        </w:rPr>
        <w:t xml:space="preserve">. </w:t>
      </w:r>
      <w:r w:rsidR="00591497" w:rsidRPr="00A94FDC">
        <w:rPr>
          <w:rFonts w:cs="Arial"/>
          <w:szCs w:val="24"/>
        </w:rPr>
        <w:t>T</w:t>
      </w:r>
      <w:r w:rsidRPr="00A94FDC">
        <w:rPr>
          <w:rFonts w:cs="Arial"/>
          <w:szCs w:val="24"/>
        </w:rPr>
        <w:t xml:space="preserve">ransfer powers are one of the general resolution powers stipulated in the </w:t>
      </w:r>
      <w:r w:rsidR="00591497" w:rsidRPr="00A94FDC">
        <w:rPr>
          <w:rFonts w:cs="Arial"/>
          <w:szCs w:val="24"/>
        </w:rPr>
        <w:t>Key Attributes</w:t>
      </w:r>
      <w:r w:rsidRPr="00BC6735">
        <w:rPr>
          <w:rFonts w:cs="Arial"/>
          <w:szCs w:val="24"/>
        </w:rPr>
        <w:t>.</w:t>
      </w:r>
    </w:p>
    <w:p w14:paraId="5A86784D" w14:textId="74F01D33" w:rsidR="00B11430" w:rsidRPr="00A94FDC" w:rsidRDefault="00B11430" w:rsidP="005C52D3">
      <w:pPr>
        <w:pStyle w:val="ListParagraph"/>
        <w:numPr>
          <w:ilvl w:val="1"/>
          <w:numId w:val="5"/>
        </w:numPr>
        <w:spacing w:line="360" w:lineRule="auto"/>
        <w:ind w:left="851" w:hanging="851"/>
        <w:jc w:val="both"/>
        <w:rPr>
          <w:rFonts w:cs="Arial"/>
          <w:szCs w:val="24"/>
        </w:rPr>
      </w:pPr>
      <w:r w:rsidRPr="00CD6811">
        <w:rPr>
          <w:rFonts w:cs="Arial"/>
          <w:szCs w:val="24"/>
        </w:rPr>
        <w:t xml:space="preserve">The Key Attributes set out the core elements that the FSB considers necessary for an effective resolution regime. As such, their implementation should enable </w:t>
      </w:r>
      <w:r w:rsidR="00832867">
        <w:rPr>
          <w:rFonts w:cs="Arial"/>
          <w:szCs w:val="24"/>
        </w:rPr>
        <w:t>resolution</w:t>
      </w:r>
      <w:r w:rsidR="00DD7BCB">
        <w:rPr>
          <w:rFonts w:cs="Arial"/>
          <w:szCs w:val="24"/>
        </w:rPr>
        <w:t xml:space="preserve"> </w:t>
      </w:r>
      <w:r w:rsidRPr="00CD6811">
        <w:rPr>
          <w:rFonts w:cs="Arial"/>
          <w:szCs w:val="24"/>
        </w:rPr>
        <w:t xml:space="preserve">authorities </w:t>
      </w:r>
      <w:r w:rsidRPr="00A94FDC">
        <w:rPr>
          <w:rFonts w:cs="Arial"/>
          <w:szCs w:val="24"/>
        </w:rPr>
        <w:t>to resolve financial institutions in an orderly manner, without unduly exposing taxpayers to loss from solvency support, while maintaining continuity of their critical economic functions.</w:t>
      </w:r>
    </w:p>
    <w:p w14:paraId="5621C8AD" w14:textId="314A6149" w:rsidR="00C510FB" w:rsidRPr="00C510FB" w:rsidRDefault="00B91EE0" w:rsidP="005C52D3">
      <w:pPr>
        <w:pStyle w:val="ListParagraph"/>
        <w:numPr>
          <w:ilvl w:val="1"/>
          <w:numId w:val="5"/>
        </w:numPr>
        <w:spacing w:line="360" w:lineRule="auto"/>
        <w:ind w:left="851" w:hanging="851"/>
        <w:jc w:val="both"/>
        <w:rPr>
          <w:rFonts w:cs="Arial"/>
          <w:szCs w:val="24"/>
        </w:rPr>
      </w:pPr>
      <w:r w:rsidRPr="00C510FB">
        <w:rPr>
          <w:rFonts w:cs="Arial"/>
          <w:szCs w:val="24"/>
        </w:rPr>
        <w:t xml:space="preserve">South Africa as a G20 member is aligning its current resolution </w:t>
      </w:r>
      <w:r w:rsidR="0026049B" w:rsidRPr="00C510FB">
        <w:rPr>
          <w:rFonts w:cs="Arial"/>
          <w:szCs w:val="24"/>
        </w:rPr>
        <w:t xml:space="preserve">framework </w:t>
      </w:r>
      <w:r w:rsidR="0026049B">
        <w:rPr>
          <w:rFonts w:cs="Arial"/>
          <w:szCs w:val="24"/>
        </w:rPr>
        <w:t>to</w:t>
      </w:r>
      <w:r w:rsidR="005A0EAC">
        <w:rPr>
          <w:rFonts w:cs="Arial"/>
          <w:szCs w:val="24"/>
        </w:rPr>
        <w:t xml:space="preserve"> </w:t>
      </w:r>
      <w:r w:rsidR="005F29FC" w:rsidRPr="00C510FB">
        <w:rPr>
          <w:rFonts w:cs="Arial"/>
          <w:szCs w:val="24"/>
        </w:rPr>
        <w:lastRenderedPageBreak/>
        <w:t xml:space="preserve">the Key attributes through the recently enacted </w:t>
      </w:r>
      <w:r w:rsidR="005F29FC" w:rsidRPr="008A2628">
        <w:rPr>
          <w:rFonts w:cs="Arial"/>
          <w:szCs w:val="24"/>
        </w:rPr>
        <w:t>Financial Sector Laws Amendment Act 23 of 2021 (FSLA Act)</w:t>
      </w:r>
      <w:r w:rsidR="005F29FC" w:rsidRPr="00C510FB">
        <w:rPr>
          <w:rFonts w:cs="Arial"/>
          <w:szCs w:val="24"/>
        </w:rPr>
        <w:t xml:space="preserve">. </w:t>
      </w:r>
      <w:r w:rsidR="002F0361" w:rsidRPr="008A2628">
        <w:rPr>
          <w:rFonts w:cs="Arial"/>
          <w:szCs w:val="24"/>
        </w:rPr>
        <w:t xml:space="preserve">The </w:t>
      </w:r>
      <w:r w:rsidR="002F0361">
        <w:rPr>
          <w:rFonts w:cs="Arial"/>
          <w:szCs w:val="24"/>
        </w:rPr>
        <w:t>Standard</w:t>
      </w:r>
      <w:r w:rsidR="005F29FC" w:rsidRPr="008A2628">
        <w:rPr>
          <w:rFonts w:cs="Arial"/>
          <w:szCs w:val="24"/>
        </w:rPr>
        <w:t xml:space="preserve"> gives effect to the requirements of the FSR Act as amended by</w:t>
      </w:r>
      <w:r w:rsidR="005F29FC" w:rsidRPr="00DC3D63">
        <w:rPr>
          <w:rFonts w:cs="Arial"/>
          <w:szCs w:val="24"/>
        </w:rPr>
        <w:t xml:space="preserve"> </w:t>
      </w:r>
      <w:r w:rsidR="005F29FC" w:rsidRPr="008A2628">
        <w:rPr>
          <w:rFonts w:cs="Arial"/>
          <w:szCs w:val="24"/>
        </w:rPr>
        <w:t>the FSLA Act</w:t>
      </w:r>
      <w:r w:rsidR="007E6A2C">
        <w:rPr>
          <w:rFonts w:cs="Arial"/>
          <w:szCs w:val="24"/>
        </w:rPr>
        <w:t xml:space="preserve"> (the Act)</w:t>
      </w:r>
      <w:r w:rsidR="005F29FC" w:rsidRPr="008A2628">
        <w:rPr>
          <w:rFonts w:cs="Arial"/>
          <w:szCs w:val="24"/>
        </w:rPr>
        <w:t>.</w:t>
      </w:r>
    </w:p>
    <w:p w14:paraId="26254F59" w14:textId="57BF1FCF" w:rsidR="00C510FB" w:rsidRPr="00781473" w:rsidRDefault="00C510FB" w:rsidP="005C52D3">
      <w:pPr>
        <w:pStyle w:val="ListParagraph"/>
        <w:numPr>
          <w:ilvl w:val="1"/>
          <w:numId w:val="5"/>
        </w:numPr>
        <w:spacing w:line="360" w:lineRule="auto"/>
        <w:ind w:left="851" w:hanging="851"/>
        <w:jc w:val="both"/>
        <w:rPr>
          <w:rFonts w:cs="Arial"/>
          <w:szCs w:val="24"/>
        </w:rPr>
      </w:pPr>
      <w:r w:rsidRPr="00781473">
        <w:rPr>
          <w:rFonts w:cs="Arial"/>
          <w:szCs w:val="24"/>
        </w:rPr>
        <w:t xml:space="preserve">Section 166S(2)(a) of the Act confers power </w:t>
      </w:r>
      <w:r w:rsidR="00E900D4" w:rsidRPr="00781473">
        <w:rPr>
          <w:rFonts w:cs="Arial"/>
          <w:szCs w:val="24"/>
        </w:rPr>
        <w:t xml:space="preserve">to the </w:t>
      </w:r>
      <w:r w:rsidR="003445F5">
        <w:rPr>
          <w:rFonts w:cs="Arial"/>
          <w:szCs w:val="24"/>
        </w:rPr>
        <w:t xml:space="preserve">South African </w:t>
      </w:r>
      <w:r w:rsidR="00E900D4">
        <w:rPr>
          <w:rFonts w:cs="Arial"/>
          <w:szCs w:val="24"/>
        </w:rPr>
        <w:t>Reserve Bank</w:t>
      </w:r>
      <w:r w:rsidR="003445F5">
        <w:rPr>
          <w:rFonts w:cs="Arial"/>
          <w:szCs w:val="24"/>
        </w:rPr>
        <w:t xml:space="preserve"> (Reserve Bank)</w:t>
      </w:r>
      <w:r w:rsidR="00E900D4">
        <w:rPr>
          <w:rFonts w:cs="Arial"/>
          <w:szCs w:val="24"/>
        </w:rPr>
        <w:t>,</w:t>
      </w:r>
      <w:r w:rsidR="00E900D4" w:rsidRPr="00781473">
        <w:rPr>
          <w:rFonts w:cs="Arial"/>
          <w:szCs w:val="24"/>
        </w:rPr>
        <w:t xml:space="preserve"> </w:t>
      </w:r>
      <w:r w:rsidRPr="00781473">
        <w:rPr>
          <w:rFonts w:cs="Arial"/>
          <w:szCs w:val="24"/>
        </w:rPr>
        <w:t>to transfer, create an interest in or deal with the assets and liabilities of the designated institution</w:t>
      </w:r>
      <w:r w:rsidR="003A68B7">
        <w:rPr>
          <w:rFonts w:cs="Arial"/>
          <w:szCs w:val="24"/>
        </w:rPr>
        <w:t xml:space="preserve"> in resolution,</w:t>
      </w:r>
      <w:r w:rsidRPr="00781473">
        <w:rPr>
          <w:rFonts w:cs="Arial"/>
          <w:szCs w:val="24"/>
        </w:rPr>
        <w:t xml:space="preserve"> in any other way. However, the provisions in the </w:t>
      </w:r>
      <w:r w:rsidR="00346421">
        <w:rPr>
          <w:rFonts w:cs="Arial"/>
          <w:szCs w:val="24"/>
        </w:rPr>
        <w:t>A</w:t>
      </w:r>
      <w:r w:rsidRPr="00781473">
        <w:rPr>
          <w:rFonts w:cs="Arial"/>
          <w:szCs w:val="24"/>
        </w:rPr>
        <w:t xml:space="preserve">ct are set at a </w:t>
      </w:r>
      <w:proofErr w:type="gramStart"/>
      <w:r w:rsidRPr="00781473">
        <w:rPr>
          <w:rFonts w:cs="Arial"/>
          <w:szCs w:val="24"/>
        </w:rPr>
        <w:t>principle</w:t>
      </w:r>
      <w:proofErr w:type="gramEnd"/>
      <w:r w:rsidRPr="00781473">
        <w:rPr>
          <w:rFonts w:cs="Arial"/>
          <w:szCs w:val="24"/>
        </w:rPr>
        <w:t xml:space="preserve"> level which necessitates further guidance, directives, and standards to be made to clarify their practical meaning and effect.</w:t>
      </w:r>
    </w:p>
    <w:p w14:paraId="6A071077" w14:textId="72B6BDED" w:rsidR="00896C04" w:rsidRPr="0061788B" w:rsidRDefault="000166A6" w:rsidP="005C52D3">
      <w:pPr>
        <w:pStyle w:val="ListParagraph"/>
        <w:numPr>
          <w:ilvl w:val="1"/>
          <w:numId w:val="5"/>
        </w:numPr>
        <w:spacing w:line="360" w:lineRule="auto"/>
        <w:ind w:left="851" w:hanging="851"/>
        <w:jc w:val="both"/>
        <w:rPr>
          <w:rFonts w:cs="Arial"/>
          <w:szCs w:val="24"/>
        </w:rPr>
      </w:pPr>
      <w:bookmarkStart w:id="5" w:name="2._Background"/>
      <w:bookmarkEnd w:id="5"/>
      <w:r w:rsidRPr="0061788B">
        <w:rPr>
          <w:rFonts w:cs="Arial"/>
          <w:szCs w:val="24"/>
        </w:rPr>
        <w:t>Therefore,</w:t>
      </w:r>
      <w:r w:rsidR="00D47D81" w:rsidRPr="0061788B">
        <w:rPr>
          <w:rFonts w:cs="Arial"/>
          <w:szCs w:val="24"/>
        </w:rPr>
        <w:t xml:space="preserve"> </w:t>
      </w:r>
      <w:r w:rsidR="0002212D">
        <w:rPr>
          <w:rFonts w:cs="Arial"/>
          <w:szCs w:val="24"/>
        </w:rPr>
        <w:t xml:space="preserve">the </w:t>
      </w:r>
      <w:r w:rsidR="00A12FD8">
        <w:rPr>
          <w:rFonts w:cs="Arial"/>
          <w:szCs w:val="24"/>
        </w:rPr>
        <w:t>S</w:t>
      </w:r>
      <w:r w:rsidR="0099245E" w:rsidRPr="0061788B">
        <w:rPr>
          <w:rFonts w:cs="Arial"/>
          <w:szCs w:val="24"/>
        </w:rPr>
        <w:t xml:space="preserve">tandard is </w:t>
      </w:r>
      <w:r w:rsidRPr="0061788B">
        <w:rPr>
          <w:rFonts w:cs="Arial"/>
          <w:szCs w:val="24"/>
        </w:rPr>
        <w:t>nece</w:t>
      </w:r>
      <w:r w:rsidR="00662A9D" w:rsidRPr="0061788B">
        <w:rPr>
          <w:rFonts w:cs="Arial"/>
          <w:szCs w:val="24"/>
        </w:rPr>
        <w:t>ssary</w:t>
      </w:r>
      <w:r w:rsidR="0099245E" w:rsidRPr="0061788B">
        <w:rPr>
          <w:rFonts w:cs="Arial"/>
          <w:szCs w:val="24"/>
        </w:rPr>
        <w:t xml:space="preserve"> to </w:t>
      </w:r>
      <w:r w:rsidR="00C12C65" w:rsidRPr="0061788B">
        <w:rPr>
          <w:rFonts w:cs="Arial"/>
          <w:szCs w:val="24"/>
        </w:rPr>
        <w:t>set-out</w:t>
      </w:r>
      <w:r w:rsidR="0099245E" w:rsidRPr="0061788B">
        <w:rPr>
          <w:rFonts w:cs="Arial"/>
          <w:szCs w:val="24"/>
        </w:rPr>
        <w:t xml:space="preserve"> the following:</w:t>
      </w:r>
      <w:r w:rsidR="00896C04" w:rsidRPr="0061788B">
        <w:rPr>
          <w:rFonts w:cs="Arial"/>
          <w:szCs w:val="24"/>
        </w:rPr>
        <w:t xml:space="preserve"> </w:t>
      </w:r>
    </w:p>
    <w:p w14:paraId="266ABDDA" w14:textId="584C38A4" w:rsidR="002E0D74" w:rsidRPr="005C52D3" w:rsidRDefault="00811C65" w:rsidP="005C52D3">
      <w:pPr>
        <w:pStyle w:val="Heading4"/>
        <w:numPr>
          <w:ilvl w:val="0"/>
          <w:numId w:val="92"/>
        </w:numPr>
        <w:spacing w:after="240" w:line="360" w:lineRule="auto"/>
        <w:ind w:left="1418" w:hanging="567"/>
        <w:rPr>
          <w:rFonts w:eastAsiaTheme="minorHAnsi" w:cs="Arial"/>
          <w:iCs w:val="0"/>
          <w:color w:val="auto"/>
          <w:lang w:val="en-US"/>
        </w:rPr>
      </w:pPr>
      <w:r w:rsidRPr="005C52D3">
        <w:rPr>
          <w:rFonts w:eastAsiaTheme="minorHAnsi" w:cs="Arial"/>
          <w:iCs w:val="0"/>
          <w:color w:val="auto"/>
          <w:lang w:val="en-US"/>
        </w:rPr>
        <w:t>r</w:t>
      </w:r>
      <w:r w:rsidR="002E0D74" w:rsidRPr="005C52D3">
        <w:rPr>
          <w:rFonts w:eastAsiaTheme="minorHAnsi" w:cs="Arial"/>
          <w:iCs w:val="0"/>
          <w:color w:val="auto"/>
          <w:lang w:val="en-US"/>
        </w:rPr>
        <w:t>equirements that designated institutions need to comply with</w:t>
      </w:r>
      <w:r w:rsidR="00F30EE0" w:rsidRPr="005C52D3">
        <w:rPr>
          <w:rFonts w:eastAsiaTheme="minorHAnsi" w:cs="Arial"/>
          <w:iCs w:val="0"/>
          <w:color w:val="auto"/>
          <w:lang w:val="en-US"/>
        </w:rPr>
        <w:t>,</w:t>
      </w:r>
      <w:r w:rsidR="00794657" w:rsidRPr="005C52D3">
        <w:rPr>
          <w:rFonts w:eastAsiaTheme="minorHAnsi" w:cs="Arial"/>
          <w:iCs w:val="0"/>
          <w:color w:val="auto"/>
          <w:lang w:val="en-US"/>
        </w:rPr>
        <w:t xml:space="preserve"> including capabilities to build</w:t>
      </w:r>
      <w:r w:rsidR="00D5226C" w:rsidRPr="005C52D3">
        <w:rPr>
          <w:rFonts w:eastAsiaTheme="minorHAnsi" w:cs="Arial"/>
          <w:iCs w:val="0"/>
          <w:color w:val="auto"/>
          <w:lang w:val="en-US"/>
        </w:rPr>
        <w:t>;</w:t>
      </w:r>
      <w:r w:rsidR="00F30EE0" w:rsidRPr="005C52D3">
        <w:rPr>
          <w:rFonts w:eastAsiaTheme="minorHAnsi" w:cs="Arial"/>
          <w:iCs w:val="0"/>
          <w:color w:val="auto"/>
          <w:lang w:val="en-US"/>
        </w:rPr>
        <w:t xml:space="preserve"> and</w:t>
      </w:r>
    </w:p>
    <w:p w14:paraId="4C6FD1F1" w14:textId="449BB8C4" w:rsidR="00E900D4" w:rsidRPr="00ED38C0" w:rsidRDefault="00811C65" w:rsidP="005C52D3">
      <w:pPr>
        <w:pStyle w:val="Heading4"/>
        <w:numPr>
          <w:ilvl w:val="0"/>
          <w:numId w:val="57"/>
        </w:numPr>
        <w:spacing w:after="240" w:line="360" w:lineRule="auto"/>
        <w:ind w:left="1418" w:hanging="567"/>
        <w:rPr>
          <w:rFonts w:eastAsiaTheme="minorHAnsi" w:cs="Arial"/>
          <w:iCs w:val="0"/>
          <w:color w:val="auto"/>
          <w:lang w:val="en-US"/>
        </w:rPr>
      </w:pPr>
      <w:r w:rsidRPr="00ED38C0">
        <w:rPr>
          <w:rFonts w:eastAsiaTheme="minorHAnsi" w:cs="Arial"/>
          <w:iCs w:val="0"/>
          <w:color w:val="auto"/>
          <w:lang w:val="en-US"/>
        </w:rPr>
        <w:t>s</w:t>
      </w:r>
      <w:r w:rsidR="00471B25" w:rsidRPr="00ED38C0">
        <w:rPr>
          <w:rFonts w:eastAsiaTheme="minorHAnsi" w:cs="Arial"/>
          <w:iCs w:val="0"/>
          <w:color w:val="auto"/>
          <w:lang w:val="en-US"/>
        </w:rPr>
        <w:t>afeguards that will apply in executing transfer powers</w:t>
      </w:r>
      <w:r w:rsidR="00F30EE0" w:rsidRPr="00ED38C0">
        <w:rPr>
          <w:rFonts w:eastAsiaTheme="minorHAnsi" w:cs="Arial"/>
          <w:iCs w:val="0"/>
          <w:color w:val="auto"/>
          <w:lang w:val="en-US"/>
        </w:rPr>
        <w:t>.</w:t>
      </w:r>
    </w:p>
    <w:p w14:paraId="0E6D7881" w14:textId="105D26B3" w:rsidR="00E900D4" w:rsidRDefault="00E900D4" w:rsidP="00DC3D63">
      <w:pPr>
        <w:pStyle w:val="ListParagraph"/>
        <w:numPr>
          <w:ilvl w:val="1"/>
          <w:numId w:val="5"/>
        </w:numPr>
        <w:spacing w:line="360" w:lineRule="auto"/>
        <w:ind w:left="851" w:hanging="851"/>
        <w:jc w:val="both"/>
        <w:rPr>
          <w:rFonts w:cs="Arial"/>
          <w:szCs w:val="24"/>
        </w:rPr>
      </w:pPr>
      <w:r w:rsidRPr="002E115D">
        <w:rPr>
          <w:rFonts w:cs="Arial"/>
          <w:szCs w:val="24"/>
        </w:rPr>
        <w:t xml:space="preserve">The </w:t>
      </w:r>
      <w:r w:rsidR="002F0361" w:rsidRPr="002E115D">
        <w:rPr>
          <w:rFonts w:cs="Arial"/>
          <w:szCs w:val="24"/>
        </w:rPr>
        <w:t>Standard stipulates</w:t>
      </w:r>
      <w:r w:rsidRPr="002E115D">
        <w:rPr>
          <w:rFonts w:cs="Arial"/>
          <w:szCs w:val="24"/>
        </w:rPr>
        <w:t xml:space="preserve"> the requirements to be complied with by designated institutions to enable the Reserve Bank to </w:t>
      </w:r>
      <w:r w:rsidR="009B5EFB" w:rsidRPr="009A49B1">
        <w:rPr>
          <w:rFonts w:cs="Arial"/>
          <w:szCs w:val="24"/>
        </w:rPr>
        <w:t xml:space="preserve">prepare for an orderly resolution and </w:t>
      </w:r>
      <w:r w:rsidRPr="002E115D">
        <w:rPr>
          <w:rFonts w:cs="Arial"/>
          <w:szCs w:val="24"/>
        </w:rPr>
        <w:t>execute transfer powers</w:t>
      </w:r>
      <w:r w:rsidR="009B5EFB" w:rsidRPr="009B5EFB">
        <w:rPr>
          <w:rFonts w:cs="Arial"/>
          <w:szCs w:val="24"/>
        </w:rPr>
        <w:t xml:space="preserve"> </w:t>
      </w:r>
      <w:r w:rsidR="009B5EFB" w:rsidRPr="009A49B1">
        <w:rPr>
          <w:rFonts w:cs="Arial"/>
          <w:szCs w:val="24"/>
        </w:rPr>
        <w:t>effectively</w:t>
      </w:r>
      <w:r w:rsidRPr="002E115D">
        <w:rPr>
          <w:rFonts w:cs="Arial"/>
          <w:szCs w:val="24"/>
        </w:rPr>
        <w:t xml:space="preserve">, in line with the international standards and principles, for the orderly resolution of designated institutions. </w:t>
      </w:r>
    </w:p>
    <w:p w14:paraId="5FC92101" w14:textId="334D3A51" w:rsidR="005B0601" w:rsidRPr="002E115D" w:rsidRDefault="00DB27D0" w:rsidP="005C52D3">
      <w:pPr>
        <w:pStyle w:val="Heading2"/>
        <w:numPr>
          <w:ilvl w:val="0"/>
          <w:numId w:val="5"/>
        </w:numPr>
        <w:tabs>
          <w:tab w:val="left" w:pos="851"/>
        </w:tabs>
        <w:spacing w:line="360" w:lineRule="auto"/>
        <w:ind w:left="851" w:hanging="851"/>
        <w:jc w:val="both"/>
        <w:rPr>
          <w:rFonts w:cs="Arial"/>
          <w:spacing w:val="-1"/>
          <w:sz w:val="24"/>
          <w:szCs w:val="24"/>
        </w:rPr>
      </w:pPr>
      <w:bookmarkStart w:id="6" w:name="_Toc126587689"/>
      <w:bookmarkStart w:id="7" w:name="_Toc109818970"/>
      <w:bookmarkStart w:id="8" w:name="3._Statement_of_the_need_―_Context_and_d"/>
      <w:bookmarkStart w:id="9" w:name="Framework_for_measuring_and_controlling_"/>
      <w:bookmarkStart w:id="10" w:name="Total_loss-absorbing_capacity_standard"/>
      <w:bookmarkStart w:id="11" w:name="4._Statement_of_expected_impact_―_Costs_"/>
      <w:bookmarkStart w:id="12" w:name="_Toc94699815"/>
      <w:bookmarkStart w:id="13" w:name="_Toc128474602"/>
      <w:bookmarkEnd w:id="6"/>
      <w:bookmarkEnd w:id="7"/>
      <w:bookmarkEnd w:id="8"/>
      <w:bookmarkEnd w:id="9"/>
      <w:bookmarkEnd w:id="10"/>
      <w:bookmarkEnd w:id="11"/>
      <w:r w:rsidRPr="002E115D">
        <w:rPr>
          <w:rFonts w:cs="Arial"/>
          <w:spacing w:val="-1"/>
          <w:sz w:val="24"/>
          <w:szCs w:val="24"/>
        </w:rPr>
        <w:t>T</w:t>
      </w:r>
      <w:r w:rsidR="005B0601" w:rsidRPr="002E115D">
        <w:rPr>
          <w:rFonts w:cs="Arial"/>
          <w:spacing w:val="-1"/>
          <w:sz w:val="24"/>
          <w:szCs w:val="24"/>
        </w:rPr>
        <w:t>he</w:t>
      </w:r>
      <w:r w:rsidR="00515925" w:rsidRPr="002E115D">
        <w:rPr>
          <w:rFonts w:cs="Arial"/>
          <w:spacing w:val="-1"/>
          <w:sz w:val="24"/>
          <w:szCs w:val="24"/>
        </w:rPr>
        <w:t xml:space="preserve"> intended operation </w:t>
      </w:r>
      <w:r w:rsidR="005B0601" w:rsidRPr="002E115D">
        <w:rPr>
          <w:rFonts w:cs="Arial"/>
          <w:spacing w:val="-1"/>
          <w:sz w:val="24"/>
          <w:szCs w:val="24"/>
        </w:rPr>
        <w:t xml:space="preserve">of the </w:t>
      </w:r>
      <w:r w:rsidR="00F37D0F" w:rsidRPr="002E115D">
        <w:rPr>
          <w:rFonts w:cs="Arial"/>
          <w:spacing w:val="-1"/>
          <w:sz w:val="24"/>
          <w:szCs w:val="24"/>
        </w:rPr>
        <w:t>S</w:t>
      </w:r>
      <w:r w:rsidR="005B0601" w:rsidRPr="002E115D">
        <w:rPr>
          <w:rFonts w:cs="Arial"/>
          <w:spacing w:val="-1"/>
          <w:sz w:val="24"/>
          <w:szCs w:val="24"/>
        </w:rPr>
        <w:t>tandard</w:t>
      </w:r>
      <w:bookmarkStart w:id="14" w:name="6._Conclusion"/>
      <w:bookmarkStart w:id="15" w:name="_Toc94699816"/>
      <w:bookmarkEnd w:id="12"/>
      <w:bookmarkEnd w:id="14"/>
      <w:bookmarkEnd w:id="13"/>
      <w:r w:rsidR="005B0601" w:rsidRPr="002E115D">
        <w:rPr>
          <w:rFonts w:cs="Arial"/>
          <w:spacing w:val="-1"/>
          <w:sz w:val="24"/>
          <w:szCs w:val="24"/>
        </w:rPr>
        <w:t xml:space="preserve"> </w:t>
      </w:r>
    </w:p>
    <w:p w14:paraId="43186E27" w14:textId="72691D5F" w:rsidR="003312B8" w:rsidRPr="00CD50AB" w:rsidRDefault="001376DF" w:rsidP="00CD50AB">
      <w:pPr>
        <w:pStyle w:val="ListParagraph"/>
        <w:numPr>
          <w:ilvl w:val="1"/>
          <w:numId w:val="5"/>
        </w:numPr>
        <w:spacing w:line="360" w:lineRule="auto"/>
        <w:ind w:left="851" w:hanging="851"/>
        <w:jc w:val="both"/>
        <w:rPr>
          <w:rFonts w:cs="Arial"/>
          <w:color w:val="000000" w:themeColor="text1"/>
          <w:szCs w:val="24"/>
        </w:rPr>
      </w:pPr>
      <w:r w:rsidRPr="00914230">
        <w:rPr>
          <w:rFonts w:cs="Arial"/>
          <w:color w:val="000000" w:themeColor="text1"/>
          <w:szCs w:val="24"/>
        </w:rPr>
        <w:t>Th</w:t>
      </w:r>
      <w:r w:rsidR="006B05D9" w:rsidRPr="00914230">
        <w:rPr>
          <w:rFonts w:cs="Arial"/>
          <w:color w:val="000000" w:themeColor="text1"/>
          <w:szCs w:val="24"/>
        </w:rPr>
        <w:t xml:space="preserve">e </w:t>
      </w:r>
      <w:r w:rsidRPr="00914230">
        <w:rPr>
          <w:rFonts w:cs="Arial"/>
          <w:color w:val="000000" w:themeColor="text1"/>
          <w:szCs w:val="24"/>
        </w:rPr>
        <w:t xml:space="preserve">Standard </w:t>
      </w:r>
      <w:r w:rsidR="006B05D9" w:rsidRPr="0092631A">
        <w:rPr>
          <w:rFonts w:cs="Arial"/>
          <w:color w:val="000000" w:themeColor="text1"/>
          <w:szCs w:val="24"/>
        </w:rPr>
        <w:t xml:space="preserve">shall </w:t>
      </w:r>
      <w:r w:rsidRPr="0092631A">
        <w:rPr>
          <w:rFonts w:cs="Arial"/>
          <w:color w:val="000000" w:themeColor="text1"/>
          <w:szCs w:val="24"/>
        </w:rPr>
        <w:t>appl</w:t>
      </w:r>
      <w:r w:rsidR="006B05D9" w:rsidRPr="0092631A">
        <w:rPr>
          <w:rFonts w:cs="Arial"/>
          <w:color w:val="000000" w:themeColor="text1"/>
          <w:szCs w:val="24"/>
        </w:rPr>
        <w:t>y</w:t>
      </w:r>
      <w:r w:rsidRPr="0092631A">
        <w:rPr>
          <w:rFonts w:cs="Arial"/>
          <w:color w:val="000000" w:themeColor="text1"/>
          <w:szCs w:val="24"/>
        </w:rPr>
        <w:t xml:space="preserve"> to </w:t>
      </w:r>
      <w:r w:rsidR="000A4CB2">
        <w:rPr>
          <w:rFonts w:cs="Arial"/>
          <w:color w:val="000000" w:themeColor="text1"/>
          <w:szCs w:val="24"/>
        </w:rPr>
        <w:t xml:space="preserve">all </w:t>
      </w:r>
      <w:r w:rsidRPr="0092631A">
        <w:rPr>
          <w:rFonts w:cs="Arial"/>
          <w:color w:val="000000" w:themeColor="text1"/>
          <w:szCs w:val="24"/>
        </w:rPr>
        <w:t>designated institutions</w:t>
      </w:r>
      <w:r w:rsidR="000A4CB2">
        <w:rPr>
          <w:rFonts w:cs="Arial"/>
          <w:color w:val="000000" w:themeColor="text1"/>
          <w:szCs w:val="24"/>
        </w:rPr>
        <w:t xml:space="preserve">, unless exempted by the </w:t>
      </w:r>
      <w:r w:rsidR="001D5BF2">
        <w:rPr>
          <w:rFonts w:cs="Arial"/>
          <w:color w:val="000000" w:themeColor="text1"/>
          <w:szCs w:val="24"/>
        </w:rPr>
        <w:t>PA</w:t>
      </w:r>
      <w:r w:rsidR="000A4CB2">
        <w:rPr>
          <w:rFonts w:cs="Arial"/>
          <w:color w:val="000000" w:themeColor="text1"/>
          <w:szCs w:val="24"/>
        </w:rPr>
        <w:t xml:space="preserve">, </w:t>
      </w:r>
      <w:r w:rsidR="001D5BF2" w:rsidRPr="002118B2">
        <w:rPr>
          <w:rFonts w:cs="Arial"/>
          <w:color w:val="000000" w:themeColor="text1"/>
          <w:szCs w:val="24"/>
        </w:rPr>
        <w:t xml:space="preserve">based on the resolution strategy set by the </w:t>
      </w:r>
      <w:r w:rsidR="00971F03">
        <w:rPr>
          <w:rFonts w:cs="Arial"/>
          <w:color w:val="000000" w:themeColor="text1"/>
          <w:szCs w:val="24"/>
        </w:rPr>
        <w:t xml:space="preserve">Reserve </w:t>
      </w:r>
      <w:r w:rsidR="00020945">
        <w:rPr>
          <w:rFonts w:cs="Arial"/>
          <w:color w:val="000000" w:themeColor="text1"/>
          <w:szCs w:val="24"/>
        </w:rPr>
        <w:t>Bank</w:t>
      </w:r>
      <w:r w:rsidR="00CC0A75">
        <w:rPr>
          <w:rFonts w:cs="Arial"/>
          <w:color w:val="000000" w:themeColor="text1"/>
          <w:szCs w:val="24"/>
        </w:rPr>
        <w:t xml:space="preserve">. In </w:t>
      </w:r>
      <w:r w:rsidR="00CD50AB">
        <w:rPr>
          <w:rFonts w:cs="Arial"/>
          <w:color w:val="000000" w:themeColor="text1"/>
          <w:szCs w:val="24"/>
        </w:rPr>
        <w:t>addition</w:t>
      </w:r>
      <w:r w:rsidR="002118B2">
        <w:rPr>
          <w:rFonts w:cs="Arial"/>
          <w:color w:val="000000" w:themeColor="text1"/>
          <w:szCs w:val="24"/>
        </w:rPr>
        <w:t xml:space="preserve">- </w:t>
      </w:r>
      <w:r w:rsidR="00CC0A75">
        <w:rPr>
          <w:rFonts w:cs="Arial"/>
          <w:color w:val="000000" w:themeColor="text1"/>
          <w:szCs w:val="24"/>
        </w:rPr>
        <w:t xml:space="preserve"> </w:t>
      </w:r>
    </w:p>
    <w:p w14:paraId="1E2F16B4" w14:textId="0996B9DF" w:rsidR="00CD50AB" w:rsidRPr="002118B2" w:rsidRDefault="00CD50AB" w:rsidP="002118B2">
      <w:pPr>
        <w:pStyle w:val="Heading4"/>
        <w:numPr>
          <w:ilvl w:val="0"/>
          <w:numId w:val="49"/>
        </w:numPr>
        <w:spacing w:after="240" w:line="360" w:lineRule="auto"/>
        <w:ind w:left="1418" w:hanging="567"/>
        <w:rPr>
          <w:rFonts w:eastAsiaTheme="minorHAnsi" w:cs="Arial"/>
          <w:iCs w:val="0"/>
          <w:color w:val="auto"/>
          <w:lang w:val="en-US"/>
        </w:rPr>
      </w:pPr>
      <w:r w:rsidRPr="002118B2">
        <w:rPr>
          <w:rFonts w:eastAsiaTheme="minorHAnsi" w:cs="Arial"/>
          <w:iCs w:val="0"/>
          <w:color w:val="auto"/>
          <w:lang w:val="en-US"/>
        </w:rPr>
        <w:t xml:space="preserve">the requirements </w:t>
      </w:r>
      <w:r>
        <w:rPr>
          <w:rFonts w:eastAsiaTheme="minorHAnsi" w:cs="Arial"/>
          <w:iCs w:val="0"/>
          <w:color w:val="auto"/>
          <w:lang w:val="en-US"/>
        </w:rPr>
        <w:t>in the Standard</w:t>
      </w:r>
      <w:r w:rsidRPr="002118B2">
        <w:rPr>
          <w:rFonts w:eastAsiaTheme="minorHAnsi" w:cs="Arial"/>
          <w:iCs w:val="0"/>
          <w:color w:val="auto"/>
          <w:lang w:val="en-US"/>
        </w:rPr>
        <w:t xml:space="preserve"> will only be applicable to designated institutions that have been informed or notified by the Reserve Bank that transfers will form part of their resolution strategy; and</w:t>
      </w:r>
    </w:p>
    <w:p w14:paraId="0F86ABB2" w14:textId="77777777" w:rsidR="00CD50AB" w:rsidRPr="002118B2" w:rsidRDefault="00CD50AB" w:rsidP="002118B2">
      <w:pPr>
        <w:pStyle w:val="Heading4"/>
        <w:numPr>
          <w:ilvl w:val="0"/>
          <w:numId w:val="49"/>
        </w:numPr>
        <w:spacing w:after="240" w:line="360" w:lineRule="auto"/>
        <w:ind w:left="1418" w:hanging="567"/>
        <w:rPr>
          <w:rFonts w:eastAsiaTheme="minorHAnsi" w:cs="Arial"/>
          <w:iCs w:val="0"/>
          <w:color w:val="auto"/>
          <w:lang w:val="en-US"/>
        </w:rPr>
      </w:pPr>
      <w:r w:rsidRPr="002118B2">
        <w:rPr>
          <w:rFonts w:eastAsiaTheme="minorHAnsi" w:cs="Arial"/>
          <w:iCs w:val="0"/>
          <w:color w:val="auto"/>
          <w:lang w:val="en-US"/>
        </w:rPr>
        <w:t>the designated institutions will have a minimum of 2 years to comply with the requirements, after being informed or notified as per sub-paragraph (a) above.</w:t>
      </w:r>
    </w:p>
    <w:p w14:paraId="74FBBF7A" w14:textId="77777777" w:rsidR="00EE64D6" w:rsidRDefault="005E14B0" w:rsidP="005C52D3">
      <w:pPr>
        <w:pStyle w:val="ListParagraph"/>
        <w:numPr>
          <w:ilvl w:val="1"/>
          <w:numId w:val="5"/>
        </w:numPr>
        <w:spacing w:line="360" w:lineRule="auto"/>
        <w:ind w:left="851" w:hanging="851"/>
        <w:jc w:val="both"/>
        <w:rPr>
          <w:rFonts w:cs="Arial"/>
          <w:color w:val="000000" w:themeColor="text1"/>
          <w:szCs w:val="24"/>
        </w:rPr>
      </w:pPr>
      <w:r w:rsidRPr="005C52D3">
        <w:rPr>
          <w:rFonts w:cs="Arial"/>
          <w:color w:val="000000" w:themeColor="text1"/>
          <w:szCs w:val="24"/>
        </w:rPr>
        <w:t>The Standard set</w:t>
      </w:r>
      <w:r w:rsidR="00C2196E" w:rsidRPr="005C52D3">
        <w:rPr>
          <w:rFonts w:cs="Arial"/>
          <w:color w:val="000000" w:themeColor="text1"/>
          <w:szCs w:val="24"/>
        </w:rPr>
        <w:t>s</w:t>
      </w:r>
      <w:r w:rsidRPr="005C52D3">
        <w:rPr>
          <w:rFonts w:cs="Arial"/>
          <w:color w:val="000000" w:themeColor="text1"/>
          <w:szCs w:val="24"/>
        </w:rPr>
        <w:t xml:space="preserve"> out minimum requirements</w:t>
      </w:r>
      <w:r w:rsidR="006578A9" w:rsidRPr="005C52D3">
        <w:rPr>
          <w:rFonts w:cs="Arial"/>
          <w:color w:val="000000" w:themeColor="text1"/>
          <w:szCs w:val="24"/>
        </w:rPr>
        <w:t>, for a Separability Analysis and a Transfer Playbook,</w:t>
      </w:r>
      <w:r w:rsidR="009C7A18" w:rsidRPr="005C52D3">
        <w:rPr>
          <w:rFonts w:cs="Arial"/>
          <w:color w:val="000000" w:themeColor="text1"/>
          <w:szCs w:val="24"/>
        </w:rPr>
        <w:t xml:space="preserve"> to be </w:t>
      </w:r>
      <w:r w:rsidR="008C0B6D" w:rsidRPr="005C52D3">
        <w:rPr>
          <w:rFonts w:cs="Arial"/>
          <w:color w:val="000000" w:themeColor="text1"/>
          <w:szCs w:val="24"/>
        </w:rPr>
        <w:t>performed by</w:t>
      </w:r>
      <w:r w:rsidRPr="005C52D3">
        <w:rPr>
          <w:rFonts w:cs="Arial"/>
          <w:color w:val="000000" w:themeColor="text1"/>
          <w:szCs w:val="24"/>
        </w:rPr>
        <w:t xml:space="preserve"> d</w:t>
      </w:r>
      <w:r w:rsidR="00B72F89" w:rsidRPr="005C52D3">
        <w:rPr>
          <w:rFonts w:cs="Arial"/>
          <w:color w:val="000000" w:themeColor="text1"/>
          <w:szCs w:val="24"/>
        </w:rPr>
        <w:t xml:space="preserve">esignated </w:t>
      </w:r>
      <w:r w:rsidR="005F50F3" w:rsidRPr="005C52D3">
        <w:rPr>
          <w:rFonts w:cs="Arial"/>
          <w:color w:val="000000" w:themeColor="text1"/>
          <w:szCs w:val="24"/>
        </w:rPr>
        <w:t>institutions.</w:t>
      </w:r>
      <w:r w:rsidR="004662A5" w:rsidRPr="005C52D3">
        <w:rPr>
          <w:rFonts w:cs="Arial"/>
          <w:color w:val="000000" w:themeColor="text1"/>
          <w:szCs w:val="24"/>
        </w:rPr>
        <w:t xml:space="preserve"> </w:t>
      </w:r>
    </w:p>
    <w:p w14:paraId="4ABA5357" w14:textId="0E6287AD" w:rsidR="004662A5" w:rsidRPr="005C52D3" w:rsidRDefault="00B82140" w:rsidP="005C52D3">
      <w:pPr>
        <w:pStyle w:val="ListParagraph"/>
        <w:numPr>
          <w:ilvl w:val="1"/>
          <w:numId w:val="5"/>
        </w:numPr>
        <w:spacing w:line="360" w:lineRule="auto"/>
        <w:ind w:left="851" w:hanging="851"/>
        <w:jc w:val="both"/>
        <w:rPr>
          <w:rFonts w:cs="Arial"/>
          <w:color w:val="000000" w:themeColor="text1"/>
          <w:szCs w:val="24"/>
        </w:rPr>
      </w:pPr>
      <w:r w:rsidRPr="005C52D3">
        <w:rPr>
          <w:rFonts w:cs="Arial"/>
          <w:color w:val="000000" w:themeColor="text1"/>
          <w:szCs w:val="24"/>
        </w:rPr>
        <w:lastRenderedPageBreak/>
        <w:t xml:space="preserve">The aim of </w:t>
      </w:r>
      <w:r w:rsidR="0002286A" w:rsidRPr="005C52D3">
        <w:rPr>
          <w:rFonts w:cs="Arial"/>
          <w:color w:val="000000" w:themeColor="text1"/>
          <w:szCs w:val="24"/>
        </w:rPr>
        <w:t xml:space="preserve">a </w:t>
      </w:r>
      <w:r w:rsidRPr="005C52D3">
        <w:rPr>
          <w:rFonts w:cs="Arial"/>
          <w:color w:val="000000" w:themeColor="text1"/>
          <w:szCs w:val="24"/>
        </w:rPr>
        <w:t xml:space="preserve">separability analysis is </w:t>
      </w:r>
      <w:r w:rsidR="00054334" w:rsidRPr="005C52D3">
        <w:rPr>
          <w:rFonts w:cs="Arial"/>
          <w:color w:val="000000" w:themeColor="text1"/>
          <w:szCs w:val="24"/>
        </w:rPr>
        <w:t>to achieve the following</w:t>
      </w:r>
      <w:r w:rsidR="0026049B" w:rsidRPr="005C52D3">
        <w:rPr>
          <w:rFonts w:cs="Arial"/>
          <w:color w:val="000000" w:themeColor="text1"/>
          <w:szCs w:val="24"/>
        </w:rPr>
        <w:t xml:space="preserve"> </w:t>
      </w:r>
      <w:r w:rsidR="004662A5" w:rsidRPr="005C52D3">
        <w:rPr>
          <w:rFonts w:cs="Arial"/>
          <w:color w:val="000000" w:themeColor="text1"/>
          <w:szCs w:val="24"/>
        </w:rPr>
        <w:t>–</w:t>
      </w:r>
    </w:p>
    <w:p w14:paraId="6C443546" w14:textId="145CE498" w:rsidR="00B130E2" w:rsidRPr="00B130E2" w:rsidRDefault="00467CB7" w:rsidP="005C52D3">
      <w:pPr>
        <w:pStyle w:val="Heading4"/>
        <w:numPr>
          <w:ilvl w:val="0"/>
          <w:numId w:val="93"/>
        </w:numPr>
        <w:spacing w:line="360" w:lineRule="auto"/>
        <w:ind w:left="1418" w:hanging="567"/>
        <w:rPr>
          <w:rFonts w:cs="Arial"/>
        </w:rPr>
      </w:pPr>
      <w:r w:rsidRPr="005C52D3">
        <w:rPr>
          <w:rFonts w:eastAsiaTheme="minorHAnsi" w:cs="Arial"/>
        </w:rPr>
        <w:t>t</w:t>
      </w:r>
      <w:r w:rsidR="00054334" w:rsidRPr="005C52D3">
        <w:rPr>
          <w:rFonts w:eastAsiaTheme="minorHAnsi" w:cs="Arial"/>
        </w:rPr>
        <w:t xml:space="preserve">o </w:t>
      </w:r>
      <w:r w:rsidR="00B82140" w:rsidRPr="005C52D3">
        <w:rPr>
          <w:rFonts w:eastAsiaTheme="minorHAnsi" w:cs="Arial"/>
        </w:rPr>
        <w:t>identify</w:t>
      </w:r>
      <w:r w:rsidR="0002286A" w:rsidRPr="005C52D3">
        <w:rPr>
          <w:rFonts w:eastAsiaTheme="minorHAnsi" w:cs="Arial"/>
        </w:rPr>
        <w:t xml:space="preserve"> </w:t>
      </w:r>
      <w:r w:rsidR="00B82140" w:rsidRPr="005C52D3">
        <w:rPr>
          <w:rFonts w:eastAsiaTheme="minorHAnsi" w:cs="Arial"/>
        </w:rPr>
        <w:t>the</w:t>
      </w:r>
      <w:r w:rsidR="0002286A" w:rsidRPr="005C52D3">
        <w:rPr>
          <w:rFonts w:eastAsiaTheme="minorHAnsi" w:cs="Arial"/>
        </w:rPr>
        <w:t xml:space="preserve"> central point </w:t>
      </w:r>
      <w:r w:rsidR="00832216" w:rsidRPr="005C52D3">
        <w:rPr>
          <w:rFonts w:eastAsiaTheme="minorHAnsi" w:cs="Arial"/>
        </w:rPr>
        <w:t xml:space="preserve">of the expected application of the resolution tool (which is the assets and liabilities to be transferred, also known as the </w:t>
      </w:r>
      <w:r w:rsidR="00683FCF" w:rsidRPr="005C52D3">
        <w:rPr>
          <w:rFonts w:eastAsiaTheme="minorHAnsi" w:cs="Arial"/>
        </w:rPr>
        <w:t>“t</w:t>
      </w:r>
      <w:r w:rsidR="00832216" w:rsidRPr="005C52D3">
        <w:rPr>
          <w:rFonts w:eastAsiaTheme="minorHAnsi" w:cs="Arial"/>
        </w:rPr>
        <w:t xml:space="preserve">ransfer </w:t>
      </w:r>
      <w:r w:rsidR="00683FCF" w:rsidRPr="005C52D3">
        <w:rPr>
          <w:rFonts w:eastAsiaTheme="minorHAnsi" w:cs="Arial"/>
        </w:rPr>
        <w:t>p</w:t>
      </w:r>
      <w:r w:rsidR="00832216" w:rsidRPr="005C52D3">
        <w:rPr>
          <w:rFonts w:eastAsiaTheme="minorHAnsi" w:cs="Arial"/>
        </w:rPr>
        <w:t>erimeter</w:t>
      </w:r>
      <w:r w:rsidR="00683FCF" w:rsidRPr="005C52D3">
        <w:rPr>
          <w:rFonts w:eastAsiaTheme="minorHAnsi" w:cs="Arial"/>
        </w:rPr>
        <w:t>”</w:t>
      </w:r>
      <w:proofErr w:type="gramStart"/>
      <w:r w:rsidR="00832216" w:rsidRPr="005C52D3">
        <w:rPr>
          <w:rFonts w:eastAsiaTheme="minorHAnsi" w:cs="Arial"/>
        </w:rPr>
        <w:t>)</w:t>
      </w:r>
      <w:r w:rsidR="00054334" w:rsidRPr="005C52D3">
        <w:rPr>
          <w:rFonts w:eastAsiaTheme="minorHAnsi" w:cs="Arial"/>
        </w:rPr>
        <w:t>;</w:t>
      </w:r>
      <w:proofErr w:type="gramEnd"/>
      <w:r w:rsidR="00683FCF" w:rsidRPr="005C52D3">
        <w:rPr>
          <w:rFonts w:eastAsiaTheme="minorHAnsi" w:cs="Arial"/>
        </w:rPr>
        <w:t xml:space="preserve"> </w:t>
      </w:r>
    </w:p>
    <w:p w14:paraId="33078D49" w14:textId="3E246F92" w:rsidR="00B130E2" w:rsidRDefault="00467CB7" w:rsidP="007758D5">
      <w:pPr>
        <w:pStyle w:val="ListParagraph"/>
        <w:numPr>
          <w:ilvl w:val="0"/>
          <w:numId w:val="49"/>
        </w:numPr>
        <w:spacing w:line="360" w:lineRule="auto"/>
        <w:ind w:left="1418" w:hanging="567"/>
        <w:jc w:val="both"/>
        <w:rPr>
          <w:rFonts w:cs="Arial"/>
        </w:rPr>
      </w:pPr>
      <w:r w:rsidRPr="00B130E2">
        <w:rPr>
          <w:rFonts w:cs="Arial"/>
        </w:rPr>
        <w:t>t</w:t>
      </w:r>
      <w:r w:rsidR="00054334" w:rsidRPr="00B130E2">
        <w:rPr>
          <w:rFonts w:cs="Arial"/>
        </w:rPr>
        <w:t xml:space="preserve">o </w:t>
      </w:r>
      <w:r w:rsidR="00683FCF" w:rsidRPr="00B130E2">
        <w:rPr>
          <w:rFonts w:cs="Arial"/>
        </w:rPr>
        <w:t xml:space="preserve">assess </w:t>
      </w:r>
      <w:r w:rsidR="004E4861" w:rsidRPr="00B130E2">
        <w:rPr>
          <w:rFonts w:cs="Arial"/>
        </w:rPr>
        <w:t xml:space="preserve">legal, </w:t>
      </w:r>
      <w:proofErr w:type="gramStart"/>
      <w:r w:rsidR="004E4861" w:rsidRPr="00B130E2">
        <w:rPr>
          <w:rFonts w:cs="Arial"/>
        </w:rPr>
        <w:t>operational</w:t>
      </w:r>
      <w:proofErr w:type="gramEnd"/>
      <w:r w:rsidR="004E4861" w:rsidRPr="00B130E2">
        <w:rPr>
          <w:rFonts w:cs="Arial"/>
        </w:rPr>
        <w:t xml:space="preserve"> and other interconnections </w:t>
      </w:r>
      <w:r w:rsidR="001A2E91" w:rsidRPr="00B130E2">
        <w:rPr>
          <w:rFonts w:cs="Arial"/>
        </w:rPr>
        <w:t>that</w:t>
      </w:r>
      <w:r w:rsidR="004E4861" w:rsidRPr="00B130E2">
        <w:rPr>
          <w:rFonts w:cs="Arial"/>
        </w:rPr>
        <w:t xml:space="preserve"> the transfer perimeter has </w:t>
      </w:r>
      <w:r w:rsidR="001A2E91" w:rsidRPr="00B130E2">
        <w:rPr>
          <w:rFonts w:cs="Arial"/>
        </w:rPr>
        <w:t>with</w:t>
      </w:r>
      <w:r w:rsidR="004E4861" w:rsidRPr="00B130E2">
        <w:rPr>
          <w:rFonts w:cs="Arial"/>
        </w:rPr>
        <w:t xml:space="preserve"> the rest of the designated institution to ensure that </w:t>
      </w:r>
      <w:r w:rsidR="00151DF3" w:rsidRPr="00B130E2">
        <w:rPr>
          <w:rFonts w:cs="Arial"/>
        </w:rPr>
        <w:t xml:space="preserve">these interconnections </w:t>
      </w:r>
      <w:r w:rsidR="004E4861" w:rsidRPr="00B130E2">
        <w:rPr>
          <w:rFonts w:cs="Arial"/>
        </w:rPr>
        <w:t>are dealt with adequately to enable a clean separation (with the least separability barriers) of the transfer perimeter and continuity thereof post separation</w:t>
      </w:r>
      <w:r w:rsidR="00B16F09" w:rsidRPr="00B130E2">
        <w:rPr>
          <w:rFonts w:cs="Arial"/>
        </w:rPr>
        <w:t>; and</w:t>
      </w:r>
    </w:p>
    <w:p w14:paraId="24521B55" w14:textId="4D7227D8" w:rsidR="007C11BF" w:rsidRPr="00B130E2" w:rsidRDefault="00467CB7" w:rsidP="00B130E2">
      <w:pPr>
        <w:pStyle w:val="ListParagraph"/>
        <w:numPr>
          <w:ilvl w:val="0"/>
          <w:numId w:val="49"/>
        </w:numPr>
        <w:spacing w:line="360" w:lineRule="auto"/>
        <w:ind w:left="1418" w:hanging="567"/>
        <w:jc w:val="both"/>
        <w:rPr>
          <w:rFonts w:cs="Arial"/>
        </w:rPr>
      </w:pPr>
      <w:r w:rsidRPr="00B130E2">
        <w:rPr>
          <w:rFonts w:cs="Arial"/>
        </w:rPr>
        <w:t>t</w:t>
      </w:r>
      <w:r w:rsidR="00B16F09" w:rsidRPr="00B130E2">
        <w:rPr>
          <w:rFonts w:cs="Arial"/>
        </w:rPr>
        <w:t xml:space="preserve">o require </w:t>
      </w:r>
      <w:r w:rsidR="007C11BF" w:rsidRPr="00B130E2">
        <w:rPr>
          <w:rFonts w:cs="Arial"/>
        </w:rPr>
        <w:t>capabilities</w:t>
      </w:r>
      <w:r w:rsidR="00B16F09" w:rsidRPr="00B130E2">
        <w:rPr>
          <w:rFonts w:cs="Arial"/>
        </w:rPr>
        <w:t xml:space="preserve"> </w:t>
      </w:r>
      <w:r w:rsidR="00901C1E">
        <w:rPr>
          <w:rFonts w:cs="Arial"/>
        </w:rPr>
        <w:t xml:space="preserve">to </w:t>
      </w:r>
      <w:r w:rsidR="00B16F09" w:rsidRPr="00B130E2">
        <w:rPr>
          <w:rFonts w:cs="Arial"/>
        </w:rPr>
        <w:t xml:space="preserve">be developed for designated </w:t>
      </w:r>
      <w:r w:rsidR="00C82966" w:rsidRPr="00B130E2">
        <w:rPr>
          <w:rFonts w:cs="Arial"/>
        </w:rPr>
        <w:t>institutions to</w:t>
      </w:r>
      <w:r w:rsidR="002E532D" w:rsidRPr="00B130E2">
        <w:rPr>
          <w:rFonts w:cs="Arial"/>
        </w:rPr>
        <w:t xml:space="preserve"> adapt their processes, governance protocols and management information systems (MIS) </w:t>
      </w:r>
      <w:r w:rsidRPr="00B130E2">
        <w:rPr>
          <w:rFonts w:cs="Arial"/>
        </w:rPr>
        <w:t xml:space="preserve">to </w:t>
      </w:r>
      <w:r w:rsidR="002E532D" w:rsidRPr="00B130E2">
        <w:rPr>
          <w:rFonts w:cs="Arial"/>
        </w:rPr>
        <w:t xml:space="preserve">enable effective </w:t>
      </w:r>
      <w:r w:rsidR="00054334" w:rsidRPr="00B130E2">
        <w:rPr>
          <w:rFonts w:cs="Arial"/>
        </w:rPr>
        <w:t>execution of the transfer tool.</w:t>
      </w:r>
    </w:p>
    <w:p w14:paraId="2150C672" w14:textId="2FE20FED" w:rsidR="000A0CAD" w:rsidRPr="000A0CAD" w:rsidRDefault="000A0CAD" w:rsidP="005C52D3">
      <w:pPr>
        <w:pStyle w:val="ListParagraph"/>
        <w:numPr>
          <w:ilvl w:val="1"/>
          <w:numId w:val="5"/>
        </w:numPr>
        <w:spacing w:line="360" w:lineRule="auto"/>
        <w:ind w:left="851" w:hanging="851"/>
        <w:jc w:val="both"/>
        <w:rPr>
          <w:rFonts w:cs="Arial"/>
          <w:color w:val="000000" w:themeColor="text1"/>
          <w:szCs w:val="24"/>
        </w:rPr>
      </w:pPr>
      <w:r w:rsidRPr="002E115D">
        <w:rPr>
          <w:rFonts w:cs="Arial"/>
          <w:color w:val="000000" w:themeColor="text1"/>
          <w:szCs w:val="24"/>
        </w:rPr>
        <w:t xml:space="preserve">The </w:t>
      </w:r>
      <w:r w:rsidR="00512AA2">
        <w:rPr>
          <w:rFonts w:cs="Arial"/>
          <w:color w:val="000000" w:themeColor="text1"/>
          <w:szCs w:val="24"/>
        </w:rPr>
        <w:t xml:space="preserve">aim </w:t>
      </w:r>
      <w:r w:rsidRPr="002E115D">
        <w:rPr>
          <w:rFonts w:cs="Arial"/>
          <w:color w:val="000000" w:themeColor="text1"/>
          <w:szCs w:val="24"/>
        </w:rPr>
        <w:t xml:space="preserve">of a </w:t>
      </w:r>
      <w:r>
        <w:rPr>
          <w:rFonts w:cs="Arial"/>
          <w:color w:val="000000" w:themeColor="text1"/>
          <w:szCs w:val="24"/>
        </w:rPr>
        <w:t>Transfer Playbook (</w:t>
      </w:r>
      <w:r w:rsidRPr="0092631A">
        <w:rPr>
          <w:rFonts w:cs="Arial"/>
          <w:color w:val="000000" w:themeColor="text1"/>
          <w:szCs w:val="24"/>
        </w:rPr>
        <w:t xml:space="preserve">which </w:t>
      </w:r>
      <w:r w:rsidR="00512AA2">
        <w:rPr>
          <w:rFonts w:cs="Arial"/>
          <w:color w:val="000000" w:themeColor="text1"/>
          <w:szCs w:val="24"/>
        </w:rPr>
        <w:t>is</w:t>
      </w:r>
      <w:r w:rsidRPr="0092631A">
        <w:rPr>
          <w:rFonts w:cs="Arial"/>
          <w:color w:val="000000" w:themeColor="text1"/>
          <w:szCs w:val="24"/>
        </w:rPr>
        <w:t xml:space="preserve"> an internal document to be used by the designated institution</w:t>
      </w:r>
      <w:r w:rsidR="00512AA2">
        <w:rPr>
          <w:rFonts w:cs="Arial"/>
          <w:color w:val="000000" w:themeColor="text1"/>
          <w:szCs w:val="24"/>
        </w:rPr>
        <w:t xml:space="preserve"> itself</w:t>
      </w:r>
      <w:r>
        <w:rPr>
          <w:rFonts w:cs="Arial"/>
          <w:color w:val="000000" w:themeColor="text1"/>
          <w:szCs w:val="24"/>
        </w:rPr>
        <w:t xml:space="preserve">) </w:t>
      </w:r>
      <w:r w:rsidR="00512AA2">
        <w:rPr>
          <w:rFonts w:cs="Arial"/>
          <w:color w:val="000000" w:themeColor="text1"/>
          <w:szCs w:val="24"/>
        </w:rPr>
        <w:t>is</w:t>
      </w:r>
      <w:r w:rsidRPr="0092631A">
        <w:rPr>
          <w:rFonts w:cs="Arial"/>
          <w:color w:val="000000" w:themeColor="text1"/>
          <w:szCs w:val="24"/>
        </w:rPr>
        <w:t xml:space="preserve"> to </w:t>
      </w:r>
      <w:proofErr w:type="spellStart"/>
      <w:r w:rsidRPr="0092631A">
        <w:rPr>
          <w:rFonts w:cs="Arial"/>
          <w:color w:val="000000" w:themeColor="text1"/>
          <w:szCs w:val="24"/>
        </w:rPr>
        <w:t>operationali</w:t>
      </w:r>
      <w:r>
        <w:rPr>
          <w:rFonts w:cs="Arial"/>
          <w:color w:val="000000" w:themeColor="text1"/>
          <w:szCs w:val="24"/>
        </w:rPr>
        <w:t>s</w:t>
      </w:r>
      <w:r w:rsidRPr="0092631A">
        <w:rPr>
          <w:rFonts w:cs="Arial"/>
          <w:color w:val="000000" w:themeColor="text1"/>
          <w:szCs w:val="24"/>
        </w:rPr>
        <w:t>e</w:t>
      </w:r>
      <w:proofErr w:type="spellEnd"/>
      <w:r w:rsidRPr="0092631A">
        <w:rPr>
          <w:rFonts w:cs="Arial"/>
          <w:color w:val="000000" w:themeColor="text1"/>
          <w:szCs w:val="24"/>
        </w:rPr>
        <w:t xml:space="preserve"> the implementation ability of the resolution transfer tool</w:t>
      </w:r>
      <w:r w:rsidR="00BE7B15">
        <w:rPr>
          <w:rFonts w:cs="Arial"/>
          <w:color w:val="000000" w:themeColor="text1"/>
          <w:szCs w:val="24"/>
        </w:rPr>
        <w:t xml:space="preserve"> within the structures of the designated </w:t>
      </w:r>
      <w:r w:rsidR="00164BAC">
        <w:rPr>
          <w:rFonts w:cs="Arial"/>
          <w:color w:val="000000" w:themeColor="text1"/>
          <w:szCs w:val="24"/>
        </w:rPr>
        <w:t>institution</w:t>
      </w:r>
      <w:r w:rsidRPr="0092631A">
        <w:rPr>
          <w:rFonts w:cs="Arial"/>
          <w:color w:val="000000" w:themeColor="text1"/>
          <w:szCs w:val="24"/>
        </w:rPr>
        <w:t>. This document will include</w:t>
      </w:r>
      <w:r>
        <w:rPr>
          <w:rFonts w:cs="Arial"/>
          <w:color w:val="000000" w:themeColor="text1"/>
          <w:szCs w:val="24"/>
        </w:rPr>
        <w:t xml:space="preserve">, at a minimum, </w:t>
      </w:r>
      <w:r w:rsidRPr="0092631A">
        <w:rPr>
          <w:rFonts w:cs="Arial"/>
          <w:color w:val="000000" w:themeColor="text1"/>
          <w:szCs w:val="24"/>
        </w:rPr>
        <w:t>governance processes, implementation timelines, mitigating strategies for barriers and communication plans to be followed in executing the transfer tool</w:t>
      </w:r>
      <w:r>
        <w:rPr>
          <w:rFonts w:cs="Arial"/>
          <w:color w:val="000000" w:themeColor="text1"/>
          <w:szCs w:val="24"/>
        </w:rPr>
        <w:t>.</w:t>
      </w:r>
    </w:p>
    <w:p w14:paraId="543C4701" w14:textId="04D26ED0" w:rsidR="00EF2231" w:rsidRPr="001C0820" w:rsidRDefault="00D675AA" w:rsidP="005C52D3">
      <w:pPr>
        <w:pStyle w:val="ListParagraph"/>
        <w:numPr>
          <w:ilvl w:val="1"/>
          <w:numId w:val="5"/>
        </w:numPr>
        <w:spacing w:line="360" w:lineRule="auto"/>
        <w:ind w:left="851" w:hanging="851"/>
        <w:jc w:val="both"/>
        <w:rPr>
          <w:rFonts w:cs="Arial"/>
          <w:color w:val="000000" w:themeColor="text1"/>
          <w:szCs w:val="24"/>
        </w:rPr>
      </w:pPr>
      <w:r w:rsidRPr="001A7541">
        <w:rPr>
          <w:rFonts w:cs="Arial"/>
          <w:color w:val="000000" w:themeColor="text1"/>
          <w:szCs w:val="24"/>
        </w:rPr>
        <w:t xml:space="preserve">The </w:t>
      </w:r>
      <w:r w:rsidR="00855C85" w:rsidRPr="001A7541">
        <w:rPr>
          <w:rFonts w:cs="Arial"/>
          <w:color w:val="000000" w:themeColor="text1"/>
          <w:szCs w:val="24"/>
        </w:rPr>
        <w:t>S</w:t>
      </w:r>
      <w:r w:rsidRPr="001A7541">
        <w:rPr>
          <w:rFonts w:cs="Arial"/>
          <w:color w:val="000000" w:themeColor="text1"/>
          <w:szCs w:val="24"/>
        </w:rPr>
        <w:t>tandard also set</w:t>
      </w:r>
      <w:r w:rsidR="006B052F" w:rsidRPr="001A7541">
        <w:rPr>
          <w:rFonts w:cs="Arial"/>
          <w:color w:val="000000" w:themeColor="text1"/>
          <w:szCs w:val="24"/>
        </w:rPr>
        <w:t>s</w:t>
      </w:r>
      <w:r w:rsidRPr="001A7541">
        <w:rPr>
          <w:rFonts w:cs="Arial"/>
          <w:color w:val="000000" w:themeColor="text1"/>
          <w:szCs w:val="24"/>
        </w:rPr>
        <w:t xml:space="preserve"> out general </w:t>
      </w:r>
      <w:r w:rsidR="00DE4F01">
        <w:rPr>
          <w:rFonts w:cs="Arial"/>
          <w:color w:val="000000" w:themeColor="text1"/>
          <w:szCs w:val="24"/>
        </w:rPr>
        <w:t xml:space="preserve">compliance </w:t>
      </w:r>
      <w:r w:rsidRPr="001A7541">
        <w:rPr>
          <w:rFonts w:cs="Arial"/>
          <w:color w:val="000000" w:themeColor="text1"/>
          <w:szCs w:val="24"/>
        </w:rPr>
        <w:t>and reporting requirements for designated institutions pertaining to transfers.</w:t>
      </w:r>
      <w:r w:rsidR="00E2049B" w:rsidRPr="001A7541">
        <w:rPr>
          <w:rFonts w:cs="Arial"/>
          <w:color w:val="000000" w:themeColor="text1"/>
          <w:szCs w:val="24"/>
        </w:rPr>
        <w:t xml:space="preserve"> </w:t>
      </w:r>
      <w:r w:rsidR="000070B6" w:rsidRPr="001A7541">
        <w:rPr>
          <w:rFonts w:cs="Arial"/>
          <w:color w:val="000000" w:themeColor="text1"/>
          <w:szCs w:val="24"/>
        </w:rPr>
        <w:t>T</w:t>
      </w:r>
      <w:r w:rsidR="001965B2" w:rsidRPr="001A7541">
        <w:rPr>
          <w:rFonts w:cs="Arial"/>
          <w:color w:val="000000" w:themeColor="text1"/>
          <w:szCs w:val="24"/>
        </w:rPr>
        <w:t xml:space="preserve">he </w:t>
      </w:r>
      <w:r w:rsidR="00DD7BCB">
        <w:rPr>
          <w:rFonts w:cs="Arial"/>
          <w:color w:val="000000" w:themeColor="text1"/>
          <w:szCs w:val="24"/>
        </w:rPr>
        <w:t>A</w:t>
      </w:r>
      <w:r w:rsidR="00874EE8">
        <w:rPr>
          <w:rFonts w:cs="Arial"/>
          <w:color w:val="000000" w:themeColor="text1"/>
          <w:szCs w:val="24"/>
        </w:rPr>
        <w:t xml:space="preserve">uthorities (the </w:t>
      </w:r>
      <w:r w:rsidR="001965B2" w:rsidRPr="001A7541">
        <w:rPr>
          <w:rFonts w:cs="Arial"/>
          <w:color w:val="000000" w:themeColor="text1"/>
          <w:szCs w:val="24"/>
        </w:rPr>
        <w:t>P</w:t>
      </w:r>
      <w:r w:rsidR="006E33C7" w:rsidRPr="001A7541">
        <w:rPr>
          <w:rFonts w:cs="Arial"/>
          <w:color w:val="000000" w:themeColor="text1"/>
          <w:szCs w:val="24"/>
        </w:rPr>
        <w:t>A</w:t>
      </w:r>
      <w:r w:rsidR="001965B2" w:rsidRPr="001A7541">
        <w:rPr>
          <w:rFonts w:cs="Arial"/>
          <w:color w:val="000000" w:themeColor="text1"/>
          <w:szCs w:val="24"/>
        </w:rPr>
        <w:t xml:space="preserve"> as directed by the Rese</w:t>
      </w:r>
      <w:r w:rsidR="006E33C7" w:rsidRPr="001A7541">
        <w:rPr>
          <w:rFonts w:cs="Arial"/>
          <w:color w:val="000000" w:themeColor="text1"/>
          <w:szCs w:val="24"/>
        </w:rPr>
        <w:t>rve</w:t>
      </w:r>
      <w:r w:rsidR="001965B2" w:rsidRPr="001A7541">
        <w:rPr>
          <w:rFonts w:cs="Arial"/>
          <w:color w:val="000000" w:themeColor="text1"/>
          <w:szCs w:val="24"/>
        </w:rPr>
        <w:t xml:space="preserve"> </w:t>
      </w:r>
      <w:r w:rsidR="00EB7C0A" w:rsidRPr="001A7541">
        <w:rPr>
          <w:rFonts w:cs="Arial"/>
          <w:color w:val="000000" w:themeColor="text1"/>
          <w:szCs w:val="24"/>
        </w:rPr>
        <w:t>Bank) will</w:t>
      </w:r>
      <w:r w:rsidR="00ED7FB9" w:rsidRPr="001A7541">
        <w:rPr>
          <w:rFonts w:cs="Arial"/>
          <w:color w:val="000000" w:themeColor="text1"/>
          <w:szCs w:val="24"/>
        </w:rPr>
        <w:t xml:space="preserve"> </w:t>
      </w:r>
      <w:r w:rsidR="0070594F" w:rsidRPr="001A7541">
        <w:rPr>
          <w:rFonts w:cs="Arial"/>
          <w:color w:val="000000" w:themeColor="text1"/>
          <w:szCs w:val="24"/>
        </w:rPr>
        <w:t>determine</w:t>
      </w:r>
      <w:r w:rsidR="000070B6" w:rsidRPr="001A7541">
        <w:rPr>
          <w:rFonts w:cs="Arial"/>
          <w:color w:val="000000" w:themeColor="text1"/>
          <w:szCs w:val="24"/>
        </w:rPr>
        <w:t xml:space="preserve"> the</w:t>
      </w:r>
      <w:r w:rsidR="0070594F" w:rsidRPr="001A7541">
        <w:rPr>
          <w:rFonts w:cs="Arial"/>
          <w:color w:val="000000" w:themeColor="text1"/>
          <w:szCs w:val="24"/>
        </w:rPr>
        <w:t xml:space="preserve"> </w:t>
      </w:r>
      <w:r w:rsidR="00D11EE1" w:rsidRPr="001A7541">
        <w:rPr>
          <w:rFonts w:cs="Arial"/>
          <w:color w:val="000000" w:themeColor="text1"/>
          <w:szCs w:val="24"/>
        </w:rPr>
        <w:t xml:space="preserve">form, manner and period for regulatory </w:t>
      </w:r>
      <w:r w:rsidR="006D580E" w:rsidRPr="001C0820">
        <w:rPr>
          <w:rFonts w:cs="Arial"/>
          <w:color w:val="000000" w:themeColor="text1"/>
          <w:szCs w:val="24"/>
        </w:rPr>
        <w:t>reporting and communicate those requirements through the PA’s website</w:t>
      </w:r>
      <w:r w:rsidR="00D660DD">
        <w:rPr>
          <w:rFonts w:cs="Arial"/>
          <w:color w:val="000000" w:themeColor="text1"/>
          <w:szCs w:val="24"/>
        </w:rPr>
        <w:t>.</w:t>
      </w:r>
    </w:p>
    <w:p w14:paraId="7294AEB8" w14:textId="17F1DA5C" w:rsidR="003709E2" w:rsidRPr="002E115D" w:rsidRDefault="00133B73" w:rsidP="005C52D3">
      <w:pPr>
        <w:pStyle w:val="ListParagraph"/>
        <w:numPr>
          <w:ilvl w:val="1"/>
          <w:numId w:val="5"/>
        </w:numPr>
        <w:spacing w:line="360" w:lineRule="auto"/>
        <w:ind w:left="851" w:hanging="851"/>
        <w:jc w:val="both"/>
        <w:rPr>
          <w:rFonts w:cs="Arial"/>
          <w:color w:val="000000" w:themeColor="text1"/>
          <w:szCs w:val="24"/>
        </w:rPr>
      </w:pPr>
      <w:r w:rsidRPr="002E115D">
        <w:rPr>
          <w:rFonts w:cs="Arial"/>
          <w:color w:val="000000" w:themeColor="text1"/>
          <w:szCs w:val="24"/>
        </w:rPr>
        <w:t xml:space="preserve">The </w:t>
      </w:r>
      <w:r w:rsidR="009533A7" w:rsidRPr="002E115D">
        <w:rPr>
          <w:rFonts w:cs="Arial"/>
          <w:color w:val="000000" w:themeColor="text1"/>
          <w:szCs w:val="24"/>
        </w:rPr>
        <w:t>effective</w:t>
      </w:r>
      <w:r w:rsidRPr="002E115D">
        <w:rPr>
          <w:rFonts w:cs="Arial"/>
          <w:color w:val="000000" w:themeColor="text1"/>
          <w:szCs w:val="24"/>
        </w:rPr>
        <w:t xml:space="preserve"> date of the Standard will </w:t>
      </w:r>
      <w:r w:rsidR="0050180B" w:rsidRPr="002E115D">
        <w:rPr>
          <w:rFonts w:cs="Arial"/>
          <w:color w:val="000000" w:themeColor="text1"/>
          <w:szCs w:val="24"/>
        </w:rPr>
        <w:t>be</w:t>
      </w:r>
      <w:r w:rsidRPr="002E115D">
        <w:rPr>
          <w:rFonts w:cs="Arial"/>
          <w:color w:val="000000" w:themeColor="text1"/>
          <w:szCs w:val="24"/>
        </w:rPr>
        <w:t xml:space="preserve"> the </w:t>
      </w:r>
      <w:r w:rsidR="0011602F" w:rsidRPr="002E115D">
        <w:rPr>
          <w:rFonts w:cs="Arial"/>
          <w:color w:val="000000" w:themeColor="text1"/>
          <w:szCs w:val="24"/>
        </w:rPr>
        <w:t xml:space="preserve">implementation date at which </w:t>
      </w:r>
      <w:r w:rsidR="003709E2" w:rsidRPr="002E115D">
        <w:rPr>
          <w:rFonts w:cs="Arial"/>
          <w:color w:val="000000" w:themeColor="text1"/>
          <w:szCs w:val="24"/>
        </w:rPr>
        <w:t xml:space="preserve">the resolution provisions in the </w:t>
      </w:r>
      <w:r w:rsidR="00235EB8">
        <w:rPr>
          <w:rFonts w:cs="Arial"/>
          <w:color w:val="000000" w:themeColor="text1"/>
          <w:szCs w:val="24"/>
        </w:rPr>
        <w:t xml:space="preserve">FSLA Act </w:t>
      </w:r>
      <w:r w:rsidR="00132AA6">
        <w:rPr>
          <w:rFonts w:cs="Arial"/>
          <w:color w:val="000000" w:themeColor="text1"/>
          <w:szCs w:val="24"/>
        </w:rPr>
        <w:t xml:space="preserve">will </w:t>
      </w:r>
      <w:r w:rsidR="003709E2" w:rsidRPr="002E115D">
        <w:rPr>
          <w:rFonts w:cs="Arial"/>
          <w:color w:val="000000" w:themeColor="text1"/>
          <w:szCs w:val="24"/>
        </w:rPr>
        <w:t>come into operation</w:t>
      </w:r>
      <w:r w:rsidR="0050180B" w:rsidRPr="002E115D">
        <w:rPr>
          <w:rFonts w:cs="Arial"/>
          <w:color w:val="000000" w:themeColor="text1"/>
          <w:szCs w:val="24"/>
        </w:rPr>
        <w:t xml:space="preserve"> </w:t>
      </w:r>
      <w:r w:rsidR="00EB7C0A" w:rsidRPr="002E115D">
        <w:rPr>
          <w:rFonts w:cs="Arial"/>
          <w:color w:val="000000" w:themeColor="text1"/>
          <w:szCs w:val="24"/>
        </w:rPr>
        <w:t>(as</w:t>
      </w:r>
      <w:r w:rsidR="006C2FF8" w:rsidRPr="002E115D">
        <w:rPr>
          <w:rFonts w:cs="Arial"/>
          <w:color w:val="000000" w:themeColor="text1"/>
          <w:szCs w:val="24"/>
        </w:rPr>
        <w:t xml:space="preserve"> per the commencement schedule to</w:t>
      </w:r>
      <w:r w:rsidR="009533A7" w:rsidRPr="002E115D">
        <w:rPr>
          <w:rFonts w:cs="Arial"/>
          <w:color w:val="000000" w:themeColor="text1"/>
          <w:szCs w:val="24"/>
        </w:rPr>
        <w:t xml:space="preserve"> be published by the Minister of Finance in the Gazette</w:t>
      </w:r>
      <w:r w:rsidR="0050180B" w:rsidRPr="002E115D">
        <w:rPr>
          <w:rFonts w:cs="Arial"/>
          <w:color w:val="000000" w:themeColor="text1"/>
          <w:szCs w:val="24"/>
        </w:rPr>
        <w:t>)</w:t>
      </w:r>
      <w:r w:rsidR="00603561">
        <w:rPr>
          <w:rFonts w:cs="Arial"/>
          <w:color w:val="000000" w:themeColor="text1"/>
          <w:szCs w:val="24"/>
        </w:rPr>
        <w:t>.</w:t>
      </w:r>
    </w:p>
    <w:p w14:paraId="33BD7E70" w14:textId="35C6A812" w:rsidR="00DB27D0" w:rsidRPr="002E115D" w:rsidRDefault="00CF7EDE" w:rsidP="005C52D3">
      <w:pPr>
        <w:pStyle w:val="Heading2"/>
        <w:numPr>
          <w:ilvl w:val="0"/>
          <w:numId w:val="5"/>
        </w:numPr>
        <w:tabs>
          <w:tab w:val="left" w:pos="851"/>
        </w:tabs>
        <w:spacing w:line="360" w:lineRule="auto"/>
        <w:ind w:left="851" w:hanging="851"/>
        <w:jc w:val="both"/>
        <w:rPr>
          <w:rFonts w:cs="Arial"/>
          <w:color w:val="000000" w:themeColor="text1"/>
          <w:spacing w:val="-1"/>
          <w:sz w:val="24"/>
          <w:szCs w:val="24"/>
        </w:rPr>
      </w:pPr>
      <w:bookmarkStart w:id="16" w:name="_Toc128474603"/>
      <w:r w:rsidRPr="002E115D">
        <w:rPr>
          <w:rFonts w:cs="Arial"/>
          <w:color w:val="000000" w:themeColor="text1"/>
          <w:spacing w:val="-1"/>
          <w:sz w:val="24"/>
          <w:szCs w:val="24"/>
        </w:rPr>
        <w:t xml:space="preserve">Expected impact of the </w:t>
      </w:r>
      <w:r w:rsidR="00F37D0F" w:rsidRPr="002E115D">
        <w:rPr>
          <w:rFonts w:cs="Arial"/>
          <w:color w:val="000000" w:themeColor="text1"/>
          <w:spacing w:val="-1"/>
          <w:sz w:val="24"/>
          <w:szCs w:val="24"/>
        </w:rPr>
        <w:t>S</w:t>
      </w:r>
      <w:r w:rsidRPr="002E115D">
        <w:rPr>
          <w:rFonts w:cs="Arial"/>
          <w:color w:val="000000" w:themeColor="text1"/>
          <w:spacing w:val="-1"/>
          <w:sz w:val="24"/>
          <w:szCs w:val="24"/>
        </w:rPr>
        <w:t>tandard</w:t>
      </w:r>
      <w:bookmarkEnd w:id="16"/>
    </w:p>
    <w:p w14:paraId="01792AC2" w14:textId="3452C920" w:rsidR="007A04DE" w:rsidRPr="00571DA3" w:rsidRDefault="0031103A" w:rsidP="005C52D3">
      <w:pPr>
        <w:pStyle w:val="ListParagraph"/>
        <w:numPr>
          <w:ilvl w:val="1"/>
          <w:numId w:val="5"/>
        </w:numPr>
        <w:spacing w:line="360" w:lineRule="auto"/>
        <w:ind w:left="851" w:hanging="851"/>
        <w:jc w:val="both"/>
        <w:rPr>
          <w:rFonts w:cs="Arial"/>
          <w:szCs w:val="24"/>
        </w:rPr>
      </w:pPr>
      <w:r>
        <w:t xml:space="preserve">The perspective of the Authorities is that </w:t>
      </w:r>
      <w:r w:rsidR="003532D9">
        <w:t>t</w:t>
      </w:r>
      <w:r w:rsidR="001D1339" w:rsidRPr="00F462CC">
        <w:t>he cost</w:t>
      </w:r>
      <w:r w:rsidR="001D1339">
        <w:t xml:space="preserve"> of implementing this </w:t>
      </w:r>
      <w:r w:rsidR="001D1339">
        <w:lastRenderedPageBreak/>
        <w:t xml:space="preserve">standard </w:t>
      </w:r>
      <w:r w:rsidR="00C70F4D">
        <w:t xml:space="preserve">will </w:t>
      </w:r>
      <w:r>
        <w:t>vary</w:t>
      </w:r>
      <w:r w:rsidR="001D1339">
        <w:t xml:space="preserve"> across </w:t>
      </w:r>
      <w:r w:rsidR="00C70F4D">
        <w:t>designated institutions based on</w:t>
      </w:r>
      <w:r w:rsidR="00BA6A47">
        <w:t xml:space="preserve"> </w:t>
      </w:r>
      <w:r w:rsidR="00904AFE">
        <w:t>factors such as</w:t>
      </w:r>
      <w:r w:rsidR="0026049B">
        <w:t xml:space="preserve"> </w:t>
      </w:r>
      <w:r w:rsidR="00BA6A47">
        <w:t>-</w:t>
      </w:r>
    </w:p>
    <w:p w14:paraId="3BEC856C" w14:textId="050BF916" w:rsidR="00BA6A47" w:rsidRPr="005C52D3" w:rsidRDefault="00A34D1D" w:rsidP="005C52D3">
      <w:pPr>
        <w:pStyle w:val="Heading4"/>
        <w:numPr>
          <w:ilvl w:val="0"/>
          <w:numId w:val="95"/>
        </w:numPr>
        <w:spacing w:after="240" w:line="360" w:lineRule="auto"/>
        <w:ind w:left="1418" w:hanging="567"/>
        <w:rPr>
          <w:rFonts w:eastAsiaTheme="minorHAnsi" w:cs="Arial"/>
          <w:iCs w:val="0"/>
          <w:color w:val="auto"/>
          <w:lang w:val="en-US"/>
        </w:rPr>
      </w:pPr>
      <w:r w:rsidRPr="005C52D3">
        <w:rPr>
          <w:rFonts w:eastAsiaTheme="minorHAnsi" w:cs="Arial"/>
          <w:iCs w:val="0"/>
          <w:color w:val="auto"/>
          <w:lang w:val="en-US"/>
        </w:rPr>
        <w:t>w</w:t>
      </w:r>
      <w:r w:rsidR="00C70F4D" w:rsidRPr="005C52D3">
        <w:rPr>
          <w:rFonts w:eastAsiaTheme="minorHAnsi" w:cs="Arial"/>
          <w:iCs w:val="0"/>
          <w:color w:val="auto"/>
          <w:lang w:val="en-US"/>
        </w:rPr>
        <w:t xml:space="preserve">hether transfer tools </w:t>
      </w:r>
      <w:r w:rsidR="00444F48" w:rsidRPr="005C52D3">
        <w:rPr>
          <w:rFonts w:eastAsiaTheme="minorHAnsi" w:cs="Arial"/>
          <w:iCs w:val="0"/>
          <w:color w:val="auto"/>
          <w:lang w:val="en-US"/>
        </w:rPr>
        <w:t xml:space="preserve">will </w:t>
      </w:r>
      <w:r w:rsidR="00C70F4D" w:rsidRPr="005C52D3">
        <w:rPr>
          <w:rFonts w:eastAsiaTheme="minorHAnsi" w:cs="Arial"/>
          <w:iCs w:val="0"/>
          <w:color w:val="auto"/>
          <w:lang w:val="en-US"/>
        </w:rPr>
        <w:t xml:space="preserve">form a part of the resolution </w:t>
      </w:r>
      <w:proofErr w:type="gramStart"/>
      <w:r w:rsidR="00C70F4D" w:rsidRPr="005C52D3">
        <w:rPr>
          <w:rFonts w:eastAsiaTheme="minorHAnsi" w:cs="Arial"/>
          <w:iCs w:val="0"/>
          <w:color w:val="auto"/>
          <w:lang w:val="en-US"/>
        </w:rPr>
        <w:t>strate</w:t>
      </w:r>
      <w:r w:rsidR="00444F48" w:rsidRPr="005C52D3">
        <w:rPr>
          <w:rFonts w:eastAsiaTheme="minorHAnsi" w:cs="Arial"/>
          <w:iCs w:val="0"/>
          <w:color w:val="auto"/>
          <w:lang w:val="en-US"/>
        </w:rPr>
        <w:t>g</w:t>
      </w:r>
      <w:r w:rsidR="00C70F4D" w:rsidRPr="005C52D3">
        <w:rPr>
          <w:rFonts w:eastAsiaTheme="minorHAnsi" w:cs="Arial"/>
          <w:iCs w:val="0"/>
          <w:color w:val="auto"/>
          <w:lang w:val="en-US"/>
        </w:rPr>
        <w:t>y;</w:t>
      </w:r>
      <w:proofErr w:type="gramEnd"/>
    </w:p>
    <w:p w14:paraId="13A6A52D" w14:textId="0F68D4D6" w:rsidR="00BA6A47" w:rsidRPr="00A34D1D" w:rsidRDefault="00C70F4D" w:rsidP="005C52D3">
      <w:pPr>
        <w:pStyle w:val="Heading4"/>
        <w:numPr>
          <w:ilvl w:val="0"/>
          <w:numId w:val="49"/>
        </w:numPr>
        <w:spacing w:after="240" w:line="360" w:lineRule="auto"/>
        <w:ind w:left="1418" w:hanging="567"/>
        <w:rPr>
          <w:rFonts w:eastAsiaTheme="minorHAnsi" w:cs="Arial"/>
          <w:iCs w:val="0"/>
          <w:color w:val="auto"/>
          <w:lang w:val="en-US"/>
        </w:rPr>
      </w:pPr>
      <w:r w:rsidRPr="00A34D1D">
        <w:rPr>
          <w:rFonts w:eastAsiaTheme="minorHAnsi" w:cs="Arial"/>
          <w:iCs w:val="0"/>
          <w:color w:val="auto"/>
          <w:lang w:val="en-US"/>
        </w:rPr>
        <w:t>whether</w:t>
      </w:r>
      <w:r w:rsidR="003532D9">
        <w:rPr>
          <w:rFonts w:eastAsiaTheme="minorHAnsi" w:cs="Arial"/>
          <w:iCs w:val="0"/>
          <w:color w:val="auto"/>
          <w:lang w:val="en-US"/>
        </w:rPr>
        <w:t xml:space="preserve"> transfer tools will </w:t>
      </w:r>
      <w:r w:rsidR="00BA6A47" w:rsidRPr="00A34D1D">
        <w:rPr>
          <w:rFonts w:eastAsiaTheme="minorHAnsi" w:cs="Arial"/>
          <w:iCs w:val="0"/>
          <w:color w:val="auto"/>
          <w:lang w:val="en-US"/>
        </w:rPr>
        <w:t>be</w:t>
      </w:r>
      <w:r w:rsidRPr="00A34D1D">
        <w:rPr>
          <w:rFonts w:eastAsiaTheme="minorHAnsi" w:cs="Arial"/>
          <w:iCs w:val="0"/>
          <w:color w:val="auto"/>
          <w:lang w:val="en-US"/>
        </w:rPr>
        <w:t xml:space="preserve"> the main resolution tool or </w:t>
      </w:r>
      <w:r w:rsidR="00990366">
        <w:rPr>
          <w:rFonts w:eastAsiaTheme="minorHAnsi" w:cs="Arial"/>
          <w:iCs w:val="0"/>
          <w:color w:val="auto"/>
          <w:lang w:val="en-US"/>
        </w:rPr>
        <w:t xml:space="preserve">will only </w:t>
      </w:r>
      <w:r w:rsidRPr="00A34D1D">
        <w:rPr>
          <w:rFonts w:eastAsiaTheme="minorHAnsi" w:cs="Arial"/>
          <w:iCs w:val="0"/>
          <w:color w:val="auto"/>
          <w:lang w:val="en-US"/>
        </w:rPr>
        <w:t xml:space="preserve">be used to </w:t>
      </w:r>
      <w:r w:rsidR="00BA6A47" w:rsidRPr="00A34D1D">
        <w:rPr>
          <w:rFonts w:eastAsiaTheme="minorHAnsi" w:cs="Arial"/>
          <w:iCs w:val="0"/>
          <w:color w:val="auto"/>
          <w:lang w:val="en-US"/>
        </w:rPr>
        <w:t>complement</w:t>
      </w:r>
      <w:r w:rsidRPr="00A34D1D">
        <w:rPr>
          <w:rFonts w:eastAsiaTheme="minorHAnsi" w:cs="Arial"/>
          <w:iCs w:val="0"/>
          <w:color w:val="auto"/>
          <w:lang w:val="en-US"/>
        </w:rPr>
        <w:t xml:space="preserve"> </w:t>
      </w:r>
      <w:r w:rsidR="003532D9">
        <w:rPr>
          <w:rFonts w:eastAsiaTheme="minorHAnsi" w:cs="Arial"/>
          <w:iCs w:val="0"/>
          <w:color w:val="auto"/>
          <w:lang w:val="en-US"/>
        </w:rPr>
        <w:t xml:space="preserve">other </w:t>
      </w:r>
      <w:r w:rsidRPr="00A34D1D">
        <w:rPr>
          <w:rFonts w:eastAsiaTheme="minorHAnsi" w:cs="Arial"/>
          <w:iCs w:val="0"/>
          <w:color w:val="auto"/>
          <w:lang w:val="en-US"/>
        </w:rPr>
        <w:t xml:space="preserve">resolution </w:t>
      </w:r>
      <w:r w:rsidR="00E26DA9" w:rsidRPr="00A34D1D">
        <w:rPr>
          <w:rFonts w:eastAsiaTheme="minorHAnsi" w:cs="Arial"/>
          <w:iCs w:val="0"/>
          <w:color w:val="auto"/>
          <w:lang w:val="en-US"/>
        </w:rPr>
        <w:t>tool</w:t>
      </w:r>
      <w:r w:rsidR="00990366">
        <w:rPr>
          <w:rFonts w:eastAsiaTheme="minorHAnsi" w:cs="Arial"/>
          <w:iCs w:val="0"/>
          <w:color w:val="auto"/>
          <w:lang w:val="en-US"/>
        </w:rPr>
        <w:t>(s)</w:t>
      </w:r>
      <w:r w:rsidR="00E26DA9" w:rsidRPr="00A34D1D">
        <w:rPr>
          <w:rFonts w:eastAsiaTheme="minorHAnsi" w:cs="Arial"/>
          <w:iCs w:val="0"/>
          <w:color w:val="auto"/>
          <w:lang w:val="en-US"/>
        </w:rPr>
        <w:t xml:space="preserve"> in</w:t>
      </w:r>
      <w:r w:rsidRPr="00A34D1D">
        <w:rPr>
          <w:rFonts w:eastAsiaTheme="minorHAnsi" w:cs="Arial"/>
          <w:iCs w:val="0"/>
          <w:color w:val="auto"/>
          <w:lang w:val="en-US"/>
        </w:rPr>
        <w:t xml:space="preserve"> the </w:t>
      </w:r>
      <w:r w:rsidR="00BA6A47" w:rsidRPr="00A34D1D">
        <w:rPr>
          <w:rFonts w:eastAsiaTheme="minorHAnsi" w:cs="Arial"/>
          <w:iCs w:val="0"/>
          <w:color w:val="auto"/>
          <w:lang w:val="en-US"/>
        </w:rPr>
        <w:t>strategy</w:t>
      </w:r>
      <w:r w:rsidR="003532D9">
        <w:rPr>
          <w:rFonts w:eastAsiaTheme="minorHAnsi" w:cs="Arial"/>
          <w:iCs w:val="0"/>
          <w:color w:val="auto"/>
          <w:lang w:val="en-US"/>
        </w:rPr>
        <w:t xml:space="preserve"> (such as bail-in)</w:t>
      </w:r>
      <w:r w:rsidR="00BA6A47" w:rsidRPr="00A34D1D">
        <w:rPr>
          <w:rFonts w:eastAsiaTheme="minorHAnsi" w:cs="Arial"/>
          <w:iCs w:val="0"/>
          <w:color w:val="auto"/>
          <w:lang w:val="en-US"/>
        </w:rPr>
        <w:t>; and</w:t>
      </w:r>
    </w:p>
    <w:p w14:paraId="1A78C791" w14:textId="61F3090F" w:rsidR="00C70F4D" w:rsidRDefault="00BA6A47" w:rsidP="005C52D3">
      <w:pPr>
        <w:pStyle w:val="Heading4"/>
        <w:numPr>
          <w:ilvl w:val="0"/>
          <w:numId w:val="49"/>
        </w:numPr>
        <w:spacing w:after="240" w:line="360" w:lineRule="auto"/>
        <w:ind w:left="1418" w:hanging="567"/>
        <w:rPr>
          <w:rFonts w:eastAsiaTheme="minorHAnsi" w:cs="Arial"/>
          <w:iCs w:val="0"/>
          <w:color w:val="auto"/>
          <w:lang w:val="en-US"/>
        </w:rPr>
      </w:pPr>
      <w:r w:rsidRPr="00A34D1D">
        <w:rPr>
          <w:rFonts w:eastAsiaTheme="minorHAnsi" w:cs="Arial"/>
          <w:iCs w:val="0"/>
          <w:color w:val="auto"/>
          <w:lang w:val="en-US"/>
        </w:rPr>
        <w:t>the status or readiness of designated institutions in terms of capabilities to enable the preparation and execution of the resolution tool (such as M</w:t>
      </w:r>
      <w:r w:rsidR="00BB0ADA">
        <w:rPr>
          <w:rFonts w:eastAsiaTheme="minorHAnsi" w:cs="Arial"/>
          <w:iCs w:val="0"/>
          <w:color w:val="auto"/>
          <w:lang w:val="en-US"/>
        </w:rPr>
        <w:t xml:space="preserve">anagement </w:t>
      </w:r>
      <w:r w:rsidR="00BB0ADA" w:rsidRPr="00A34D1D">
        <w:rPr>
          <w:rFonts w:eastAsiaTheme="minorHAnsi" w:cs="Arial"/>
          <w:iCs w:val="0"/>
          <w:color w:val="auto"/>
          <w:lang w:val="en-US"/>
        </w:rPr>
        <w:t>I</w:t>
      </w:r>
      <w:r w:rsidR="00BB0ADA">
        <w:rPr>
          <w:rFonts w:eastAsiaTheme="minorHAnsi" w:cs="Arial"/>
          <w:iCs w:val="0"/>
          <w:color w:val="auto"/>
          <w:lang w:val="en-US"/>
        </w:rPr>
        <w:t xml:space="preserve">nformation </w:t>
      </w:r>
      <w:r w:rsidRPr="00A34D1D">
        <w:rPr>
          <w:rFonts w:eastAsiaTheme="minorHAnsi" w:cs="Arial"/>
          <w:iCs w:val="0"/>
          <w:color w:val="auto"/>
          <w:lang w:val="en-US"/>
        </w:rPr>
        <w:t>S</w:t>
      </w:r>
      <w:r w:rsidR="00BB0ADA">
        <w:rPr>
          <w:rFonts w:eastAsiaTheme="minorHAnsi" w:cs="Arial"/>
          <w:iCs w:val="0"/>
          <w:color w:val="auto"/>
          <w:lang w:val="en-US"/>
        </w:rPr>
        <w:t>ystem</w:t>
      </w:r>
      <w:r w:rsidRPr="00A34D1D">
        <w:rPr>
          <w:rFonts w:eastAsiaTheme="minorHAnsi" w:cs="Arial"/>
          <w:iCs w:val="0"/>
          <w:color w:val="auto"/>
          <w:lang w:val="en-US"/>
        </w:rPr>
        <w:t xml:space="preserve"> capabilities).</w:t>
      </w:r>
    </w:p>
    <w:p w14:paraId="01FA2768" w14:textId="66FA91F6" w:rsidR="00F462CC" w:rsidRPr="004F0409" w:rsidRDefault="00F462CC" w:rsidP="005C52D3">
      <w:pPr>
        <w:pStyle w:val="ListParagraph"/>
        <w:numPr>
          <w:ilvl w:val="1"/>
          <w:numId w:val="5"/>
        </w:numPr>
        <w:spacing w:line="360" w:lineRule="auto"/>
        <w:ind w:left="851" w:hanging="851"/>
        <w:jc w:val="both"/>
      </w:pPr>
      <w:r w:rsidRPr="004F0409">
        <w:t>The expected benefit of th</w:t>
      </w:r>
      <w:r w:rsidR="003135B5" w:rsidRPr="004F0409">
        <w:t>e</w:t>
      </w:r>
      <w:r w:rsidRPr="004F0409">
        <w:t xml:space="preserve"> Standard is an overall increase</w:t>
      </w:r>
      <w:r w:rsidR="00CC3F5A">
        <w:t xml:space="preserve"> in</w:t>
      </w:r>
      <w:r w:rsidR="00957A40">
        <w:t xml:space="preserve"> the</w:t>
      </w:r>
      <w:r w:rsidRPr="004F0409">
        <w:t xml:space="preserve"> credibility of the resolution process (where transfer tools are envisaged as part of the resolution strategy). This is due to adequate preparedness to execute the transfer tool, increased resolvability and separability barriers mitigated, applying safeguards where counterparties could be undermined by a partial transfer, and designated institutions’ readiness to execute a transfer tool within their structures</w:t>
      </w:r>
      <w:r w:rsidR="003532D9" w:rsidRPr="004F0409">
        <w:t>.</w:t>
      </w:r>
      <w:r w:rsidRPr="004F0409">
        <w:t xml:space="preserve"> </w:t>
      </w:r>
    </w:p>
    <w:p w14:paraId="32A12C31" w14:textId="5E1A4BC0" w:rsidR="00DB362A" w:rsidRPr="00DB362A" w:rsidRDefault="005008DE" w:rsidP="00D660DD">
      <w:pPr>
        <w:pStyle w:val="ListParagraph"/>
        <w:numPr>
          <w:ilvl w:val="1"/>
          <w:numId w:val="5"/>
        </w:numPr>
        <w:spacing w:line="360" w:lineRule="auto"/>
        <w:ind w:left="851" w:hanging="851"/>
        <w:jc w:val="both"/>
      </w:pPr>
      <w:r w:rsidRPr="00DB362A">
        <w:t xml:space="preserve">As part of the consultation process, and to assist the Reserve Bank and the </w:t>
      </w:r>
      <w:r w:rsidR="003445F5" w:rsidRPr="004B2EF6">
        <w:t>PA</w:t>
      </w:r>
      <w:r w:rsidRPr="00DB362A">
        <w:t xml:space="preserve"> to assess the expected impact of the Standard, a set of questions </w:t>
      </w:r>
      <w:r w:rsidR="00E17665" w:rsidRPr="00DB362A">
        <w:t>was</w:t>
      </w:r>
      <w:r w:rsidRPr="00DB362A">
        <w:t xml:space="preserve"> included under Section C of </w:t>
      </w:r>
      <w:r w:rsidR="00FC7831" w:rsidRPr="00DB362A">
        <w:t xml:space="preserve">Annexure </w:t>
      </w:r>
      <w:r w:rsidR="00470DC6" w:rsidRPr="00DB362A">
        <w:t>C</w:t>
      </w:r>
      <w:r w:rsidR="00FC7831" w:rsidRPr="00DB362A">
        <w:t xml:space="preserve"> - </w:t>
      </w:r>
      <w:r w:rsidRPr="00DB362A">
        <w:t xml:space="preserve">Comments Template to solicit industry inputs on the expected impact of implementing the </w:t>
      </w:r>
      <w:r w:rsidR="00904AFE" w:rsidRPr="00DB362A">
        <w:t>Standard.</w:t>
      </w:r>
      <w:r w:rsidRPr="00DB362A">
        <w:t xml:space="preserve"> </w:t>
      </w:r>
      <w:r w:rsidR="006F5C26" w:rsidRPr="00DB362A">
        <w:t xml:space="preserve">The comments received from </w:t>
      </w:r>
      <w:r w:rsidR="00C46AB3" w:rsidRPr="00DB362A">
        <w:t xml:space="preserve">the </w:t>
      </w:r>
      <w:r w:rsidR="006F5C26" w:rsidRPr="00DB362A">
        <w:t xml:space="preserve">respondents </w:t>
      </w:r>
      <w:r w:rsidR="003532D9" w:rsidRPr="00DB362A">
        <w:t>were</w:t>
      </w:r>
      <w:r w:rsidR="006F5C26" w:rsidRPr="00DB362A">
        <w:t xml:space="preserve"> </w:t>
      </w:r>
      <w:proofErr w:type="spellStart"/>
      <w:r w:rsidR="006F5C26" w:rsidRPr="00DB362A">
        <w:t>analy</w:t>
      </w:r>
      <w:r w:rsidR="003532D9" w:rsidRPr="00DB362A">
        <w:t>s</w:t>
      </w:r>
      <w:r w:rsidR="006F5C26" w:rsidRPr="00DB362A">
        <w:t>ed</w:t>
      </w:r>
      <w:proofErr w:type="spellEnd"/>
      <w:r w:rsidR="006F5C26" w:rsidRPr="00DB362A">
        <w:t xml:space="preserve"> and a summary </w:t>
      </w:r>
      <w:r w:rsidR="003532D9" w:rsidRPr="00DB362A">
        <w:t xml:space="preserve">of the </w:t>
      </w:r>
      <w:r w:rsidR="00D26BA3" w:rsidRPr="00DB362A">
        <w:t xml:space="preserve">key concerns </w:t>
      </w:r>
      <w:r w:rsidR="000622CB" w:rsidRPr="00DB362A">
        <w:t>as well as the approach that will be undertaken by the Authorities to mitigate the identified factors are</w:t>
      </w:r>
      <w:r w:rsidR="00957AE8" w:rsidRPr="00DB362A">
        <w:t xml:space="preserve"> as follows</w:t>
      </w:r>
      <w:r w:rsidR="003F0806">
        <w:t xml:space="preserve"> </w:t>
      </w:r>
      <w:r w:rsidR="00DB362A">
        <w:t>–</w:t>
      </w:r>
      <w:r w:rsidR="003F0806">
        <w:t xml:space="preserve"> </w:t>
      </w:r>
    </w:p>
    <w:p w14:paraId="04D35962" w14:textId="196FB0B9" w:rsidR="003F0806" w:rsidRPr="00DB362A" w:rsidRDefault="005374F6" w:rsidP="00DB362A">
      <w:pPr>
        <w:pStyle w:val="ListParagraph"/>
        <w:numPr>
          <w:ilvl w:val="0"/>
          <w:numId w:val="103"/>
        </w:numPr>
        <w:spacing w:line="360" w:lineRule="auto"/>
        <w:ind w:left="1418" w:hanging="567"/>
        <w:jc w:val="both"/>
        <w:rPr>
          <w:rFonts w:cs="Arial"/>
        </w:rPr>
      </w:pPr>
      <w:r w:rsidRPr="00DB362A">
        <w:rPr>
          <w:rFonts w:cs="Arial"/>
        </w:rPr>
        <w:t>T</w:t>
      </w:r>
      <w:r w:rsidR="00E83727" w:rsidRPr="00DB362A">
        <w:rPr>
          <w:rFonts w:cs="Arial"/>
        </w:rPr>
        <w:t>he r</w:t>
      </w:r>
      <w:r w:rsidR="00FC6619" w:rsidRPr="00DB362A">
        <w:rPr>
          <w:rFonts w:cs="Arial"/>
        </w:rPr>
        <w:t>espondents expressed that the overall objective of the Standard is relevant for ensuring financial stability and that the core elements would enable an effective resolution.</w:t>
      </w:r>
      <w:r w:rsidR="00E551D4" w:rsidRPr="00DB362A">
        <w:rPr>
          <w:rFonts w:cs="Arial"/>
        </w:rPr>
        <w:t xml:space="preserve"> </w:t>
      </w:r>
      <w:r w:rsidR="006F5C26" w:rsidRPr="00DB362A">
        <w:rPr>
          <w:rFonts w:cs="Arial"/>
        </w:rPr>
        <w:t>On the downside</w:t>
      </w:r>
      <w:r w:rsidR="00B124BE" w:rsidRPr="00DB362A">
        <w:rPr>
          <w:rFonts w:cs="Arial"/>
        </w:rPr>
        <w:t>,</w:t>
      </w:r>
      <w:r w:rsidR="006F5C26" w:rsidRPr="00DB362A">
        <w:rPr>
          <w:rFonts w:cs="Arial"/>
        </w:rPr>
        <w:t xml:space="preserve"> respondents raised concerns about the cost and effort </w:t>
      </w:r>
      <w:r w:rsidR="00A7342D">
        <w:rPr>
          <w:rFonts w:cs="Arial"/>
        </w:rPr>
        <w:t xml:space="preserve">required </w:t>
      </w:r>
      <w:r w:rsidR="006F5C26" w:rsidRPr="00DB362A">
        <w:rPr>
          <w:rFonts w:cs="Arial"/>
        </w:rPr>
        <w:t xml:space="preserve">to achieve full compliance. </w:t>
      </w:r>
      <w:r w:rsidR="006E3C24" w:rsidRPr="00DB362A">
        <w:rPr>
          <w:rFonts w:cs="Arial"/>
        </w:rPr>
        <w:t xml:space="preserve">While </w:t>
      </w:r>
      <w:r w:rsidR="00A43C4A" w:rsidRPr="00DB362A">
        <w:rPr>
          <w:rFonts w:cs="Arial"/>
        </w:rPr>
        <w:t xml:space="preserve">some of the </w:t>
      </w:r>
      <w:r w:rsidR="006E3C24" w:rsidRPr="00DB362A">
        <w:rPr>
          <w:rFonts w:cs="Arial"/>
        </w:rPr>
        <w:t xml:space="preserve">respondents stated that it </w:t>
      </w:r>
      <w:r w:rsidR="00A43C4A" w:rsidRPr="00DB362A">
        <w:rPr>
          <w:rFonts w:cs="Arial"/>
        </w:rPr>
        <w:t>was</w:t>
      </w:r>
      <w:r w:rsidR="006E3C24" w:rsidRPr="00DB362A">
        <w:rPr>
          <w:rFonts w:cs="Arial"/>
        </w:rPr>
        <w:t xml:space="preserve"> difficult to consider costs and quantify the impact without knowing the resolution strategy to be applied by the Reserve Bank, however, 7 out of the 8 respondents stated that they </w:t>
      </w:r>
      <w:r w:rsidR="00061EC9" w:rsidRPr="00DB362A">
        <w:rPr>
          <w:rFonts w:cs="Arial"/>
        </w:rPr>
        <w:t>expect additional</w:t>
      </w:r>
      <w:r w:rsidR="00A43C4A" w:rsidRPr="00DB362A">
        <w:rPr>
          <w:rFonts w:cs="Arial"/>
        </w:rPr>
        <w:t xml:space="preserve"> </w:t>
      </w:r>
      <w:r w:rsidR="006E3C24" w:rsidRPr="00DB362A">
        <w:rPr>
          <w:rFonts w:cs="Arial"/>
        </w:rPr>
        <w:t xml:space="preserve">costs to be imposed by the Standard. </w:t>
      </w:r>
    </w:p>
    <w:p w14:paraId="1B760209" w14:textId="6979C93E" w:rsidR="0006229B" w:rsidRDefault="0006229B" w:rsidP="0006229B">
      <w:pPr>
        <w:pStyle w:val="Heading4"/>
        <w:numPr>
          <w:ilvl w:val="0"/>
          <w:numId w:val="95"/>
        </w:numPr>
        <w:spacing w:after="240" w:line="360" w:lineRule="auto"/>
        <w:ind w:left="1418" w:hanging="567"/>
        <w:rPr>
          <w:rFonts w:eastAsiaTheme="minorHAnsi" w:cs="Arial"/>
          <w:iCs w:val="0"/>
          <w:color w:val="auto"/>
          <w:lang w:val="en-US"/>
        </w:rPr>
      </w:pPr>
      <w:r w:rsidRPr="005C52D3">
        <w:rPr>
          <w:rFonts w:eastAsiaTheme="minorHAnsi" w:cs="Arial"/>
          <w:iCs w:val="0"/>
          <w:color w:val="auto"/>
          <w:lang w:val="en-US"/>
        </w:rPr>
        <w:lastRenderedPageBreak/>
        <w:t xml:space="preserve">In general, the expected costs for most respondents are related to IT and infrastructure (where system developments and enhancements would be necessitated), human resources, consultation fees, </w:t>
      </w:r>
      <w:proofErr w:type="gramStart"/>
      <w:r w:rsidRPr="005C52D3">
        <w:rPr>
          <w:rFonts w:eastAsiaTheme="minorHAnsi" w:cs="Arial"/>
          <w:iCs w:val="0"/>
          <w:color w:val="auto"/>
          <w:lang w:val="en-US"/>
        </w:rPr>
        <w:t>training</w:t>
      </w:r>
      <w:proofErr w:type="gramEnd"/>
      <w:r w:rsidRPr="005C52D3">
        <w:rPr>
          <w:rFonts w:eastAsiaTheme="minorHAnsi" w:cs="Arial"/>
          <w:iCs w:val="0"/>
          <w:color w:val="auto"/>
          <w:lang w:val="en-US"/>
        </w:rPr>
        <w:t xml:space="preserve"> and legal fees.</w:t>
      </w:r>
    </w:p>
    <w:p w14:paraId="4DF48068" w14:textId="53A79C2C" w:rsidR="00A478B6" w:rsidRDefault="0006229B" w:rsidP="00A478B6">
      <w:pPr>
        <w:pStyle w:val="Heading4"/>
        <w:numPr>
          <w:ilvl w:val="0"/>
          <w:numId w:val="95"/>
        </w:numPr>
        <w:spacing w:after="240" w:line="360" w:lineRule="auto"/>
        <w:ind w:left="1418" w:hanging="567"/>
        <w:rPr>
          <w:rFonts w:eastAsiaTheme="minorHAnsi" w:cs="Arial"/>
          <w:iCs w:val="0"/>
          <w:color w:val="auto"/>
          <w:lang w:val="en-US"/>
        </w:rPr>
      </w:pPr>
      <w:proofErr w:type="gramStart"/>
      <w:r w:rsidRPr="005C52D3">
        <w:rPr>
          <w:rFonts w:eastAsiaTheme="minorHAnsi" w:cs="Arial"/>
          <w:iCs w:val="0"/>
          <w:color w:val="auto"/>
          <w:lang w:val="en-US"/>
        </w:rPr>
        <w:t>In order to</w:t>
      </w:r>
      <w:proofErr w:type="gramEnd"/>
      <w:r w:rsidRPr="005C52D3">
        <w:rPr>
          <w:rFonts w:eastAsiaTheme="minorHAnsi" w:cs="Arial"/>
          <w:iCs w:val="0"/>
          <w:color w:val="auto"/>
          <w:lang w:val="en-US"/>
        </w:rPr>
        <w:t xml:space="preserve"> mitigate against some of the above-mentioned concerns, a designated institution will only be required to comply with the requirements in the Standard once the Reserve Bank informs them that the transfer resolution tools(s) </w:t>
      </w:r>
      <w:r w:rsidR="003E6607" w:rsidRPr="005C52D3">
        <w:rPr>
          <w:rFonts w:eastAsiaTheme="minorHAnsi" w:cs="Arial"/>
          <w:iCs w:val="0"/>
          <w:color w:val="auto"/>
          <w:lang w:val="en-US"/>
        </w:rPr>
        <w:t>will form part of their resolution strategy.</w:t>
      </w:r>
      <w:r w:rsidR="00A478B6">
        <w:rPr>
          <w:rFonts w:eastAsiaTheme="minorHAnsi" w:cs="Arial"/>
          <w:iCs w:val="0"/>
          <w:color w:val="auto"/>
          <w:lang w:val="en-US"/>
        </w:rPr>
        <w:t xml:space="preserve"> </w:t>
      </w:r>
      <w:r w:rsidR="00A478B6" w:rsidRPr="005C52D3">
        <w:rPr>
          <w:rFonts w:eastAsiaTheme="minorHAnsi" w:cs="Arial"/>
          <w:iCs w:val="0"/>
          <w:color w:val="auto"/>
          <w:lang w:val="en-US"/>
        </w:rPr>
        <w:t>In addition, once informed that the transfer resolution tools will form part of the strategy, the relevant designated institution will have a minimum of 2 years (</w:t>
      </w:r>
      <w:r w:rsidR="00A478B6">
        <w:rPr>
          <w:rFonts w:eastAsiaTheme="minorHAnsi" w:cs="Arial"/>
          <w:iCs w:val="0"/>
          <w:color w:val="auto"/>
          <w:lang w:val="en-US"/>
        </w:rPr>
        <w:t>with a possible phased approach</w:t>
      </w:r>
      <w:r w:rsidR="00A478B6" w:rsidRPr="005C52D3">
        <w:rPr>
          <w:rFonts w:eastAsiaTheme="minorHAnsi" w:cs="Arial"/>
          <w:iCs w:val="0"/>
          <w:color w:val="auto"/>
          <w:lang w:val="en-US"/>
        </w:rPr>
        <w:t xml:space="preserve">) to comply with the requirements in the Standard. The </w:t>
      </w:r>
      <w:r w:rsidR="00DD7BCB">
        <w:rPr>
          <w:rFonts w:eastAsiaTheme="minorHAnsi" w:cs="Arial"/>
          <w:iCs w:val="0"/>
          <w:color w:val="auto"/>
          <w:lang w:val="en-US"/>
        </w:rPr>
        <w:t>A</w:t>
      </w:r>
      <w:r w:rsidR="00A478B6" w:rsidRPr="005C52D3">
        <w:rPr>
          <w:rFonts w:eastAsiaTheme="minorHAnsi" w:cs="Arial"/>
          <w:iCs w:val="0"/>
          <w:color w:val="auto"/>
          <w:lang w:val="en-US"/>
        </w:rPr>
        <w:t xml:space="preserve">uthorities are of the view that this will provide sufficient time to the designated institution to comply with the </w:t>
      </w:r>
      <w:r w:rsidR="00A478B6" w:rsidRPr="008F1BF5">
        <w:rPr>
          <w:rFonts w:eastAsiaTheme="minorHAnsi" w:cs="Arial"/>
          <w:iCs w:val="0"/>
          <w:color w:val="auto"/>
          <w:lang w:val="en-US"/>
        </w:rPr>
        <w:t>Standard</w:t>
      </w:r>
      <w:r w:rsidR="00A478B6" w:rsidRPr="005C52D3">
        <w:rPr>
          <w:rFonts w:eastAsiaTheme="minorHAnsi" w:cs="Arial"/>
          <w:iCs w:val="0"/>
          <w:color w:val="auto"/>
          <w:lang w:val="en-US"/>
        </w:rPr>
        <w:t>.</w:t>
      </w:r>
    </w:p>
    <w:p w14:paraId="2F3AC105" w14:textId="7F5255BE" w:rsidR="00D337B7" w:rsidRPr="005C52D3" w:rsidRDefault="00497841" w:rsidP="005C52D3">
      <w:pPr>
        <w:pStyle w:val="Heading4"/>
        <w:numPr>
          <w:ilvl w:val="0"/>
          <w:numId w:val="95"/>
        </w:numPr>
        <w:spacing w:after="240" w:line="360" w:lineRule="auto"/>
        <w:ind w:left="1418" w:hanging="567"/>
        <w:rPr>
          <w:rFonts w:eastAsiaTheme="minorHAnsi" w:cs="Arial"/>
          <w:iCs w:val="0"/>
          <w:color w:val="auto"/>
          <w:lang w:val="en-US"/>
        </w:rPr>
      </w:pPr>
      <w:r>
        <w:rPr>
          <w:rFonts w:eastAsiaTheme="minorHAnsi" w:cs="Arial"/>
          <w:iCs w:val="0"/>
          <w:color w:val="auto"/>
          <w:lang w:val="en-US"/>
        </w:rPr>
        <w:t>Furthermore</w:t>
      </w:r>
      <w:r w:rsidR="00DF242F">
        <w:rPr>
          <w:rFonts w:eastAsiaTheme="minorHAnsi" w:cs="Arial"/>
          <w:iCs w:val="0"/>
          <w:color w:val="auto"/>
          <w:lang w:val="en-US"/>
        </w:rPr>
        <w:t xml:space="preserve">, </w:t>
      </w:r>
      <w:r w:rsidR="00FC05C6">
        <w:rPr>
          <w:rFonts w:eastAsiaTheme="minorHAnsi" w:cs="Arial"/>
          <w:iCs w:val="0"/>
          <w:color w:val="auto"/>
          <w:lang w:val="en-US"/>
        </w:rPr>
        <w:t>to</w:t>
      </w:r>
      <w:r w:rsidR="00C14E91" w:rsidRPr="00BA1DF7">
        <w:rPr>
          <w:rFonts w:eastAsiaTheme="minorHAnsi" w:cs="Arial"/>
          <w:iCs w:val="0"/>
          <w:color w:val="auto"/>
          <w:lang w:val="en-US"/>
        </w:rPr>
        <w:t xml:space="preserve"> mitiga</w:t>
      </w:r>
      <w:r w:rsidR="00F75AA3">
        <w:rPr>
          <w:rFonts w:eastAsiaTheme="minorHAnsi" w:cs="Arial"/>
          <w:iCs w:val="0"/>
          <w:color w:val="auto"/>
          <w:lang w:val="en-US"/>
        </w:rPr>
        <w:t>te</w:t>
      </w:r>
      <w:r w:rsidR="00C14E91" w:rsidRPr="00BA1DF7">
        <w:rPr>
          <w:rFonts w:eastAsiaTheme="minorHAnsi" w:cs="Arial"/>
          <w:iCs w:val="0"/>
          <w:color w:val="auto"/>
          <w:lang w:val="en-US"/>
        </w:rPr>
        <w:t xml:space="preserve"> against the additional resources that would be required, for instance with </w:t>
      </w:r>
      <w:r w:rsidR="00C14E91">
        <w:rPr>
          <w:rFonts w:eastAsiaTheme="minorHAnsi" w:cs="Arial"/>
          <w:iCs w:val="0"/>
          <w:color w:val="auto"/>
          <w:lang w:val="en-US"/>
        </w:rPr>
        <w:t xml:space="preserve">regards to the </w:t>
      </w:r>
      <w:r w:rsidR="002F27CB" w:rsidRPr="00302FCE">
        <w:rPr>
          <w:rFonts w:eastAsiaTheme="minorHAnsi" w:cs="Arial"/>
          <w:iCs w:val="0"/>
          <w:color w:val="auto"/>
          <w:lang w:val="en-US"/>
        </w:rPr>
        <w:t xml:space="preserve">cost and effort that would be required to produce </w:t>
      </w:r>
      <w:r w:rsidR="00375E80">
        <w:rPr>
          <w:rFonts w:eastAsiaTheme="minorHAnsi" w:cs="Arial"/>
          <w:iCs w:val="0"/>
          <w:color w:val="auto"/>
          <w:lang w:val="en-US"/>
        </w:rPr>
        <w:t xml:space="preserve">a </w:t>
      </w:r>
      <w:r w:rsidR="002C4FFA">
        <w:rPr>
          <w:rFonts w:eastAsiaTheme="minorHAnsi" w:cs="Arial"/>
          <w:iCs w:val="0"/>
          <w:color w:val="auto"/>
          <w:lang w:val="en-US"/>
        </w:rPr>
        <w:t>s</w:t>
      </w:r>
      <w:r w:rsidR="00375E80">
        <w:rPr>
          <w:rFonts w:eastAsiaTheme="minorHAnsi" w:cs="Arial"/>
          <w:iCs w:val="0"/>
          <w:color w:val="auto"/>
          <w:lang w:val="en-US"/>
        </w:rPr>
        <w:t xml:space="preserve">eparability </w:t>
      </w:r>
      <w:r w:rsidR="002C4FFA">
        <w:rPr>
          <w:rFonts w:eastAsiaTheme="minorHAnsi" w:cs="Arial"/>
          <w:iCs w:val="0"/>
          <w:color w:val="auto"/>
          <w:lang w:val="en-US"/>
        </w:rPr>
        <w:t>a</w:t>
      </w:r>
      <w:r w:rsidR="00375E80">
        <w:rPr>
          <w:rFonts w:eastAsiaTheme="minorHAnsi" w:cs="Arial"/>
          <w:iCs w:val="0"/>
          <w:color w:val="auto"/>
          <w:lang w:val="en-US"/>
        </w:rPr>
        <w:t xml:space="preserve">nalysis </w:t>
      </w:r>
      <w:r w:rsidR="00FC05C6" w:rsidRPr="00D66774">
        <w:rPr>
          <w:rFonts w:eastAsiaTheme="minorHAnsi" w:cs="Arial"/>
          <w:iCs w:val="0"/>
          <w:color w:val="auto"/>
          <w:lang w:val="en-US"/>
        </w:rPr>
        <w:t>and a</w:t>
      </w:r>
      <w:r w:rsidR="002F27CB" w:rsidRPr="00302FCE">
        <w:rPr>
          <w:rFonts w:eastAsiaTheme="minorHAnsi" w:cs="Arial"/>
          <w:iCs w:val="0"/>
          <w:color w:val="auto"/>
          <w:lang w:val="en-US"/>
        </w:rPr>
        <w:t xml:space="preserve"> </w:t>
      </w:r>
      <w:r w:rsidR="002C4FFA">
        <w:rPr>
          <w:rFonts w:eastAsiaTheme="minorHAnsi" w:cs="Arial"/>
          <w:iCs w:val="0"/>
          <w:color w:val="auto"/>
          <w:lang w:val="en-US"/>
        </w:rPr>
        <w:t>t</w:t>
      </w:r>
      <w:r w:rsidR="002F27CB" w:rsidRPr="00302FCE">
        <w:rPr>
          <w:rFonts w:eastAsiaTheme="minorHAnsi" w:cs="Arial"/>
          <w:iCs w:val="0"/>
          <w:color w:val="auto"/>
          <w:lang w:val="en-US"/>
        </w:rPr>
        <w:t xml:space="preserve">ransfer </w:t>
      </w:r>
      <w:r w:rsidR="00B53C47">
        <w:rPr>
          <w:rFonts w:eastAsiaTheme="minorHAnsi" w:cs="Arial"/>
          <w:iCs w:val="0"/>
          <w:color w:val="auto"/>
          <w:lang w:val="en-US"/>
        </w:rPr>
        <w:t>p</w:t>
      </w:r>
      <w:r w:rsidR="002F27CB" w:rsidRPr="00302FCE">
        <w:rPr>
          <w:rFonts w:eastAsiaTheme="minorHAnsi" w:cs="Arial"/>
          <w:iCs w:val="0"/>
          <w:color w:val="auto"/>
          <w:lang w:val="en-US"/>
        </w:rPr>
        <w:t>laybook</w:t>
      </w:r>
      <w:r w:rsidR="0084154C">
        <w:rPr>
          <w:rFonts w:eastAsiaTheme="minorHAnsi" w:cs="Arial"/>
          <w:iCs w:val="0"/>
          <w:color w:val="auto"/>
          <w:lang w:val="en-US"/>
        </w:rPr>
        <w:t xml:space="preserve">, </w:t>
      </w:r>
      <w:r w:rsidR="009D223D">
        <w:rPr>
          <w:rFonts w:eastAsiaTheme="minorHAnsi" w:cs="Arial"/>
          <w:iCs w:val="0"/>
          <w:color w:val="auto"/>
          <w:lang w:val="en-US"/>
        </w:rPr>
        <w:t xml:space="preserve">the </w:t>
      </w:r>
      <w:r w:rsidR="00DD7BCB">
        <w:rPr>
          <w:rFonts w:eastAsiaTheme="minorHAnsi" w:cs="Arial"/>
          <w:iCs w:val="0"/>
          <w:color w:val="auto"/>
          <w:lang w:val="en-US"/>
        </w:rPr>
        <w:t>A</w:t>
      </w:r>
      <w:r w:rsidR="009D223D" w:rsidRPr="00610247">
        <w:rPr>
          <w:rFonts w:eastAsiaTheme="minorHAnsi" w:cs="Arial"/>
          <w:iCs w:val="0"/>
          <w:color w:val="auto"/>
          <w:lang w:val="en-US"/>
        </w:rPr>
        <w:t>uthorities will a</w:t>
      </w:r>
      <w:r w:rsidR="002F27CB" w:rsidRPr="00610247">
        <w:rPr>
          <w:rFonts w:eastAsiaTheme="minorHAnsi" w:cs="Arial"/>
          <w:iCs w:val="0"/>
          <w:color w:val="auto"/>
          <w:lang w:val="en-US"/>
        </w:rPr>
        <w:t xml:space="preserve">pply </w:t>
      </w:r>
      <w:r w:rsidR="002F27CB" w:rsidRPr="003F0806">
        <w:rPr>
          <w:rFonts w:eastAsiaTheme="minorHAnsi" w:cs="Arial"/>
          <w:iCs w:val="0"/>
          <w:color w:val="auto"/>
          <w:lang w:val="en-US"/>
        </w:rPr>
        <w:t>the principle of proportionality (</w:t>
      </w:r>
      <w:proofErr w:type="gramStart"/>
      <w:r w:rsidR="00DF242F" w:rsidRPr="003F0806">
        <w:rPr>
          <w:rFonts w:eastAsiaTheme="minorHAnsi" w:cs="Arial"/>
          <w:iCs w:val="0"/>
          <w:color w:val="auto"/>
          <w:lang w:val="en-US"/>
        </w:rPr>
        <w:t>i.e.</w:t>
      </w:r>
      <w:proofErr w:type="gramEnd"/>
      <w:r w:rsidR="00DF242F" w:rsidRPr="003F0806">
        <w:rPr>
          <w:rFonts w:eastAsiaTheme="minorHAnsi" w:cs="Arial"/>
          <w:iCs w:val="0"/>
          <w:color w:val="auto"/>
          <w:lang w:val="en-US"/>
        </w:rPr>
        <w:t xml:space="preserve"> the</w:t>
      </w:r>
      <w:r w:rsidR="00746824" w:rsidRPr="003F0806">
        <w:rPr>
          <w:rFonts w:eastAsiaTheme="minorHAnsi" w:cs="Arial"/>
          <w:iCs w:val="0"/>
          <w:color w:val="auto"/>
          <w:lang w:val="en-US"/>
        </w:rPr>
        <w:t xml:space="preserve"> requirements will be</w:t>
      </w:r>
      <w:r w:rsidR="002F27CB" w:rsidRPr="003F0806">
        <w:rPr>
          <w:rFonts w:eastAsiaTheme="minorHAnsi" w:cs="Arial"/>
          <w:iCs w:val="0"/>
          <w:color w:val="auto"/>
          <w:lang w:val="en-US"/>
        </w:rPr>
        <w:t xml:space="preserve"> fit for purpose and relevant to the size, type, and nature of the financial institution and its operations)</w:t>
      </w:r>
      <w:r w:rsidR="009D223D" w:rsidRPr="003F0806">
        <w:rPr>
          <w:rFonts w:eastAsiaTheme="minorHAnsi" w:cs="Arial"/>
          <w:iCs w:val="0"/>
          <w:color w:val="auto"/>
          <w:lang w:val="en-US"/>
        </w:rPr>
        <w:t xml:space="preserve">. </w:t>
      </w:r>
      <w:r w:rsidR="003423FD">
        <w:rPr>
          <w:rFonts w:eastAsiaTheme="minorHAnsi" w:cs="Arial"/>
          <w:iCs w:val="0"/>
          <w:color w:val="auto"/>
          <w:lang w:val="en-US"/>
        </w:rPr>
        <w:t>Designated institutions will also be allowed</w:t>
      </w:r>
      <w:r w:rsidR="003423FD" w:rsidRPr="003423FD">
        <w:rPr>
          <w:rFonts w:eastAsiaTheme="minorHAnsi" w:cs="Arial"/>
          <w:iCs w:val="0"/>
          <w:color w:val="auto"/>
          <w:lang w:val="en-US"/>
        </w:rPr>
        <w:t xml:space="preserve"> </w:t>
      </w:r>
      <w:r w:rsidR="003423FD" w:rsidRPr="003F0806">
        <w:rPr>
          <w:rFonts w:eastAsiaTheme="minorHAnsi" w:cs="Arial"/>
          <w:iCs w:val="0"/>
          <w:color w:val="auto"/>
          <w:lang w:val="en-US"/>
        </w:rPr>
        <w:t>to leverage off existing processes</w:t>
      </w:r>
      <w:r w:rsidR="003423FD">
        <w:rPr>
          <w:rFonts w:eastAsiaTheme="minorHAnsi" w:cs="Arial"/>
          <w:iCs w:val="0"/>
          <w:color w:val="auto"/>
          <w:lang w:val="en-US"/>
        </w:rPr>
        <w:t xml:space="preserve"> (where possible)</w:t>
      </w:r>
      <w:r w:rsidR="003423FD" w:rsidRPr="003F0806">
        <w:rPr>
          <w:rFonts w:eastAsiaTheme="minorHAnsi" w:cs="Arial"/>
          <w:iCs w:val="0"/>
          <w:color w:val="auto"/>
          <w:lang w:val="en-US"/>
        </w:rPr>
        <w:t xml:space="preserve"> and not unnecessarily duplicate efforts to comply with the </w:t>
      </w:r>
      <w:r w:rsidR="00C96B86" w:rsidRPr="003F0806">
        <w:rPr>
          <w:rFonts w:eastAsiaTheme="minorHAnsi" w:cs="Arial"/>
          <w:iCs w:val="0"/>
          <w:color w:val="auto"/>
          <w:lang w:val="en-US"/>
        </w:rPr>
        <w:t>requirements</w:t>
      </w:r>
      <w:r w:rsidR="00C96B86">
        <w:rPr>
          <w:rFonts w:eastAsiaTheme="minorHAnsi" w:cs="Arial"/>
          <w:iCs w:val="0"/>
          <w:color w:val="auto"/>
          <w:lang w:val="en-US"/>
        </w:rPr>
        <w:t>.</w:t>
      </w:r>
    </w:p>
    <w:p w14:paraId="50E89A23" w14:textId="0E74BB1B" w:rsidR="0061567C" w:rsidRPr="002E115D" w:rsidRDefault="00104413" w:rsidP="005C52D3">
      <w:pPr>
        <w:pStyle w:val="Heading4"/>
        <w:numPr>
          <w:ilvl w:val="0"/>
          <w:numId w:val="95"/>
        </w:numPr>
        <w:spacing w:after="240" w:line="360" w:lineRule="auto"/>
        <w:ind w:left="1418" w:hanging="567"/>
        <w:rPr>
          <w:rFonts w:eastAsiaTheme="minorHAnsi" w:cs="Arial"/>
          <w:iCs w:val="0"/>
          <w:color w:val="auto"/>
          <w:lang w:val="en-US"/>
        </w:rPr>
      </w:pPr>
      <w:r w:rsidRPr="00302FCE">
        <w:rPr>
          <w:rFonts w:eastAsiaTheme="minorHAnsi" w:cs="Arial"/>
          <w:iCs w:val="0"/>
          <w:color w:val="auto"/>
          <w:lang w:val="en-US"/>
        </w:rPr>
        <w:t xml:space="preserve">With regards to the </w:t>
      </w:r>
      <w:r w:rsidR="00F84E94" w:rsidRPr="00302FCE">
        <w:rPr>
          <w:rFonts w:eastAsiaTheme="minorHAnsi" w:cs="Arial"/>
          <w:iCs w:val="0"/>
          <w:color w:val="auto"/>
          <w:lang w:val="en-US"/>
        </w:rPr>
        <w:t>e</w:t>
      </w:r>
      <w:r w:rsidR="0061567C" w:rsidRPr="001E2A61">
        <w:rPr>
          <w:rFonts w:eastAsiaTheme="minorHAnsi" w:cs="Arial"/>
          <w:iCs w:val="0"/>
          <w:color w:val="auto"/>
          <w:lang w:val="en-US"/>
        </w:rPr>
        <w:t>stimation of</w:t>
      </w:r>
      <w:r w:rsidR="00F84E94" w:rsidRPr="00302FCE">
        <w:rPr>
          <w:rFonts w:eastAsiaTheme="minorHAnsi" w:cs="Arial"/>
          <w:iCs w:val="0"/>
          <w:color w:val="auto"/>
          <w:lang w:val="en-US"/>
        </w:rPr>
        <w:t xml:space="preserve"> the </w:t>
      </w:r>
      <w:r w:rsidR="0061567C" w:rsidRPr="001E2A61">
        <w:rPr>
          <w:rFonts w:eastAsiaTheme="minorHAnsi" w:cs="Arial"/>
          <w:iCs w:val="0"/>
          <w:color w:val="auto"/>
          <w:lang w:val="en-US"/>
        </w:rPr>
        <w:t xml:space="preserve">time </w:t>
      </w:r>
      <w:r w:rsidR="00F84E94" w:rsidRPr="00302FCE">
        <w:rPr>
          <w:rFonts w:eastAsiaTheme="minorHAnsi" w:cs="Arial"/>
          <w:iCs w:val="0"/>
          <w:color w:val="auto"/>
          <w:lang w:val="en-US"/>
        </w:rPr>
        <w:t>that would be required to</w:t>
      </w:r>
      <w:r w:rsidR="0061567C" w:rsidRPr="001E2A61">
        <w:rPr>
          <w:rFonts w:eastAsiaTheme="minorHAnsi" w:cs="Arial"/>
          <w:iCs w:val="0"/>
          <w:color w:val="auto"/>
          <w:lang w:val="en-US"/>
        </w:rPr>
        <w:t xml:space="preserve"> comply with the requirements of the Standard</w:t>
      </w:r>
      <w:r w:rsidR="00F84E94">
        <w:rPr>
          <w:rFonts w:eastAsiaTheme="minorHAnsi" w:cs="Arial"/>
          <w:iCs w:val="0"/>
          <w:color w:val="auto"/>
          <w:lang w:val="en-US"/>
        </w:rPr>
        <w:t xml:space="preserve">, </w:t>
      </w:r>
      <w:r w:rsidR="00FE1739">
        <w:rPr>
          <w:rFonts w:eastAsiaTheme="minorHAnsi" w:cs="Arial"/>
          <w:iCs w:val="0"/>
          <w:color w:val="auto"/>
          <w:lang w:val="en-US"/>
        </w:rPr>
        <w:t>the 4 respondents to th</w:t>
      </w:r>
      <w:r w:rsidR="00817DF9">
        <w:rPr>
          <w:rFonts w:eastAsiaTheme="minorHAnsi" w:cs="Arial"/>
          <w:iCs w:val="0"/>
          <w:color w:val="auto"/>
          <w:lang w:val="en-US"/>
        </w:rPr>
        <w:t xml:space="preserve">e question indicated a preferred period running from 12 months to 5 years. The Authorities have proposed a </w:t>
      </w:r>
      <w:r w:rsidR="00AB4DF0">
        <w:rPr>
          <w:rFonts w:eastAsiaTheme="minorHAnsi" w:cs="Arial"/>
          <w:iCs w:val="0"/>
          <w:color w:val="auto"/>
          <w:lang w:val="en-US"/>
        </w:rPr>
        <w:t>2-year</w:t>
      </w:r>
      <w:r w:rsidR="0095582E">
        <w:rPr>
          <w:rFonts w:eastAsiaTheme="minorHAnsi" w:cs="Arial"/>
          <w:iCs w:val="0"/>
          <w:color w:val="auto"/>
          <w:lang w:val="en-US"/>
        </w:rPr>
        <w:t xml:space="preserve"> transitional period. This balances the need to allow the designation institutions sufficient time to be ready as well as ensure that the </w:t>
      </w:r>
      <w:r w:rsidR="00AB4DF0">
        <w:rPr>
          <w:rFonts w:eastAsiaTheme="minorHAnsi" w:cs="Arial"/>
          <w:iCs w:val="0"/>
          <w:color w:val="auto"/>
          <w:lang w:val="en-US"/>
        </w:rPr>
        <w:t xml:space="preserve">transfer </w:t>
      </w:r>
      <w:r w:rsidR="00505AFB">
        <w:rPr>
          <w:rFonts w:eastAsiaTheme="minorHAnsi" w:cs="Arial"/>
          <w:iCs w:val="0"/>
          <w:color w:val="auto"/>
          <w:lang w:val="en-US"/>
        </w:rPr>
        <w:t xml:space="preserve">resolution </w:t>
      </w:r>
      <w:r w:rsidR="00AB4DF0">
        <w:rPr>
          <w:rFonts w:eastAsiaTheme="minorHAnsi" w:cs="Arial"/>
          <w:iCs w:val="0"/>
          <w:color w:val="auto"/>
          <w:lang w:val="en-US"/>
        </w:rPr>
        <w:t>tool is also available in the</w:t>
      </w:r>
      <w:r w:rsidR="00505AFB">
        <w:rPr>
          <w:rFonts w:eastAsiaTheme="minorHAnsi" w:cs="Arial"/>
          <w:iCs w:val="0"/>
          <w:color w:val="auto"/>
          <w:lang w:val="en-US"/>
        </w:rPr>
        <w:t xml:space="preserve"> </w:t>
      </w:r>
      <w:r w:rsidR="0020401A">
        <w:rPr>
          <w:rFonts w:eastAsiaTheme="minorHAnsi" w:cs="Arial"/>
          <w:iCs w:val="0"/>
          <w:color w:val="auto"/>
          <w:lang w:val="en-US"/>
        </w:rPr>
        <w:t>overall</w:t>
      </w:r>
      <w:r w:rsidR="00AB4DF0">
        <w:rPr>
          <w:rFonts w:eastAsiaTheme="minorHAnsi" w:cs="Arial"/>
          <w:iCs w:val="0"/>
          <w:color w:val="auto"/>
          <w:lang w:val="en-US"/>
        </w:rPr>
        <w:t xml:space="preserve"> resolution strategy within a reasonable period. </w:t>
      </w:r>
    </w:p>
    <w:p w14:paraId="0E7FEF24" w14:textId="1F317A84" w:rsidR="006F5C26" w:rsidRPr="001E2A61" w:rsidRDefault="00AB4DF0" w:rsidP="005C52D3">
      <w:pPr>
        <w:pStyle w:val="Heading4"/>
        <w:numPr>
          <w:ilvl w:val="0"/>
          <w:numId w:val="95"/>
        </w:numPr>
        <w:spacing w:after="240" w:line="360" w:lineRule="auto"/>
        <w:ind w:left="1418" w:hanging="567"/>
        <w:rPr>
          <w:rFonts w:eastAsiaTheme="minorHAnsi" w:cs="Arial"/>
          <w:iCs w:val="0"/>
          <w:color w:val="auto"/>
          <w:lang w:val="en-US"/>
        </w:rPr>
      </w:pPr>
      <w:r>
        <w:rPr>
          <w:rFonts w:eastAsiaTheme="minorHAnsi" w:cs="Arial"/>
          <w:iCs w:val="0"/>
          <w:color w:val="auto"/>
          <w:lang w:val="en-US"/>
        </w:rPr>
        <w:t xml:space="preserve">The main </w:t>
      </w:r>
      <w:r w:rsidR="006F5C26" w:rsidRPr="002E115D">
        <w:rPr>
          <w:rFonts w:eastAsiaTheme="minorHAnsi" w:cs="Arial"/>
          <w:iCs w:val="0"/>
          <w:color w:val="auto"/>
          <w:lang w:val="en-US"/>
        </w:rPr>
        <w:t>advantages or benefits of the Standard</w:t>
      </w:r>
      <w:r>
        <w:rPr>
          <w:rFonts w:eastAsiaTheme="minorHAnsi" w:cs="Arial"/>
          <w:iCs w:val="0"/>
          <w:color w:val="auto"/>
          <w:lang w:val="en-US"/>
        </w:rPr>
        <w:t xml:space="preserve"> were cited by the industry </w:t>
      </w:r>
      <w:r w:rsidR="005D73A8">
        <w:rPr>
          <w:rFonts w:eastAsiaTheme="minorHAnsi" w:cs="Arial"/>
          <w:iCs w:val="0"/>
          <w:color w:val="auto"/>
          <w:lang w:val="en-US"/>
        </w:rPr>
        <w:t>to include</w:t>
      </w:r>
      <w:r w:rsidR="007A5BD2">
        <w:rPr>
          <w:rFonts w:eastAsiaTheme="minorHAnsi" w:cs="Arial"/>
          <w:iCs w:val="0"/>
          <w:color w:val="auto"/>
          <w:lang w:val="en-US"/>
        </w:rPr>
        <w:t xml:space="preserve"> -</w:t>
      </w:r>
    </w:p>
    <w:p w14:paraId="5E2852F5" w14:textId="78B82787" w:rsidR="005D73A8" w:rsidRDefault="006F5C26" w:rsidP="005C52D3">
      <w:pPr>
        <w:pStyle w:val="Heading4"/>
        <w:numPr>
          <w:ilvl w:val="0"/>
          <w:numId w:val="81"/>
        </w:numPr>
        <w:spacing w:after="240" w:line="360" w:lineRule="auto"/>
        <w:ind w:left="1985" w:hanging="567"/>
        <w:rPr>
          <w:rFonts w:eastAsiaTheme="minorHAnsi" w:cs="Arial"/>
          <w:iCs w:val="0"/>
          <w:color w:val="auto"/>
          <w:lang w:val="en-US"/>
        </w:rPr>
      </w:pPr>
      <w:r w:rsidRPr="001E2A61">
        <w:rPr>
          <w:rFonts w:eastAsiaTheme="minorHAnsi" w:cs="Arial"/>
          <w:iCs w:val="0"/>
          <w:color w:val="auto"/>
          <w:lang w:val="en-US"/>
        </w:rPr>
        <w:lastRenderedPageBreak/>
        <w:t>alignment of the transfer resolution strategies with international benchmarks designed to enable the resolution authority to execute its transfer powers (and alignment with international standards and principles overall</w:t>
      </w:r>
      <w:proofErr w:type="gramStart"/>
      <w:r w:rsidRPr="001E2A61">
        <w:rPr>
          <w:rFonts w:eastAsiaTheme="minorHAnsi" w:cs="Arial"/>
          <w:iCs w:val="0"/>
          <w:color w:val="auto"/>
          <w:lang w:val="en-US"/>
        </w:rPr>
        <w:t>);</w:t>
      </w:r>
      <w:proofErr w:type="gramEnd"/>
    </w:p>
    <w:p w14:paraId="430617D0" w14:textId="4BD16D96" w:rsidR="006D7E97" w:rsidRDefault="006F5C26" w:rsidP="005C52D3">
      <w:pPr>
        <w:pStyle w:val="Heading4"/>
        <w:numPr>
          <w:ilvl w:val="0"/>
          <w:numId w:val="81"/>
        </w:numPr>
        <w:spacing w:after="240" w:line="360" w:lineRule="auto"/>
        <w:ind w:left="1985" w:hanging="567"/>
        <w:rPr>
          <w:rFonts w:eastAsiaTheme="minorHAnsi" w:cs="Arial"/>
          <w:iCs w:val="0"/>
          <w:color w:val="auto"/>
          <w:lang w:val="en-US"/>
        </w:rPr>
      </w:pPr>
      <w:r w:rsidRPr="001E2A61">
        <w:rPr>
          <w:rFonts w:eastAsiaTheme="minorHAnsi" w:cs="Arial"/>
          <w:iCs w:val="0"/>
          <w:color w:val="auto"/>
          <w:lang w:val="en-US"/>
        </w:rPr>
        <w:t xml:space="preserve">an opportunity for designated institutions to assess their operating models and </w:t>
      </w:r>
      <w:proofErr w:type="gramStart"/>
      <w:r w:rsidRPr="001E2A61">
        <w:rPr>
          <w:rFonts w:eastAsiaTheme="minorHAnsi" w:cs="Arial"/>
          <w:iCs w:val="0"/>
          <w:color w:val="auto"/>
          <w:lang w:val="en-US"/>
        </w:rPr>
        <w:t>interdependencies;</w:t>
      </w:r>
      <w:proofErr w:type="gramEnd"/>
      <w:r w:rsidRPr="001E2A61">
        <w:rPr>
          <w:rFonts w:eastAsiaTheme="minorHAnsi" w:cs="Arial"/>
          <w:iCs w:val="0"/>
          <w:color w:val="auto"/>
          <w:lang w:val="en-US"/>
        </w:rPr>
        <w:t xml:space="preserve"> </w:t>
      </w:r>
    </w:p>
    <w:p w14:paraId="5EF962CD" w14:textId="77777777" w:rsidR="006D7E97" w:rsidRDefault="006F5C26" w:rsidP="005C52D3">
      <w:pPr>
        <w:pStyle w:val="Heading4"/>
        <w:numPr>
          <w:ilvl w:val="0"/>
          <w:numId w:val="81"/>
        </w:numPr>
        <w:spacing w:after="240" w:line="360" w:lineRule="auto"/>
        <w:ind w:left="1985" w:hanging="567"/>
        <w:rPr>
          <w:rFonts w:eastAsiaTheme="minorHAnsi" w:cs="Arial"/>
          <w:iCs w:val="0"/>
          <w:color w:val="auto"/>
          <w:lang w:val="en-US"/>
        </w:rPr>
      </w:pPr>
      <w:r w:rsidRPr="001E2A61">
        <w:rPr>
          <w:rFonts w:eastAsiaTheme="minorHAnsi" w:cs="Arial"/>
          <w:iCs w:val="0"/>
          <w:color w:val="auto"/>
          <w:lang w:val="en-US"/>
        </w:rPr>
        <w:t xml:space="preserve">additional insight to be unearthed through transfer </w:t>
      </w:r>
      <w:proofErr w:type="gramStart"/>
      <w:r w:rsidRPr="001E2A61">
        <w:rPr>
          <w:rFonts w:eastAsiaTheme="minorHAnsi" w:cs="Arial"/>
          <w:iCs w:val="0"/>
          <w:color w:val="auto"/>
          <w:lang w:val="en-US"/>
        </w:rPr>
        <w:t>playbooks;</w:t>
      </w:r>
      <w:proofErr w:type="gramEnd"/>
      <w:r w:rsidRPr="001E2A61">
        <w:rPr>
          <w:rFonts w:eastAsiaTheme="minorHAnsi" w:cs="Arial"/>
          <w:iCs w:val="0"/>
          <w:color w:val="auto"/>
          <w:lang w:val="en-US"/>
        </w:rPr>
        <w:t xml:space="preserve"> </w:t>
      </w:r>
    </w:p>
    <w:p w14:paraId="6B4658DE" w14:textId="7401A053" w:rsidR="006D7E97" w:rsidRDefault="006F5C26" w:rsidP="005C52D3">
      <w:pPr>
        <w:pStyle w:val="Heading4"/>
        <w:numPr>
          <w:ilvl w:val="0"/>
          <w:numId w:val="81"/>
        </w:numPr>
        <w:spacing w:after="240" w:line="360" w:lineRule="auto"/>
        <w:ind w:left="1985" w:hanging="567"/>
        <w:rPr>
          <w:rFonts w:eastAsiaTheme="minorHAnsi" w:cs="Arial"/>
          <w:iCs w:val="0"/>
          <w:color w:val="auto"/>
          <w:lang w:val="en-US"/>
        </w:rPr>
      </w:pPr>
      <w:r w:rsidRPr="001E2A61">
        <w:rPr>
          <w:rFonts w:eastAsiaTheme="minorHAnsi" w:cs="Arial"/>
          <w:iCs w:val="0"/>
          <w:color w:val="auto"/>
          <w:lang w:val="en-US"/>
        </w:rPr>
        <w:t>economical functioning of the designated institution in resolution which ultimately impacts customers and the economy as a whole;</w:t>
      </w:r>
      <w:r w:rsidR="003C5A65" w:rsidRPr="001E2A61">
        <w:rPr>
          <w:rFonts w:eastAsiaTheme="minorHAnsi" w:cs="Arial"/>
          <w:iCs w:val="0"/>
          <w:color w:val="auto"/>
          <w:lang w:val="en-US"/>
        </w:rPr>
        <w:t xml:space="preserve"> </w:t>
      </w:r>
      <w:r w:rsidR="00BD341B">
        <w:rPr>
          <w:rFonts w:eastAsiaTheme="minorHAnsi" w:cs="Arial"/>
          <w:iCs w:val="0"/>
          <w:color w:val="auto"/>
          <w:lang w:val="en-US"/>
        </w:rPr>
        <w:t>and</w:t>
      </w:r>
    </w:p>
    <w:p w14:paraId="16A49C51" w14:textId="24DF26B0" w:rsidR="006F5C26" w:rsidRPr="001E2A61" w:rsidRDefault="006F5C26" w:rsidP="005C52D3">
      <w:pPr>
        <w:pStyle w:val="Heading4"/>
        <w:numPr>
          <w:ilvl w:val="0"/>
          <w:numId w:val="81"/>
        </w:numPr>
        <w:spacing w:after="240" w:line="360" w:lineRule="auto"/>
        <w:ind w:left="1985" w:hanging="567"/>
        <w:rPr>
          <w:rFonts w:eastAsiaTheme="minorHAnsi" w:cs="Arial"/>
          <w:iCs w:val="0"/>
          <w:color w:val="auto"/>
          <w:lang w:val="en-US"/>
        </w:rPr>
      </w:pPr>
      <w:r w:rsidRPr="001E2A61">
        <w:rPr>
          <w:rFonts w:eastAsiaTheme="minorHAnsi" w:cs="Arial"/>
          <w:iCs w:val="0"/>
          <w:color w:val="auto"/>
          <w:lang w:val="en-US"/>
        </w:rPr>
        <w:t>appropriate and relevant resolution plans in preparation for a potential resolution event.</w:t>
      </w:r>
    </w:p>
    <w:p w14:paraId="3382A719" w14:textId="6EB5F0D8" w:rsidR="003922F7" w:rsidRPr="007A5BD2" w:rsidRDefault="003922F7" w:rsidP="005C52D3">
      <w:pPr>
        <w:pStyle w:val="ListParagraph"/>
        <w:numPr>
          <w:ilvl w:val="1"/>
          <w:numId w:val="5"/>
        </w:numPr>
        <w:spacing w:line="360" w:lineRule="auto"/>
        <w:ind w:left="851" w:hanging="851"/>
        <w:jc w:val="both"/>
      </w:pPr>
      <w:r w:rsidRPr="007A5BD2">
        <w:t xml:space="preserve">From the </w:t>
      </w:r>
      <w:proofErr w:type="spellStart"/>
      <w:r w:rsidRPr="007A5BD2">
        <w:t>summari</w:t>
      </w:r>
      <w:r w:rsidR="003532D9" w:rsidRPr="007A5BD2">
        <w:t>s</w:t>
      </w:r>
      <w:r w:rsidRPr="007A5BD2">
        <w:t>ed</w:t>
      </w:r>
      <w:proofErr w:type="spellEnd"/>
      <w:r w:rsidRPr="007A5BD2">
        <w:t xml:space="preserve"> comments above, </w:t>
      </w:r>
      <w:proofErr w:type="gramStart"/>
      <w:r w:rsidRPr="007A5BD2">
        <w:t>it is clear that the</w:t>
      </w:r>
      <w:proofErr w:type="gramEnd"/>
      <w:r w:rsidRPr="007A5BD2">
        <w:t xml:space="preserve"> respondents see value in the Standard by </w:t>
      </w:r>
      <w:proofErr w:type="spellStart"/>
      <w:r w:rsidR="00A90BF6" w:rsidRPr="007A5BD2">
        <w:t>recognising</w:t>
      </w:r>
      <w:proofErr w:type="spellEnd"/>
      <w:r w:rsidRPr="007A5BD2">
        <w:t xml:space="preserve"> that it</w:t>
      </w:r>
      <w:r w:rsidR="009868E8" w:rsidRPr="007A5BD2">
        <w:t xml:space="preserve"> wi</w:t>
      </w:r>
      <w:r w:rsidRPr="007A5BD2">
        <w:t xml:space="preserve">ll enable an effective resolution and </w:t>
      </w:r>
      <w:r w:rsidR="009868E8" w:rsidRPr="007A5BD2">
        <w:t>stating</w:t>
      </w:r>
      <w:r w:rsidR="00A90BF6" w:rsidRPr="007A5BD2">
        <w:t xml:space="preserve"> </w:t>
      </w:r>
      <w:r w:rsidRPr="007A5BD2">
        <w:t>that it is aligned to international best practice that enables the resolution authority to execute an effective transfer resolution tool.</w:t>
      </w:r>
    </w:p>
    <w:p w14:paraId="1942EAEC" w14:textId="6E1F1ECC" w:rsidR="003922F7" w:rsidRPr="007A5BD2" w:rsidRDefault="003922F7" w:rsidP="005C52D3">
      <w:pPr>
        <w:pStyle w:val="ListParagraph"/>
        <w:numPr>
          <w:ilvl w:val="1"/>
          <w:numId w:val="5"/>
        </w:numPr>
        <w:spacing w:line="360" w:lineRule="auto"/>
        <w:ind w:left="851" w:hanging="851"/>
        <w:jc w:val="both"/>
      </w:pPr>
      <w:r w:rsidRPr="007A5BD2">
        <w:t xml:space="preserve">The general concerns </w:t>
      </w:r>
      <w:r w:rsidR="00A90BF6" w:rsidRPr="007A5BD2">
        <w:t xml:space="preserve">raised </w:t>
      </w:r>
      <w:r w:rsidRPr="007A5BD2">
        <w:t>revolve around the operational complexities, the additional resources that would be required and the timelines for implementation. Despite the concerns raised, the respondents acknowledge that the costs</w:t>
      </w:r>
      <w:r w:rsidR="00A90BF6" w:rsidRPr="007A5BD2">
        <w:t xml:space="preserve"> have dependencies such as</w:t>
      </w:r>
      <w:r w:rsidRPr="007A5BD2">
        <w:t xml:space="preserve"> the resolution strategy (</w:t>
      </w:r>
      <w:r w:rsidR="009868E8" w:rsidRPr="007A5BD2">
        <w:t>i.e.,</w:t>
      </w:r>
      <w:r w:rsidRPr="007A5BD2">
        <w:t xml:space="preserve"> </w:t>
      </w:r>
      <w:r w:rsidR="00A90BF6" w:rsidRPr="007A5BD2">
        <w:t>whether</w:t>
      </w:r>
      <w:r w:rsidRPr="007A5BD2">
        <w:t xml:space="preserve"> transfer tools are envisaged in the resolution strategy</w:t>
      </w:r>
      <w:r w:rsidR="00A90BF6" w:rsidRPr="007A5BD2">
        <w:t>)</w:t>
      </w:r>
      <w:r w:rsidRPr="007A5BD2">
        <w:t xml:space="preserve"> and the nature of the assets and liabilities to be transferred.</w:t>
      </w:r>
    </w:p>
    <w:p w14:paraId="3A7CF965" w14:textId="3161FED9" w:rsidR="009868E8" w:rsidRPr="007A5BD2" w:rsidRDefault="009868E8" w:rsidP="005C52D3">
      <w:pPr>
        <w:pStyle w:val="ListParagraph"/>
        <w:numPr>
          <w:ilvl w:val="1"/>
          <w:numId w:val="5"/>
        </w:numPr>
        <w:spacing w:line="360" w:lineRule="auto"/>
        <w:ind w:left="851" w:hanging="851"/>
        <w:jc w:val="both"/>
      </w:pPr>
      <w:r w:rsidRPr="007A5BD2">
        <w:t xml:space="preserve">Based on the concerns raised in the impact assessment, the </w:t>
      </w:r>
      <w:r w:rsidR="00DD7BCB">
        <w:t>A</w:t>
      </w:r>
      <w:r w:rsidR="00172550">
        <w:t>uthorities</w:t>
      </w:r>
      <w:r w:rsidRPr="007A5BD2">
        <w:t xml:space="preserve"> made additional changes to the application section of the Standard to </w:t>
      </w:r>
      <w:r w:rsidR="003532D9" w:rsidRPr="007A5BD2">
        <w:t xml:space="preserve">give </w:t>
      </w:r>
      <w:r w:rsidRPr="007A5BD2">
        <w:t xml:space="preserve">designated institutions </w:t>
      </w:r>
      <w:r w:rsidR="003532D9" w:rsidRPr="007A5BD2">
        <w:t>a minimum period of 2 years to comply with requirements</w:t>
      </w:r>
      <w:r w:rsidRPr="007A5BD2">
        <w:t xml:space="preserve"> after they have been informed that transfer tools will form part of their resolution strategy.</w:t>
      </w:r>
      <w:r w:rsidR="00E33FEE" w:rsidRPr="007A5BD2">
        <w:t xml:space="preserve"> </w:t>
      </w:r>
    </w:p>
    <w:p w14:paraId="263E7680" w14:textId="53EBC4B5" w:rsidR="00A90BF6" w:rsidRPr="007A5BD2" w:rsidRDefault="00A90BF6" w:rsidP="005C52D3">
      <w:pPr>
        <w:pStyle w:val="ListParagraph"/>
        <w:numPr>
          <w:ilvl w:val="1"/>
          <w:numId w:val="5"/>
        </w:numPr>
        <w:spacing w:line="360" w:lineRule="auto"/>
        <w:ind w:left="851" w:hanging="851"/>
        <w:jc w:val="both"/>
      </w:pPr>
      <w:r w:rsidRPr="007A5BD2">
        <w:t xml:space="preserve">Overall, the implementation of the Standard with sufficient clarity </w:t>
      </w:r>
      <w:r w:rsidR="003D22C2" w:rsidRPr="007A5BD2">
        <w:t>regarding</w:t>
      </w:r>
      <w:r w:rsidRPr="007A5BD2">
        <w:t xml:space="preserve"> the resolution strategy for designated institutions and sufficient timeline</w:t>
      </w:r>
      <w:r w:rsidR="00036C2A">
        <w:t>s</w:t>
      </w:r>
      <w:r w:rsidRPr="007A5BD2">
        <w:t xml:space="preserve"> to </w:t>
      </w:r>
      <w:r w:rsidRPr="007A5BD2">
        <w:lastRenderedPageBreak/>
        <w:t xml:space="preserve">implement the requirements can be reasonably expected to yield more </w:t>
      </w:r>
      <w:r w:rsidR="006B4859" w:rsidRPr="007A5BD2">
        <w:t>benefits than costs.</w:t>
      </w:r>
    </w:p>
    <w:p w14:paraId="6AA3B1B3" w14:textId="54D8D6C0" w:rsidR="00515925" w:rsidRPr="00FB27C9" w:rsidRDefault="00515925" w:rsidP="005C52D3">
      <w:pPr>
        <w:pStyle w:val="Heading2"/>
        <w:numPr>
          <w:ilvl w:val="0"/>
          <w:numId w:val="5"/>
        </w:numPr>
        <w:tabs>
          <w:tab w:val="left" w:pos="851"/>
        </w:tabs>
        <w:spacing w:line="360" w:lineRule="auto"/>
        <w:ind w:left="851" w:hanging="851"/>
        <w:jc w:val="both"/>
        <w:rPr>
          <w:rFonts w:cs="Arial"/>
          <w:spacing w:val="-1"/>
          <w:sz w:val="24"/>
          <w:szCs w:val="24"/>
        </w:rPr>
      </w:pPr>
      <w:bookmarkStart w:id="17" w:name="_Toc126200852"/>
      <w:bookmarkStart w:id="18" w:name="_Toc126587692"/>
      <w:bookmarkStart w:id="19" w:name="_Toc128474604"/>
      <w:bookmarkEnd w:id="17"/>
      <w:bookmarkEnd w:id="18"/>
      <w:r w:rsidRPr="00FB27C9">
        <w:rPr>
          <w:rFonts w:cs="Arial"/>
          <w:spacing w:val="-1"/>
          <w:sz w:val="24"/>
          <w:szCs w:val="24"/>
        </w:rPr>
        <w:t>Conclusion</w:t>
      </w:r>
      <w:bookmarkEnd w:id="15"/>
      <w:bookmarkEnd w:id="19"/>
    </w:p>
    <w:p w14:paraId="498565B6" w14:textId="21F60BF0" w:rsidR="009E70A9" w:rsidRPr="00042AF0" w:rsidRDefault="00B353D9" w:rsidP="005C52D3">
      <w:pPr>
        <w:pStyle w:val="ListParagraph"/>
        <w:numPr>
          <w:ilvl w:val="1"/>
          <w:numId w:val="5"/>
        </w:numPr>
        <w:spacing w:line="360" w:lineRule="auto"/>
        <w:ind w:left="851" w:hanging="851"/>
        <w:jc w:val="both"/>
      </w:pPr>
      <w:r w:rsidRPr="00042AF0">
        <w:t xml:space="preserve">The </w:t>
      </w:r>
      <w:r w:rsidR="008C5D72" w:rsidRPr="00042AF0">
        <w:t>resolut</w:t>
      </w:r>
      <w:r w:rsidR="003E0CF0" w:rsidRPr="00042AF0">
        <w:t>ion transfer</w:t>
      </w:r>
      <w:r w:rsidRPr="00042AF0">
        <w:t xml:space="preserve"> </w:t>
      </w:r>
      <w:r w:rsidR="00DD2DB7" w:rsidRPr="00042AF0">
        <w:t xml:space="preserve">powers </w:t>
      </w:r>
      <w:r w:rsidRPr="00042AF0">
        <w:t xml:space="preserve">provided for in the </w:t>
      </w:r>
      <w:r w:rsidR="00937877" w:rsidRPr="00042AF0">
        <w:t>S</w:t>
      </w:r>
      <w:r w:rsidRPr="00042AF0">
        <w:t xml:space="preserve">tandard </w:t>
      </w:r>
      <w:r w:rsidR="00DD2DB7" w:rsidRPr="00042AF0">
        <w:t>are a key element of South Africa</w:t>
      </w:r>
      <w:r w:rsidR="00D0071C" w:rsidRPr="00042AF0">
        <w:t xml:space="preserve">’s </w:t>
      </w:r>
      <w:r w:rsidR="00DD2DB7" w:rsidRPr="00042AF0">
        <w:t>resolution framework</w:t>
      </w:r>
      <w:r w:rsidR="00561EDD" w:rsidRPr="00042AF0">
        <w:t xml:space="preserve">. The Standard will </w:t>
      </w:r>
      <w:r w:rsidR="00346754" w:rsidRPr="00042AF0">
        <w:t xml:space="preserve">enable the </w:t>
      </w:r>
      <w:r w:rsidR="005A0EAC" w:rsidRPr="00042AF0">
        <w:t>Reserve Bank</w:t>
      </w:r>
      <w:r w:rsidR="003E0CF0" w:rsidRPr="00042AF0">
        <w:t xml:space="preserve">, as </w:t>
      </w:r>
      <w:r w:rsidR="00D0071C" w:rsidRPr="00042AF0">
        <w:t>the resolution authority</w:t>
      </w:r>
      <w:r w:rsidR="009B3B1A" w:rsidRPr="00042AF0">
        <w:t>,</w:t>
      </w:r>
      <w:r w:rsidR="003E0CF0" w:rsidRPr="00042AF0">
        <w:t xml:space="preserve"> to </w:t>
      </w:r>
      <w:r w:rsidR="00D87DEF" w:rsidRPr="00042AF0">
        <w:t>execute</w:t>
      </w:r>
      <w:r w:rsidR="00D7446D" w:rsidRPr="00042AF0">
        <w:t xml:space="preserve"> the relevant resolution </w:t>
      </w:r>
      <w:r w:rsidR="00E52CA8" w:rsidRPr="00042AF0">
        <w:t>strategy</w:t>
      </w:r>
      <w:r w:rsidR="00D7446D" w:rsidRPr="00042AF0">
        <w:t xml:space="preserve"> by </w:t>
      </w:r>
      <w:r w:rsidR="00FB27C9" w:rsidRPr="00042AF0">
        <w:t>transferring</w:t>
      </w:r>
      <w:r w:rsidR="00D7446D" w:rsidRPr="00042AF0">
        <w:t xml:space="preserve"> </w:t>
      </w:r>
      <w:r w:rsidR="00F03BE7" w:rsidRPr="00042AF0">
        <w:t xml:space="preserve">the assets and liabilities of designated institutions to ensure </w:t>
      </w:r>
      <w:r w:rsidR="005A5648" w:rsidRPr="00042AF0">
        <w:t xml:space="preserve">an orderly resolution. </w:t>
      </w:r>
    </w:p>
    <w:p w14:paraId="323C6992" w14:textId="77777777" w:rsidR="00F70976" w:rsidRPr="002B5A4B" w:rsidRDefault="00F70976" w:rsidP="000B7CF5">
      <w:pPr>
        <w:widowControl/>
        <w:autoSpaceDE w:val="0"/>
        <w:autoSpaceDN w:val="0"/>
        <w:adjustRightInd w:val="0"/>
        <w:spacing w:line="360" w:lineRule="auto"/>
        <w:jc w:val="both"/>
        <w:rPr>
          <w:rFonts w:cs="Arial"/>
          <w:szCs w:val="24"/>
        </w:rPr>
      </w:pPr>
    </w:p>
    <w:sectPr w:rsidR="00F70976" w:rsidRPr="002B5A4B" w:rsidSect="000B7CF5">
      <w:pgSz w:w="11910" w:h="16840"/>
      <w:pgMar w:top="1440" w:right="1440" w:bottom="1440" w:left="1440" w:header="733" w:footer="9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A1B6" w14:textId="77777777" w:rsidR="000E04A1" w:rsidRDefault="000E04A1">
      <w:r>
        <w:separator/>
      </w:r>
    </w:p>
  </w:endnote>
  <w:endnote w:type="continuationSeparator" w:id="0">
    <w:p w14:paraId="316622FA" w14:textId="77777777" w:rsidR="000E04A1" w:rsidRDefault="000E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7318" w14:textId="77777777" w:rsidR="004F66DB" w:rsidRDefault="009A35D4">
    <w:pPr>
      <w:spacing w:line="14" w:lineRule="auto"/>
      <w:rPr>
        <w:sz w:val="20"/>
        <w:szCs w:val="20"/>
      </w:rPr>
    </w:pPr>
    <w:r>
      <w:rPr>
        <w:noProof/>
        <w:lang w:val="en-ZA" w:eastAsia="en-ZA"/>
      </w:rPr>
      <mc:AlternateContent>
        <mc:Choice Requires="wps">
          <w:drawing>
            <wp:anchor distT="0" distB="0" distL="114300" distR="114300" simplePos="0" relativeHeight="503300384" behindDoc="1" locked="0" layoutInCell="1" allowOverlap="1" wp14:anchorId="01AA731B" wp14:editId="01AA731C">
              <wp:simplePos x="0" y="0"/>
              <wp:positionH relativeFrom="page">
                <wp:posOffset>5922010</wp:posOffset>
              </wp:positionH>
              <wp:positionV relativeFrom="page">
                <wp:posOffset>9942195</wp:posOffset>
              </wp:positionV>
              <wp:extent cx="73914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A7330" w14:textId="025862DA" w:rsidR="004F66DB" w:rsidRPr="002C157E" w:rsidRDefault="004F66DB">
                          <w:pPr>
                            <w:spacing w:line="204" w:lineRule="exact"/>
                            <w:ind w:left="20"/>
                            <w:rPr>
                              <w:rFonts w:eastAsia="Arial" w:cs="Arial"/>
                              <w:color w:val="000000" w:themeColor="text1"/>
                              <w:sz w:val="18"/>
                              <w:szCs w:val="18"/>
                            </w:rPr>
                          </w:pPr>
                          <w:r w:rsidRPr="002C157E">
                            <w:rPr>
                              <w:color w:val="000000" w:themeColor="text1"/>
                              <w:spacing w:val="-1"/>
                              <w:sz w:val="18"/>
                            </w:rPr>
                            <w:t>Page</w:t>
                          </w:r>
                          <w:r w:rsidRPr="002C157E">
                            <w:rPr>
                              <w:color w:val="000000" w:themeColor="text1"/>
                              <w:spacing w:val="1"/>
                              <w:sz w:val="18"/>
                            </w:rPr>
                            <w:t xml:space="preserve"> </w:t>
                          </w:r>
                          <w:r w:rsidRPr="002C157E">
                            <w:rPr>
                              <w:color w:val="000000" w:themeColor="text1"/>
                            </w:rPr>
                            <w:fldChar w:fldCharType="begin"/>
                          </w:r>
                          <w:r w:rsidRPr="002C157E">
                            <w:rPr>
                              <w:color w:val="000000" w:themeColor="text1"/>
                              <w:sz w:val="18"/>
                            </w:rPr>
                            <w:instrText xml:space="preserve"> PAGE </w:instrText>
                          </w:r>
                          <w:r w:rsidRPr="002C157E">
                            <w:rPr>
                              <w:color w:val="000000" w:themeColor="text1"/>
                            </w:rPr>
                            <w:fldChar w:fldCharType="separate"/>
                          </w:r>
                          <w:r w:rsidR="00CB685E">
                            <w:rPr>
                              <w:noProof/>
                              <w:color w:val="000000" w:themeColor="text1"/>
                              <w:sz w:val="18"/>
                            </w:rPr>
                            <w:t>3</w:t>
                          </w:r>
                          <w:r w:rsidRPr="002C157E">
                            <w:rPr>
                              <w:color w:val="000000" w:themeColor="text1"/>
                            </w:rPr>
                            <w:fldChar w:fldCharType="end"/>
                          </w:r>
                          <w:r w:rsidRPr="002C157E">
                            <w:rPr>
                              <w:color w:val="000000" w:themeColor="text1"/>
                              <w:spacing w:val="1"/>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A731B" id="_x0000_t202" coordsize="21600,21600" o:spt="202" path="m,l,21600r21600,l21600,xe">
              <v:stroke joinstyle="miter"/>
              <v:path gradientshapeok="t" o:connecttype="rect"/>
            </v:shapetype>
            <v:shape id="Text Box 1" o:spid="_x0000_s1027" type="#_x0000_t202" style="position:absolute;left:0;text-align:left;margin-left:466.3pt;margin-top:782.85pt;width:58.2pt;height:11pt;z-index:-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" filled="f" stroked="f">
              <v:textbox inset="0,0,0,0">
                <w:txbxContent>
                  <w:p w14:paraId="01AA7330" w14:textId="025862DA" w:rsidR="004F66DB" w:rsidRPr="002C157E" w:rsidRDefault="004F66DB">
                    <w:pPr>
                      <w:spacing w:line="204" w:lineRule="exact"/>
                      <w:ind w:left="20"/>
                      <w:rPr>
                        <w:rFonts w:eastAsia="Arial" w:cs="Arial"/>
                        <w:color w:val="000000" w:themeColor="text1"/>
                        <w:sz w:val="18"/>
                        <w:szCs w:val="18"/>
                      </w:rPr>
                    </w:pPr>
                    <w:r w:rsidRPr="002C157E">
                      <w:rPr>
                        <w:color w:val="000000" w:themeColor="text1"/>
                        <w:spacing w:val="-1"/>
                        <w:sz w:val="18"/>
                      </w:rPr>
                      <w:t>Page</w:t>
                    </w:r>
                    <w:r w:rsidRPr="002C157E">
                      <w:rPr>
                        <w:color w:val="000000" w:themeColor="text1"/>
                        <w:spacing w:val="1"/>
                        <w:sz w:val="18"/>
                      </w:rPr>
                      <w:t xml:space="preserve"> </w:t>
                    </w:r>
                    <w:r w:rsidRPr="002C157E">
                      <w:rPr>
                        <w:color w:val="000000" w:themeColor="text1"/>
                      </w:rPr>
                      <w:fldChar w:fldCharType="begin"/>
                    </w:r>
                    <w:r w:rsidRPr="002C157E">
                      <w:rPr>
                        <w:color w:val="000000" w:themeColor="text1"/>
                        <w:sz w:val="18"/>
                      </w:rPr>
                      <w:instrText xml:space="preserve"> PAGE </w:instrText>
                    </w:r>
                    <w:r w:rsidRPr="002C157E">
                      <w:rPr>
                        <w:color w:val="000000" w:themeColor="text1"/>
                      </w:rPr>
                      <w:fldChar w:fldCharType="separate"/>
                    </w:r>
                    <w:r w:rsidR="00CB685E">
                      <w:rPr>
                        <w:noProof/>
                        <w:color w:val="000000" w:themeColor="text1"/>
                        <w:sz w:val="18"/>
                      </w:rPr>
                      <w:t>3</w:t>
                    </w:r>
                    <w:r w:rsidRPr="002C157E">
                      <w:rPr>
                        <w:color w:val="000000" w:themeColor="text1"/>
                      </w:rPr>
                      <w:fldChar w:fldCharType="end"/>
                    </w:r>
                    <w:r w:rsidRPr="002C157E">
                      <w:rPr>
                        <w:color w:val="000000" w:themeColor="text1"/>
                        <w:spacing w:val="1"/>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37A4" w14:textId="77777777" w:rsidR="000E04A1" w:rsidRDefault="000E04A1">
      <w:r>
        <w:separator/>
      </w:r>
    </w:p>
  </w:footnote>
  <w:footnote w:type="continuationSeparator" w:id="0">
    <w:p w14:paraId="36B6F464" w14:textId="77777777" w:rsidR="000E04A1" w:rsidRDefault="000E0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7317" w14:textId="1D7265A9" w:rsidR="004F66DB" w:rsidRPr="00DA036E" w:rsidRDefault="00E61A33" w:rsidP="00E61A33">
    <w:pPr>
      <w:ind w:left="284" w:right="114"/>
      <w:jc w:val="both"/>
    </w:pPr>
    <w:r w:rsidRPr="00E61A33">
      <w:rPr>
        <w:rFonts w:cs="Arial"/>
        <w:bCs/>
        <w:sz w:val="14"/>
        <w:szCs w:val="14"/>
      </w:rPr>
      <w:t xml:space="preserve">Statement explaining the need for, intended operation and expected impact of the prudential standard for designated institutions in respect of transfer powers in </w:t>
    </w:r>
    <w:proofErr w:type="gramStart"/>
    <w:r w:rsidRPr="00E61A33">
      <w:rPr>
        <w:rFonts w:cs="Arial"/>
        <w:bCs/>
        <w:sz w:val="14"/>
        <w:szCs w:val="14"/>
      </w:rPr>
      <w:t>resolution</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E43"/>
    <w:multiLevelType w:val="hybridMultilevel"/>
    <w:tmpl w:val="000C3EE0"/>
    <w:lvl w:ilvl="0" w:tplc="00A062EA">
      <w:start w:val="1"/>
      <w:numFmt w:val="lowerLetter"/>
      <w:pStyle w:val="Heading3"/>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 w15:restartNumberingAfterBreak="0">
    <w:nsid w:val="032E3A14"/>
    <w:multiLevelType w:val="hybridMultilevel"/>
    <w:tmpl w:val="A7D62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AC5649"/>
    <w:multiLevelType w:val="multilevel"/>
    <w:tmpl w:val="E0967B98"/>
    <w:lvl w:ilvl="0">
      <w:start w:val="1"/>
      <w:numFmt w:val="decimal"/>
      <w:lvlText w:val="%1."/>
      <w:lvlJc w:val="left"/>
      <w:pPr>
        <w:ind w:left="0" w:firstLine="0"/>
      </w:pPr>
      <w:rPr>
        <w:rFonts w:hint="default"/>
        <w:b/>
        <w:i w:val="0"/>
        <w:iCs w:val="0"/>
        <w:caps w:val="0"/>
        <w:smallCaps w:val="0"/>
        <w:strike w:val="0"/>
        <w:dstrike w:val="0"/>
        <w:vanish w:val="0"/>
        <w:color w:val="auto"/>
        <w:spacing w:val="0"/>
        <w:kern w:val="0"/>
        <w:position w:val="0"/>
        <w:u w:val="none"/>
        <w:effect w:val="none"/>
        <w:vertAlign w:val="baseline"/>
        <w:em w:val="none"/>
      </w:rPr>
    </w:lvl>
    <w:lvl w:ilvl="1">
      <w:start w:val="1"/>
      <w:numFmt w:val="lowerLetter"/>
      <w:lvlText w:val="%2)"/>
      <w:lvlJc w:val="left"/>
      <w:pPr>
        <w:ind w:left="360" w:hanging="360"/>
      </w:pPr>
    </w:lvl>
    <w:lvl w:ilvl="2">
      <w:start w:val="1"/>
      <w:numFmt w:val="decimal"/>
      <w:lvlText w:val="%1.%2.%3"/>
      <w:lvlJc w:val="left"/>
      <w:pPr>
        <w:ind w:left="1430" w:hanging="720"/>
      </w:pPr>
      <w:rPr>
        <w:rFonts w:ascii="Arial" w:hAnsi="Arial" w:cs="Arial" w:hint="default"/>
        <w:b w:val="0"/>
        <w:color w:val="auto"/>
      </w:rPr>
    </w:lvl>
    <w:lvl w:ilvl="3">
      <w:start w:val="1"/>
      <w:numFmt w:val="decimal"/>
      <w:lvlText w:val="%1.%2.%3.%4"/>
      <w:lvlJc w:val="left"/>
      <w:pPr>
        <w:ind w:left="2902" w:hanging="864"/>
      </w:pPr>
      <w:rPr>
        <w:rFonts w:hint="default"/>
      </w:rPr>
    </w:lvl>
    <w:lvl w:ilvl="4">
      <w:start w:val="1"/>
      <w:numFmt w:val="decimal"/>
      <w:lvlText w:val="%1.%2.%3.%4.%5"/>
      <w:lvlJc w:val="left"/>
      <w:pPr>
        <w:ind w:left="3046" w:hanging="1008"/>
      </w:pPr>
      <w:rPr>
        <w:rFonts w:hint="default"/>
      </w:rPr>
    </w:lvl>
    <w:lvl w:ilvl="5">
      <w:start w:val="1"/>
      <w:numFmt w:val="decimal"/>
      <w:lvlText w:val="%1.%2.%3.%4.%5.%6"/>
      <w:lvlJc w:val="left"/>
      <w:pPr>
        <w:ind w:left="3190" w:hanging="1152"/>
      </w:pPr>
      <w:rPr>
        <w:rFonts w:hint="default"/>
      </w:rPr>
    </w:lvl>
    <w:lvl w:ilvl="6">
      <w:start w:val="1"/>
      <w:numFmt w:val="decimal"/>
      <w:lvlText w:val="%1.%2.%3.%4.%5.%6.%7"/>
      <w:lvlJc w:val="left"/>
      <w:pPr>
        <w:ind w:left="3334" w:hanging="1296"/>
      </w:pPr>
      <w:rPr>
        <w:rFonts w:hint="default"/>
      </w:rPr>
    </w:lvl>
    <w:lvl w:ilvl="7">
      <w:start w:val="1"/>
      <w:numFmt w:val="decimal"/>
      <w:lvlText w:val="%1.%2.%3.%4.%5.%6.%7.%8"/>
      <w:lvlJc w:val="left"/>
      <w:pPr>
        <w:ind w:left="3478" w:hanging="1440"/>
      </w:pPr>
      <w:rPr>
        <w:rFonts w:hint="default"/>
      </w:rPr>
    </w:lvl>
    <w:lvl w:ilvl="8">
      <w:start w:val="1"/>
      <w:numFmt w:val="decimal"/>
      <w:lvlText w:val="%1.%2.%3.%4.%5.%6.%7.%8.%9"/>
      <w:lvlJc w:val="left"/>
      <w:pPr>
        <w:ind w:left="3622" w:hanging="1584"/>
      </w:pPr>
      <w:rPr>
        <w:rFonts w:hint="default"/>
      </w:rPr>
    </w:lvl>
  </w:abstractNum>
  <w:abstractNum w:abstractNumId="3" w15:restartNumberingAfterBreak="0">
    <w:nsid w:val="06477A43"/>
    <w:multiLevelType w:val="hybridMultilevel"/>
    <w:tmpl w:val="612EA42C"/>
    <w:lvl w:ilvl="0" w:tplc="D6BC9BF2">
      <w:start w:val="1"/>
      <w:numFmt w:val="bullet"/>
      <w:lvlText w:val=""/>
      <w:lvlJc w:val="left"/>
      <w:pPr>
        <w:ind w:left="951" w:hanging="286"/>
      </w:pPr>
      <w:rPr>
        <w:rFonts w:ascii="Symbol" w:eastAsia="Symbol" w:hAnsi="Symbol" w:hint="default"/>
        <w:sz w:val="23"/>
        <w:szCs w:val="23"/>
      </w:rPr>
    </w:lvl>
    <w:lvl w:ilvl="1" w:tplc="1F209436">
      <w:start w:val="1"/>
      <w:numFmt w:val="bullet"/>
      <w:lvlText w:val="•"/>
      <w:lvlJc w:val="left"/>
      <w:pPr>
        <w:ind w:left="1781" w:hanging="286"/>
      </w:pPr>
      <w:rPr>
        <w:rFonts w:hint="default"/>
      </w:rPr>
    </w:lvl>
    <w:lvl w:ilvl="2" w:tplc="43EC177E">
      <w:start w:val="1"/>
      <w:numFmt w:val="bullet"/>
      <w:lvlText w:val="•"/>
      <w:lvlJc w:val="left"/>
      <w:pPr>
        <w:ind w:left="2610" w:hanging="286"/>
      </w:pPr>
      <w:rPr>
        <w:rFonts w:hint="default"/>
      </w:rPr>
    </w:lvl>
    <w:lvl w:ilvl="3" w:tplc="B5064D54">
      <w:start w:val="1"/>
      <w:numFmt w:val="bullet"/>
      <w:lvlText w:val="•"/>
      <w:lvlJc w:val="left"/>
      <w:pPr>
        <w:ind w:left="3440" w:hanging="286"/>
      </w:pPr>
      <w:rPr>
        <w:rFonts w:hint="default"/>
      </w:rPr>
    </w:lvl>
    <w:lvl w:ilvl="4" w:tplc="DFB019A6">
      <w:start w:val="1"/>
      <w:numFmt w:val="bullet"/>
      <w:lvlText w:val="•"/>
      <w:lvlJc w:val="left"/>
      <w:pPr>
        <w:ind w:left="4269" w:hanging="286"/>
      </w:pPr>
      <w:rPr>
        <w:rFonts w:hint="default"/>
      </w:rPr>
    </w:lvl>
    <w:lvl w:ilvl="5" w:tplc="7DBE68C6">
      <w:start w:val="1"/>
      <w:numFmt w:val="bullet"/>
      <w:lvlText w:val="•"/>
      <w:lvlJc w:val="left"/>
      <w:pPr>
        <w:ind w:left="5099" w:hanging="286"/>
      </w:pPr>
      <w:rPr>
        <w:rFonts w:hint="default"/>
      </w:rPr>
    </w:lvl>
    <w:lvl w:ilvl="6" w:tplc="F9584E72">
      <w:start w:val="1"/>
      <w:numFmt w:val="bullet"/>
      <w:lvlText w:val="•"/>
      <w:lvlJc w:val="left"/>
      <w:pPr>
        <w:ind w:left="5928" w:hanging="286"/>
      </w:pPr>
      <w:rPr>
        <w:rFonts w:hint="default"/>
      </w:rPr>
    </w:lvl>
    <w:lvl w:ilvl="7" w:tplc="EB62AA86">
      <w:start w:val="1"/>
      <w:numFmt w:val="bullet"/>
      <w:lvlText w:val="•"/>
      <w:lvlJc w:val="left"/>
      <w:pPr>
        <w:ind w:left="6758" w:hanging="286"/>
      </w:pPr>
      <w:rPr>
        <w:rFonts w:hint="default"/>
      </w:rPr>
    </w:lvl>
    <w:lvl w:ilvl="8" w:tplc="5C4E7CD2">
      <w:start w:val="1"/>
      <w:numFmt w:val="bullet"/>
      <w:lvlText w:val="•"/>
      <w:lvlJc w:val="left"/>
      <w:pPr>
        <w:ind w:left="7587" w:hanging="286"/>
      </w:pPr>
      <w:rPr>
        <w:rFonts w:hint="default"/>
      </w:rPr>
    </w:lvl>
  </w:abstractNum>
  <w:abstractNum w:abstractNumId="4" w15:restartNumberingAfterBreak="0">
    <w:nsid w:val="07F62AD1"/>
    <w:multiLevelType w:val="hybridMultilevel"/>
    <w:tmpl w:val="912850A8"/>
    <w:lvl w:ilvl="0" w:tplc="950A1860">
      <w:start w:val="1"/>
      <w:numFmt w:val="bullet"/>
      <w:lvlText w:val=""/>
      <w:lvlJc w:val="left"/>
      <w:pPr>
        <w:ind w:left="1093" w:hanging="428"/>
      </w:pPr>
      <w:rPr>
        <w:rFonts w:ascii="Symbol" w:eastAsia="Symbol" w:hAnsi="Symbol" w:hint="default"/>
        <w:sz w:val="23"/>
        <w:szCs w:val="23"/>
      </w:rPr>
    </w:lvl>
    <w:lvl w:ilvl="1" w:tplc="7C70404C">
      <w:start w:val="1"/>
      <w:numFmt w:val="bullet"/>
      <w:lvlText w:val="•"/>
      <w:lvlJc w:val="left"/>
      <w:pPr>
        <w:ind w:left="1912" w:hanging="428"/>
      </w:pPr>
      <w:rPr>
        <w:rFonts w:hint="default"/>
      </w:rPr>
    </w:lvl>
    <w:lvl w:ilvl="2" w:tplc="0F325C68">
      <w:start w:val="1"/>
      <w:numFmt w:val="bullet"/>
      <w:lvlText w:val="•"/>
      <w:lvlJc w:val="left"/>
      <w:pPr>
        <w:ind w:left="2731" w:hanging="428"/>
      </w:pPr>
      <w:rPr>
        <w:rFonts w:hint="default"/>
      </w:rPr>
    </w:lvl>
    <w:lvl w:ilvl="3" w:tplc="84DC7180">
      <w:start w:val="1"/>
      <w:numFmt w:val="bullet"/>
      <w:lvlText w:val="•"/>
      <w:lvlJc w:val="left"/>
      <w:pPr>
        <w:ind w:left="3551" w:hanging="428"/>
      </w:pPr>
      <w:rPr>
        <w:rFonts w:hint="default"/>
      </w:rPr>
    </w:lvl>
    <w:lvl w:ilvl="4" w:tplc="C5748D0E">
      <w:start w:val="1"/>
      <w:numFmt w:val="bullet"/>
      <w:lvlText w:val="•"/>
      <w:lvlJc w:val="left"/>
      <w:pPr>
        <w:ind w:left="4370" w:hanging="428"/>
      </w:pPr>
      <w:rPr>
        <w:rFonts w:hint="default"/>
      </w:rPr>
    </w:lvl>
    <w:lvl w:ilvl="5" w:tplc="FC003A44">
      <w:start w:val="1"/>
      <w:numFmt w:val="bullet"/>
      <w:lvlText w:val="•"/>
      <w:lvlJc w:val="left"/>
      <w:pPr>
        <w:ind w:left="5189" w:hanging="428"/>
      </w:pPr>
      <w:rPr>
        <w:rFonts w:hint="default"/>
      </w:rPr>
    </w:lvl>
    <w:lvl w:ilvl="6" w:tplc="B2BA2B2E">
      <w:start w:val="1"/>
      <w:numFmt w:val="bullet"/>
      <w:lvlText w:val="•"/>
      <w:lvlJc w:val="left"/>
      <w:pPr>
        <w:ind w:left="6009" w:hanging="428"/>
      </w:pPr>
      <w:rPr>
        <w:rFonts w:hint="default"/>
      </w:rPr>
    </w:lvl>
    <w:lvl w:ilvl="7" w:tplc="1332B2B4">
      <w:start w:val="1"/>
      <w:numFmt w:val="bullet"/>
      <w:lvlText w:val="•"/>
      <w:lvlJc w:val="left"/>
      <w:pPr>
        <w:ind w:left="6828" w:hanging="428"/>
      </w:pPr>
      <w:rPr>
        <w:rFonts w:hint="default"/>
      </w:rPr>
    </w:lvl>
    <w:lvl w:ilvl="8" w:tplc="3754E59C">
      <w:start w:val="1"/>
      <w:numFmt w:val="bullet"/>
      <w:lvlText w:val="•"/>
      <w:lvlJc w:val="left"/>
      <w:pPr>
        <w:ind w:left="7647" w:hanging="428"/>
      </w:pPr>
      <w:rPr>
        <w:rFonts w:hint="default"/>
      </w:rPr>
    </w:lvl>
  </w:abstractNum>
  <w:abstractNum w:abstractNumId="5" w15:restartNumberingAfterBreak="0">
    <w:nsid w:val="0A910721"/>
    <w:multiLevelType w:val="hybridMultilevel"/>
    <w:tmpl w:val="72662456"/>
    <w:lvl w:ilvl="0" w:tplc="3B547F68">
      <w:start w:val="1"/>
      <w:numFmt w:val="bullet"/>
      <w:lvlText w:val=""/>
      <w:lvlJc w:val="left"/>
      <w:pPr>
        <w:ind w:left="1113" w:hanging="428"/>
      </w:pPr>
      <w:rPr>
        <w:rFonts w:ascii="Symbol" w:eastAsia="Symbol" w:hAnsi="Symbol" w:hint="default"/>
        <w:sz w:val="23"/>
        <w:szCs w:val="23"/>
      </w:rPr>
    </w:lvl>
    <w:lvl w:ilvl="1" w:tplc="49802BCE">
      <w:start w:val="1"/>
      <w:numFmt w:val="bullet"/>
      <w:lvlText w:val="•"/>
      <w:lvlJc w:val="left"/>
      <w:pPr>
        <w:ind w:left="1928" w:hanging="428"/>
      </w:pPr>
      <w:rPr>
        <w:rFonts w:hint="default"/>
      </w:rPr>
    </w:lvl>
    <w:lvl w:ilvl="2" w:tplc="E802594C">
      <w:start w:val="1"/>
      <w:numFmt w:val="bullet"/>
      <w:lvlText w:val="•"/>
      <w:lvlJc w:val="left"/>
      <w:pPr>
        <w:ind w:left="2743" w:hanging="428"/>
      </w:pPr>
      <w:rPr>
        <w:rFonts w:hint="default"/>
      </w:rPr>
    </w:lvl>
    <w:lvl w:ilvl="3" w:tplc="2A1A72C2">
      <w:start w:val="1"/>
      <w:numFmt w:val="bullet"/>
      <w:lvlText w:val="•"/>
      <w:lvlJc w:val="left"/>
      <w:pPr>
        <w:ind w:left="3559" w:hanging="428"/>
      </w:pPr>
      <w:rPr>
        <w:rFonts w:hint="default"/>
      </w:rPr>
    </w:lvl>
    <w:lvl w:ilvl="4" w:tplc="F5428748">
      <w:start w:val="1"/>
      <w:numFmt w:val="bullet"/>
      <w:lvlText w:val="•"/>
      <w:lvlJc w:val="left"/>
      <w:pPr>
        <w:ind w:left="4374" w:hanging="428"/>
      </w:pPr>
      <w:rPr>
        <w:rFonts w:hint="default"/>
      </w:rPr>
    </w:lvl>
    <w:lvl w:ilvl="5" w:tplc="6FA8D840">
      <w:start w:val="1"/>
      <w:numFmt w:val="bullet"/>
      <w:lvlText w:val="•"/>
      <w:lvlJc w:val="left"/>
      <w:pPr>
        <w:ind w:left="5189" w:hanging="428"/>
      </w:pPr>
      <w:rPr>
        <w:rFonts w:hint="default"/>
      </w:rPr>
    </w:lvl>
    <w:lvl w:ilvl="6" w:tplc="982A0280">
      <w:start w:val="1"/>
      <w:numFmt w:val="bullet"/>
      <w:lvlText w:val="•"/>
      <w:lvlJc w:val="left"/>
      <w:pPr>
        <w:ind w:left="6005" w:hanging="428"/>
      </w:pPr>
      <w:rPr>
        <w:rFonts w:hint="default"/>
      </w:rPr>
    </w:lvl>
    <w:lvl w:ilvl="7" w:tplc="2B722854">
      <w:start w:val="1"/>
      <w:numFmt w:val="bullet"/>
      <w:lvlText w:val="•"/>
      <w:lvlJc w:val="left"/>
      <w:pPr>
        <w:ind w:left="6820" w:hanging="428"/>
      </w:pPr>
      <w:rPr>
        <w:rFonts w:hint="default"/>
      </w:rPr>
    </w:lvl>
    <w:lvl w:ilvl="8" w:tplc="7FA8B548">
      <w:start w:val="1"/>
      <w:numFmt w:val="bullet"/>
      <w:lvlText w:val="•"/>
      <w:lvlJc w:val="left"/>
      <w:pPr>
        <w:ind w:left="7635" w:hanging="428"/>
      </w:pPr>
      <w:rPr>
        <w:rFonts w:hint="default"/>
      </w:rPr>
    </w:lvl>
  </w:abstractNum>
  <w:abstractNum w:abstractNumId="6" w15:restartNumberingAfterBreak="0">
    <w:nsid w:val="0B1A1F2E"/>
    <w:multiLevelType w:val="hybridMultilevel"/>
    <w:tmpl w:val="C0BCA754"/>
    <w:lvl w:ilvl="0" w:tplc="BEE26308">
      <w:start w:val="1"/>
      <w:numFmt w:val="decimal"/>
      <w:lvlText w:val="%1."/>
      <w:lvlJc w:val="left"/>
      <w:pPr>
        <w:ind w:left="383" w:hanging="284"/>
      </w:pPr>
      <w:rPr>
        <w:rFonts w:ascii="Arial" w:eastAsia="Arial" w:hAnsi="Arial" w:hint="default"/>
        <w:b/>
        <w:bCs/>
        <w:spacing w:val="-1"/>
        <w:sz w:val="23"/>
        <w:szCs w:val="23"/>
      </w:rPr>
    </w:lvl>
    <w:lvl w:ilvl="1" w:tplc="9EEE90E6">
      <w:start w:val="1"/>
      <w:numFmt w:val="bullet"/>
      <w:lvlText w:val="•"/>
      <w:lvlJc w:val="left"/>
      <w:pPr>
        <w:ind w:left="1269" w:hanging="284"/>
      </w:pPr>
      <w:rPr>
        <w:rFonts w:hint="default"/>
      </w:rPr>
    </w:lvl>
    <w:lvl w:ilvl="2" w:tplc="42A6341C">
      <w:start w:val="1"/>
      <w:numFmt w:val="bullet"/>
      <w:lvlText w:val="•"/>
      <w:lvlJc w:val="left"/>
      <w:pPr>
        <w:ind w:left="2156" w:hanging="284"/>
      </w:pPr>
      <w:rPr>
        <w:rFonts w:hint="default"/>
      </w:rPr>
    </w:lvl>
    <w:lvl w:ilvl="3" w:tplc="6C7EA772">
      <w:start w:val="1"/>
      <w:numFmt w:val="bullet"/>
      <w:lvlText w:val="•"/>
      <w:lvlJc w:val="left"/>
      <w:pPr>
        <w:ind w:left="3042" w:hanging="284"/>
      </w:pPr>
      <w:rPr>
        <w:rFonts w:hint="default"/>
      </w:rPr>
    </w:lvl>
    <w:lvl w:ilvl="4" w:tplc="5E52F6E0">
      <w:start w:val="1"/>
      <w:numFmt w:val="bullet"/>
      <w:lvlText w:val="•"/>
      <w:lvlJc w:val="left"/>
      <w:pPr>
        <w:ind w:left="3928" w:hanging="284"/>
      </w:pPr>
      <w:rPr>
        <w:rFonts w:hint="default"/>
      </w:rPr>
    </w:lvl>
    <w:lvl w:ilvl="5" w:tplc="B4A48BA4">
      <w:start w:val="1"/>
      <w:numFmt w:val="bullet"/>
      <w:lvlText w:val="•"/>
      <w:lvlJc w:val="left"/>
      <w:pPr>
        <w:ind w:left="4814" w:hanging="284"/>
      </w:pPr>
      <w:rPr>
        <w:rFonts w:hint="default"/>
      </w:rPr>
    </w:lvl>
    <w:lvl w:ilvl="6" w:tplc="8306ED2C">
      <w:start w:val="1"/>
      <w:numFmt w:val="bullet"/>
      <w:lvlText w:val="•"/>
      <w:lvlJc w:val="left"/>
      <w:pPr>
        <w:ind w:left="5701" w:hanging="284"/>
      </w:pPr>
      <w:rPr>
        <w:rFonts w:hint="default"/>
      </w:rPr>
    </w:lvl>
    <w:lvl w:ilvl="7" w:tplc="4356A326">
      <w:start w:val="1"/>
      <w:numFmt w:val="bullet"/>
      <w:lvlText w:val="•"/>
      <w:lvlJc w:val="left"/>
      <w:pPr>
        <w:ind w:left="6587" w:hanging="284"/>
      </w:pPr>
      <w:rPr>
        <w:rFonts w:hint="default"/>
      </w:rPr>
    </w:lvl>
    <w:lvl w:ilvl="8" w:tplc="820A2824">
      <w:start w:val="1"/>
      <w:numFmt w:val="bullet"/>
      <w:lvlText w:val="•"/>
      <w:lvlJc w:val="left"/>
      <w:pPr>
        <w:ind w:left="7473" w:hanging="284"/>
      </w:pPr>
      <w:rPr>
        <w:rFonts w:hint="default"/>
      </w:rPr>
    </w:lvl>
  </w:abstractNum>
  <w:abstractNum w:abstractNumId="7" w15:restartNumberingAfterBreak="0">
    <w:nsid w:val="0C2470FE"/>
    <w:multiLevelType w:val="hybridMultilevel"/>
    <w:tmpl w:val="25FEC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017FF3"/>
    <w:multiLevelType w:val="hybridMultilevel"/>
    <w:tmpl w:val="3F60A9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D426055"/>
    <w:multiLevelType w:val="multilevel"/>
    <w:tmpl w:val="81E49154"/>
    <w:lvl w:ilvl="0">
      <w:start w:val="1"/>
      <w:numFmt w:val="decimal"/>
      <w:lvlText w:val="%1."/>
      <w:lvlJc w:val="left"/>
      <w:pPr>
        <w:ind w:left="686" w:hanging="567"/>
      </w:pPr>
      <w:rPr>
        <w:rFonts w:ascii="Arial" w:eastAsia="Arial" w:hAnsi="Arial" w:hint="default"/>
        <w:b/>
        <w:bCs/>
        <w:spacing w:val="-1"/>
        <w:sz w:val="24"/>
        <w:szCs w:val="24"/>
      </w:rPr>
    </w:lvl>
    <w:lvl w:ilvl="1">
      <w:start w:val="1"/>
      <w:numFmt w:val="decimal"/>
      <w:lvlText w:val="%1.%2"/>
      <w:lvlJc w:val="left"/>
      <w:pPr>
        <w:ind w:left="685" w:hanging="567"/>
      </w:pPr>
      <w:rPr>
        <w:rFonts w:ascii="Arial" w:eastAsia="Arial" w:hAnsi="Arial" w:hint="default"/>
        <w:b w:val="0"/>
        <w:bCs w:val="0"/>
        <w:color w:val="000000" w:themeColor="text1"/>
        <w:spacing w:val="-1"/>
        <w:sz w:val="24"/>
        <w:szCs w:val="24"/>
      </w:rPr>
    </w:lvl>
    <w:lvl w:ilvl="2">
      <w:start w:val="1"/>
      <w:numFmt w:val="lowerLetter"/>
      <w:lvlText w:val="(%3)"/>
      <w:lvlJc w:val="left"/>
      <w:pPr>
        <w:ind w:left="1113" w:hanging="428"/>
      </w:pPr>
      <w:rPr>
        <w:rFonts w:ascii="Arial" w:eastAsia="Arial" w:hAnsi="Arial" w:hint="default"/>
        <w:sz w:val="23"/>
        <w:szCs w:val="23"/>
      </w:rPr>
    </w:lvl>
    <w:lvl w:ilvl="3">
      <w:start w:val="1"/>
      <w:numFmt w:val="bullet"/>
      <w:lvlText w:val="•"/>
      <w:lvlJc w:val="left"/>
      <w:pPr>
        <w:ind w:left="686" w:hanging="428"/>
      </w:pPr>
      <w:rPr>
        <w:rFonts w:hint="default"/>
      </w:rPr>
    </w:lvl>
    <w:lvl w:ilvl="4">
      <w:start w:val="1"/>
      <w:numFmt w:val="bullet"/>
      <w:lvlText w:val="•"/>
      <w:lvlJc w:val="left"/>
      <w:pPr>
        <w:ind w:left="686" w:hanging="428"/>
      </w:pPr>
      <w:rPr>
        <w:rFonts w:hint="default"/>
      </w:rPr>
    </w:lvl>
    <w:lvl w:ilvl="5">
      <w:start w:val="1"/>
      <w:numFmt w:val="bullet"/>
      <w:lvlText w:val="•"/>
      <w:lvlJc w:val="left"/>
      <w:pPr>
        <w:ind w:left="686" w:hanging="428"/>
      </w:pPr>
      <w:rPr>
        <w:rFonts w:hint="default"/>
      </w:rPr>
    </w:lvl>
    <w:lvl w:ilvl="6">
      <w:start w:val="1"/>
      <w:numFmt w:val="bullet"/>
      <w:lvlText w:val="•"/>
      <w:lvlJc w:val="left"/>
      <w:pPr>
        <w:ind w:left="1113" w:hanging="428"/>
      </w:pPr>
      <w:rPr>
        <w:rFonts w:hint="default"/>
      </w:rPr>
    </w:lvl>
    <w:lvl w:ilvl="7">
      <w:start w:val="1"/>
      <w:numFmt w:val="bullet"/>
      <w:lvlText w:val="•"/>
      <w:lvlJc w:val="left"/>
      <w:pPr>
        <w:ind w:left="3146" w:hanging="428"/>
      </w:pPr>
      <w:rPr>
        <w:rFonts w:hint="default"/>
      </w:rPr>
    </w:lvl>
    <w:lvl w:ilvl="8">
      <w:start w:val="1"/>
      <w:numFmt w:val="bullet"/>
      <w:lvlText w:val="•"/>
      <w:lvlJc w:val="left"/>
      <w:pPr>
        <w:ind w:left="5180" w:hanging="428"/>
      </w:pPr>
      <w:rPr>
        <w:rFonts w:hint="default"/>
      </w:rPr>
    </w:lvl>
  </w:abstractNum>
  <w:abstractNum w:abstractNumId="10" w15:restartNumberingAfterBreak="0">
    <w:nsid w:val="168B7A04"/>
    <w:multiLevelType w:val="multilevel"/>
    <w:tmpl w:val="E0967B98"/>
    <w:lvl w:ilvl="0">
      <w:start w:val="1"/>
      <w:numFmt w:val="decimal"/>
      <w:lvlText w:val="%1."/>
      <w:lvlJc w:val="left"/>
      <w:pPr>
        <w:ind w:left="0" w:firstLine="0"/>
      </w:pPr>
      <w:rPr>
        <w:rFonts w:hint="default"/>
        <w:b/>
        <w:i w:val="0"/>
        <w:iCs w:val="0"/>
        <w:caps w:val="0"/>
        <w:smallCaps w:val="0"/>
        <w:strike w:val="0"/>
        <w:dstrike w:val="0"/>
        <w:vanish w:val="0"/>
        <w:color w:val="auto"/>
        <w:spacing w:val="0"/>
        <w:kern w:val="0"/>
        <w:position w:val="0"/>
        <w:u w:val="none"/>
        <w:effect w:val="none"/>
        <w:vertAlign w:val="baseline"/>
        <w:em w:val="none"/>
      </w:rPr>
    </w:lvl>
    <w:lvl w:ilvl="1">
      <w:start w:val="1"/>
      <w:numFmt w:val="lowerLetter"/>
      <w:lvlText w:val="%2)"/>
      <w:lvlJc w:val="left"/>
      <w:pPr>
        <w:ind w:left="360" w:hanging="360"/>
      </w:pPr>
    </w:lvl>
    <w:lvl w:ilvl="2">
      <w:start w:val="1"/>
      <w:numFmt w:val="decimal"/>
      <w:lvlText w:val="%1.%2.%3"/>
      <w:lvlJc w:val="left"/>
      <w:pPr>
        <w:ind w:left="1430" w:hanging="720"/>
      </w:pPr>
      <w:rPr>
        <w:rFonts w:ascii="Arial" w:hAnsi="Arial" w:cs="Arial" w:hint="default"/>
        <w:b w:val="0"/>
        <w:color w:val="auto"/>
      </w:rPr>
    </w:lvl>
    <w:lvl w:ilvl="3">
      <w:start w:val="1"/>
      <w:numFmt w:val="decimal"/>
      <w:lvlText w:val="%1.%2.%3.%4"/>
      <w:lvlJc w:val="left"/>
      <w:pPr>
        <w:ind w:left="2902" w:hanging="864"/>
      </w:pPr>
      <w:rPr>
        <w:rFonts w:hint="default"/>
      </w:rPr>
    </w:lvl>
    <w:lvl w:ilvl="4">
      <w:start w:val="1"/>
      <w:numFmt w:val="decimal"/>
      <w:lvlText w:val="%1.%2.%3.%4.%5"/>
      <w:lvlJc w:val="left"/>
      <w:pPr>
        <w:ind w:left="3046" w:hanging="1008"/>
      </w:pPr>
      <w:rPr>
        <w:rFonts w:hint="default"/>
      </w:rPr>
    </w:lvl>
    <w:lvl w:ilvl="5">
      <w:start w:val="1"/>
      <w:numFmt w:val="decimal"/>
      <w:lvlText w:val="%1.%2.%3.%4.%5.%6"/>
      <w:lvlJc w:val="left"/>
      <w:pPr>
        <w:ind w:left="3190" w:hanging="1152"/>
      </w:pPr>
      <w:rPr>
        <w:rFonts w:hint="default"/>
      </w:rPr>
    </w:lvl>
    <w:lvl w:ilvl="6">
      <w:start w:val="1"/>
      <w:numFmt w:val="decimal"/>
      <w:lvlText w:val="%1.%2.%3.%4.%5.%6.%7"/>
      <w:lvlJc w:val="left"/>
      <w:pPr>
        <w:ind w:left="3334" w:hanging="1296"/>
      </w:pPr>
      <w:rPr>
        <w:rFonts w:hint="default"/>
      </w:rPr>
    </w:lvl>
    <w:lvl w:ilvl="7">
      <w:start w:val="1"/>
      <w:numFmt w:val="decimal"/>
      <w:lvlText w:val="%1.%2.%3.%4.%5.%6.%7.%8"/>
      <w:lvlJc w:val="left"/>
      <w:pPr>
        <w:ind w:left="3478" w:hanging="1440"/>
      </w:pPr>
      <w:rPr>
        <w:rFonts w:hint="default"/>
      </w:rPr>
    </w:lvl>
    <w:lvl w:ilvl="8">
      <w:start w:val="1"/>
      <w:numFmt w:val="decimal"/>
      <w:lvlText w:val="%1.%2.%3.%4.%5.%6.%7.%8.%9"/>
      <w:lvlJc w:val="left"/>
      <w:pPr>
        <w:ind w:left="3622" w:hanging="1584"/>
      </w:pPr>
      <w:rPr>
        <w:rFonts w:hint="default"/>
      </w:rPr>
    </w:lvl>
  </w:abstractNum>
  <w:abstractNum w:abstractNumId="11" w15:restartNumberingAfterBreak="0">
    <w:nsid w:val="1CB22207"/>
    <w:multiLevelType w:val="multilevel"/>
    <w:tmpl w:val="8DAA21E4"/>
    <w:lvl w:ilvl="0">
      <w:start w:val="1"/>
      <w:numFmt w:val="decimal"/>
      <w:lvlText w:val="%1."/>
      <w:lvlJc w:val="left"/>
      <w:pPr>
        <w:ind w:left="0" w:firstLine="0"/>
      </w:pPr>
      <w:rPr>
        <w:rFonts w:hint="default"/>
        <w:b/>
        <w:i w:val="0"/>
        <w:iCs w:val="0"/>
        <w:caps w:val="0"/>
        <w:smallCaps w:val="0"/>
        <w:strike w:val="0"/>
        <w:dstrike w:val="0"/>
        <w:vanish w:val="0"/>
        <w:color w:val="auto"/>
        <w:spacing w:val="0"/>
        <w:kern w:val="0"/>
        <w:position w:val="0"/>
        <w:u w:val="none"/>
        <w:effect w:val="none"/>
        <w:vertAlign w:val="baseline"/>
        <w:em w:val="none"/>
      </w:rPr>
    </w:lvl>
    <w:lvl w:ilvl="1">
      <w:start w:val="8"/>
      <w:numFmt w:val="decimal"/>
      <w:lvlText w:val="%1.%2"/>
      <w:lvlJc w:val="left"/>
      <w:pPr>
        <w:ind w:left="576" w:hanging="576"/>
      </w:pPr>
      <w:rPr>
        <w:rFonts w:hint="default"/>
        <w:i w:val="0"/>
      </w:rPr>
    </w:lvl>
    <w:lvl w:ilvl="2">
      <w:start w:val="1"/>
      <w:numFmt w:val="decimal"/>
      <w:lvlText w:val="%1.%2.%3"/>
      <w:lvlJc w:val="left"/>
      <w:pPr>
        <w:ind w:left="1430" w:hanging="720"/>
      </w:pPr>
      <w:rPr>
        <w:rFonts w:ascii="Arial" w:hAnsi="Arial" w:cs="Arial" w:hint="default"/>
        <w:b w:val="0"/>
        <w:color w:val="auto"/>
      </w:rPr>
    </w:lvl>
    <w:lvl w:ilvl="3">
      <w:start w:val="1"/>
      <w:numFmt w:val="decimal"/>
      <w:lvlText w:val="%1.%2.%3.%4"/>
      <w:lvlJc w:val="left"/>
      <w:pPr>
        <w:ind w:left="2902" w:hanging="864"/>
      </w:pPr>
      <w:rPr>
        <w:rFonts w:hint="default"/>
      </w:rPr>
    </w:lvl>
    <w:lvl w:ilvl="4">
      <w:start w:val="1"/>
      <w:numFmt w:val="decimal"/>
      <w:lvlText w:val="%1.%2.%3.%4.%5"/>
      <w:lvlJc w:val="left"/>
      <w:pPr>
        <w:ind w:left="3046" w:hanging="1008"/>
      </w:pPr>
      <w:rPr>
        <w:rFonts w:hint="default"/>
      </w:rPr>
    </w:lvl>
    <w:lvl w:ilvl="5">
      <w:start w:val="1"/>
      <w:numFmt w:val="decimal"/>
      <w:lvlText w:val="%1.%2.%3.%4.%5.%6"/>
      <w:lvlJc w:val="left"/>
      <w:pPr>
        <w:ind w:left="3190" w:hanging="1152"/>
      </w:pPr>
      <w:rPr>
        <w:rFonts w:hint="default"/>
      </w:rPr>
    </w:lvl>
    <w:lvl w:ilvl="6">
      <w:start w:val="1"/>
      <w:numFmt w:val="decimal"/>
      <w:lvlText w:val="%1.%2.%3.%4.%5.%6.%7"/>
      <w:lvlJc w:val="left"/>
      <w:pPr>
        <w:ind w:left="3334" w:hanging="1296"/>
      </w:pPr>
      <w:rPr>
        <w:rFonts w:hint="default"/>
      </w:rPr>
    </w:lvl>
    <w:lvl w:ilvl="7">
      <w:start w:val="1"/>
      <w:numFmt w:val="decimal"/>
      <w:lvlText w:val="%1.%2.%3.%4.%5.%6.%7.%8"/>
      <w:lvlJc w:val="left"/>
      <w:pPr>
        <w:ind w:left="3478" w:hanging="1440"/>
      </w:pPr>
      <w:rPr>
        <w:rFonts w:hint="default"/>
      </w:rPr>
    </w:lvl>
    <w:lvl w:ilvl="8">
      <w:start w:val="1"/>
      <w:numFmt w:val="decimal"/>
      <w:lvlText w:val="%1.%2.%3.%4.%5.%6.%7.%8.%9"/>
      <w:lvlJc w:val="left"/>
      <w:pPr>
        <w:ind w:left="3622" w:hanging="1584"/>
      </w:pPr>
      <w:rPr>
        <w:rFonts w:hint="default"/>
      </w:rPr>
    </w:lvl>
  </w:abstractNum>
  <w:abstractNum w:abstractNumId="12" w15:restartNumberingAfterBreak="0">
    <w:nsid w:val="2569571E"/>
    <w:multiLevelType w:val="hybridMultilevel"/>
    <w:tmpl w:val="A7D62FA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0B96B5B"/>
    <w:multiLevelType w:val="hybridMultilevel"/>
    <w:tmpl w:val="2CA0536C"/>
    <w:lvl w:ilvl="0" w:tplc="8B84DACA">
      <w:start w:val="1"/>
      <w:numFmt w:val="lowerRoman"/>
      <w:lvlText w:val="(%1)"/>
      <w:lvlJc w:val="left"/>
      <w:pPr>
        <w:ind w:left="1924" w:hanging="720"/>
      </w:pPr>
      <w:rPr>
        <w:rFonts w:hint="default"/>
      </w:rPr>
    </w:lvl>
    <w:lvl w:ilvl="1" w:tplc="1C090019" w:tentative="1">
      <w:start w:val="1"/>
      <w:numFmt w:val="lowerLetter"/>
      <w:lvlText w:val="%2."/>
      <w:lvlJc w:val="left"/>
      <w:pPr>
        <w:ind w:left="2284" w:hanging="360"/>
      </w:pPr>
    </w:lvl>
    <w:lvl w:ilvl="2" w:tplc="1C09001B" w:tentative="1">
      <w:start w:val="1"/>
      <w:numFmt w:val="lowerRoman"/>
      <w:lvlText w:val="%3."/>
      <w:lvlJc w:val="right"/>
      <w:pPr>
        <w:ind w:left="3004" w:hanging="180"/>
      </w:pPr>
    </w:lvl>
    <w:lvl w:ilvl="3" w:tplc="1C09000F" w:tentative="1">
      <w:start w:val="1"/>
      <w:numFmt w:val="decimal"/>
      <w:lvlText w:val="%4."/>
      <w:lvlJc w:val="left"/>
      <w:pPr>
        <w:ind w:left="3724" w:hanging="360"/>
      </w:pPr>
    </w:lvl>
    <w:lvl w:ilvl="4" w:tplc="1C090019" w:tentative="1">
      <w:start w:val="1"/>
      <w:numFmt w:val="lowerLetter"/>
      <w:lvlText w:val="%5."/>
      <w:lvlJc w:val="left"/>
      <w:pPr>
        <w:ind w:left="4444" w:hanging="360"/>
      </w:pPr>
    </w:lvl>
    <w:lvl w:ilvl="5" w:tplc="1C09001B" w:tentative="1">
      <w:start w:val="1"/>
      <w:numFmt w:val="lowerRoman"/>
      <w:lvlText w:val="%6."/>
      <w:lvlJc w:val="right"/>
      <w:pPr>
        <w:ind w:left="5164" w:hanging="180"/>
      </w:pPr>
    </w:lvl>
    <w:lvl w:ilvl="6" w:tplc="1C09000F" w:tentative="1">
      <w:start w:val="1"/>
      <w:numFmt w:val="decimal"/>
      <w:lvlText w:val="%7."/>
      <w:lvlJc w:val="left"/>
      <w:pPr>
        <w:ind w:left="5884" w:hanging="360"/>
      </w:pPr>
    </w:lvl>
    <w:lvl w:ilvl="7" w:tplc="1C090019" w:tentative="1">
      <w:start w:val="1"/>
      <w:numFmt w:val="lowerLetter"/>
      <w:lvlText w:val="%8."/>
      <w:lvlJc w:val="left"/>
      <w:pPr>
        <w:ind w:left="6604" w:hanging="360"/>
      </w:pPr>
    </w:lvl>
    <w:lvl w:ilvl="8" w:tplc="1C09001B" w:tentative="1">
      <w:start w:val="1"/>
      <w:numFmt w:val="lowerRoman"/>
      <w:lvlText w:val="%9."/>
      <w:lvlJc w:val="right"/>
      <w:pPr>
        <w:ind w:left="7324" w:hanging="180"/>
      </w:pPr>
    </w:lvl>
  </w:abstractNum>
  <w:abstractNum w:abstractNumId="14" w15:restartNumberingAfterBreak="0">
    <w:nsid w:val="330D3606"/>
    <w:multiLevelType w:val="multilevel"/>
    <w:tmpl w:val="E0967B98"/>
    <w:lvl w:ilvl="0">
      <w:start w:val="1"/>
      <w:numFmt w:val="decimal"/>
      <w:lvlText w:val="%1."/>
      <w:lvlJc w:val="left"/>
      <w:pPr>
        <w:ind w:left="0" w:firstLine="0"/>
      </w:pPr>
      <w:rPr>
        <w:rFonts w:hint="default"/>
        <w:b/>
        <w:i w:val="0"/>
        <w:iCs w:val="0"/>
        <w:caps w:val="0"/>
        <w:smallCaps w:val="0"/>
        <w:strike w:val="0"/>
        <w:dstrike w:val="0"/>
        <w:vanish w:val="0"/>
        <w:color w:val="auto"/>
        <w:spacing w:val="0"/>
        <w:kern w:val="0"/>
        <w:position w:val="0"/>
        <w:u w:val="none"/>
        <w:effect w:val="none"/>
        <w:vertAlign w:val="baseline"/>
        <w:em w:val="none"/>
      </w:rPr>
    </w:lvl>
    <w:lvl w:ilvl="1">
      <w:start w:val="1"/>
      <w:numFmt w:val="lowerLetter"/>
      <w:lvlText w:val="%2)"/>
      <w:lvlJc w:val="left"/>
      <w:pPr>
        <w:ind w:left="360" w:hanging="360"/>
      </w:pPr>
    </w:lvl>
    <w:lvl w:ilvl="2">
      <w:start w:val="1"/>
      <w:numFmt w:val="decimal"/>
      <w:lvlText w:val="%1.%2.%3"/>
      <w:lvlJc w:val="left"/>
      <w:pPr>
        <w:ind w:left="1430" w:hanging="720"/>
      </w:pPr>
      <w:rPr>
        <w:rFonts w:ascii="Arial" w:hAnsi="Arial" w:cs="Arial" w:hint="default"/>
        <w:b w:val="0"/>
        <w:color w:val="auto"/>
      </w:rPr>
    </w:lvl>
    <w:lvl w:ilvl="3">
      <w:start w:val="1"/>
      <w:numFmt w:val="decimal"/>
      <w:lvlText w:val="%1.%2.%3.%4"/>
      <w:lvlJc w:val="left"/>
      <w:pPr>
        <w:ind w:left="2902" w:hanging="864"/>
      </w:pPr>
      <w:rPr>
        <w:rFonts w:hint="default"/>
      </w:rPr>
    </w:lvl>
    <w:lvl w:ilvl="4">
      <w:start w:val="1"/>
      <w:numFmt w:val="decimal"/>
      <w:lvlText w:val="%1.%2.%3.%4.%5"/>
      <w:lvlJc w:val="left"/>
      <w:pPr>
        <w:ind w:left="3046" w:hanging="1008"/>
      </w:pPr>
      <w:rPr>
        <w:rFonts w:hint="default"/>
      </w:rPr>
    </w:lvl>
    <w:lvl w:ilvl="5">
      <w:start w:val="1"/>
      <w:numFmt w:val="decimal"/>
      <w:lvlText w:val="%1.%2.%3.%4.%5.%6"/>
      <w:lvlJc w:val="left"/>
      <w:pPr>
        <w:ind w:left="3190" w:hanging="1152"/>
      </w:pPr>
      <w:rPr>
        <w:rFonts w:hint="default"/>
      </w:rPr>
    </w:lvl>
    <w:lvl w:ilvl="6">
      <w:start w:val="1"/>
      <w:numFmt w:val="decimal"/>
      <w:lvlText w:val="%1.%2.%3.%4.%5.%6.%7"/>
      <w:lvlJc w:val="left"/>
      <w:pPr>
        <w:ind w:left="3334" w:hanging="1296"/>
      </w:pPr>
      <w:rPr>
        <w:rFonts w:hint="default"/>
      </w:rPr>
    </w:lvl>
    <w:lvl w:ilvl="7">
      <w:start w:val="1"/>
      <w:numFmt w:val="decimal"/>
      <w:lvlText w:val="%1.%2.%3.%4.%5.%6.%7.%8"/>
      <w:lvlJc w:val="left"/>
      <w:pPr>
        <w:ind w:left="3478" w:hanging="1440"/>
      </w:pPr>
      <w:rPr>
        <w:rFonts w:hint="default"/>
      </w:rPr>
    </w:lvl>
    <w:lvl w:ilvl="8">
      <w:start w:val="1"/>
      <w:numFmt w:val="decimal"/>
      <w:lvlText w:val="%1.%2.%3.%4.%5.%6.%7.%8.%9"/>
      <w:lvlJc w:val="left"/>
      <w:pPr>
        <w:ind w:left="3622" w:hanging="1584"/>
      </w:pPr>
      <w:rPr>
        <w:rFonts w:hint="default"/>
      </w:rPr>
    </w:lvl>
  </w:abstractNum>
  <w:abstractNum w:abstractNumId="15" w15:restartNumberingAfterBreak="0">
    <w:nsid w:val="35095AB7"/>
    <w:multiLevelType w:val="hybridMultilevel"/>
    <w:tmpl w:val="0A5A7EF0"/>
    <w:lvl w:ilvl="0" w:tplc="FFFFFFFF">
      <w:start w:val="1"/>
      <w:numFmt w:val="lowerLetter"/>
      <w:lvlText w:val="(%1)"/>
      <w:lvlJc w:val="left"/>
      <w:pPr>
        <w:ind w:left="1800" w:hanging="720"/>
      </w:pPr>
      <w:rPr>
        <w:rFonts w:ascii="Arial" w:eastAsia="Times New Roman" w:hAnsi="Arial" w:cs="Arial" w:hint="default"/>
        <w:b w:val="0"/>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A4A752A"/>
    <w:multiLevelType w:val="hybridMultilevel"/>
    <w:tmpl w:val="20BADF9C"/>
    <w:lvl w:ilvl="0" w:tplc="E724FEE2">
      <w:start w:val="1"/>
      <w:numFmt w:val="lowerLetter"/>
      <w:pStyle w:val="Heading4"/>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7" w15:restartNumberingAfterBreak="0">
    <w:nsid w:val="3E4407CA"/>
    <w:multiLevelType w:val="multilevel"/>
    <w:tmpl w:val="8FFE856E"/>
    <w:lvl w:ilvl="0">
      <w:start w:val="1"/>
      <w:numFmt w:val="decimal"/>
      <w:lvlText w:val="%1."/>
      <w:lvlJc w:val="left"/>
      <w:pPr>
        <w:ind w:left="686" w:hanging="567"/>
      </w:pPr>
      <w:rPr>
        <w:rFonts w:ascii="Arial" w:eastAsia="Arial" w:hAnsi="Arial" w:hint="default"/>
        <w:b/>
        <w:bCs/>
        <w:spacing w:val="-1"/>
        <w:sz w:val="23"/>
        <w:szCs w:val="23"/>
      </w:rPr>
    </w:lvl>
    <w:lvl w:ilvl="1">
      <w:start w:val="1"/>
      <w:numFmt w:val="decimal"/>
      <w:lvlText w:val="%1.%2"/>
      <w:lvlJc w:val="left"/>
      <w:pPr>
        <w:ind w:left="685" w:hanging="567"/>
      </w:pPr>
      <w:rPr>
        <w:rFonts w:ascii="Arial" w:eastAsia="Arial" w:hAnsi="Arial" w:hint="default"/>
        <w:spacing w:val="-1"/>
        <w:sz w:val="23"/>
        <w:szCs w:val="23"/>
      </w:rPr>
    </w:lvl>
    <w:lvl w:ilvl="2">
      <w:start w:val="1"/>
      <w:numFmt w:val="lowerLetter"/>
      <w:lvlText w:val="(%3)"/>
      <w:lvlJc w:val="left"/>
      <w:pPr>
        <w:ind w:left="1113" w:hanging="428"/>
      </w:pPr>
      <w:rPr>
        <w:rFonts w:ascii="Arial" w:eastAsia="Arial" w:hAnsi="Arial" w:hint="default"/>
        <w:sz w:val="23"/>
        <w:szCs w:val="23"/>
      </w:rPr>
    </w:lvl>
    <w:lvl w:ilvl="3">
      <w:start w:val="1"/>
      <w:numFmt w:val="bullet"/>
      <w:lvlText w:val="•"/>
      <w:lvlJc w:val="left"/>
      <w:pPr>
        <w:ind w:left="686" w:hanging="428"/>
      </w:pPr>
      <w:rPr>
        <w:rFonts w:hint="default"/>
      </w:rPr>
    </w:lvl>
    <w:lvl w:ilvl="4">
      <w:start w:val="1"/>
      <w:numFmt w:val="bullet"/>
      <w:lvlText w:val="•"/>
      <w:lvlJc w:val="left"/>
      <w:pPr>
        <w:ind w:left="686" w:hanging="428"/>
      </w:pPr>
      <w:rPr>
        <w:rFonts w:hint="default"/>
      </w:rPr>
    </w:lvl>
    <w:lvl w:ilvl="5">
      <w:start w:val="1"/>
      <w:numFmt w:val="bullet"/>
      <w:lvlText w:val="•"/>
      <w:lvlJc w:val="left"/>
      <w:pPr>
        <w:ind w:left="686" w:hanging="428"/>
      </w:pPr>
      <w:rPr>
        <w:rFonts w:hint="default"/>
      </w:rPr>
    </w:lvl>
    <w:lvl w:ilvl="6">
      <w:start w:val="1"/>
      <w:numFmt w:val="lowerRoman"/>
      <w:lvlText w:val="%7."/>
      <w:lvlJc w:val="right"/>
      <w:pPr>
        <w:ind w:left="1045" w:hanging="360"/>
      </w:pPr>
    </w:lvl>
    <w:lvl w:ilvl="7">
      <w:start w:val="1"/>
      <w:numFmt w:val="bullet"/>
      <w:lvlText w:val="•"/>
      <w:lvlJc w:val="left"/>
      <w:pPr>
        <w:ind w:left="3146" w:hanging="428"/>
      </w:pPr>
      <w:rPr>
        <w:rFonts w:hint="default"/>
      </w:rPr>
    </w:lvl>
    <w:lvl w:ilvl="8">
      <w:start w:val="1"/>
      <w:numFmt w:val="bullet"/>
      <w:lvlText w:val="•"/>
      <w:lvlJc w:val="left"/>
      <w:pPr>
        <w:ind w:left="5180" w:hanging="428"/>
      </w:pPr>
      <w:rPr>
        <w:rFonts w:hint="default"/>
      </w:rPr>
    </w:lvl>
  </w:abstractNum>
  <w:abstractNum w:abstractNumId="18" w15:restartNumberingAfterBreak="0">
    <w:nsid w:val="40013640"/>
    <w:multiLevelType w:val="hybridMultilevel"/>
    <w:tmpl w:val="0A5A7EF0"/>
    <w:lvl w:ilvl="0" w:tplc="FFFFFFFF">
      <w:start w:val="1"/>
      <w:numFmt w:val="lowerLetter"/>
      <w:lvlText w:val="(%1)"/>
      <w:lvlJc w:val="left"/>
      <w:pPr>
        <w:ind w:left="1800" w:hanging="720"/>
      </w:pPr>
      <w:rPr>
        <w:rFonts w:ascii="Arial" w:eastAsia="Times New Roman" w:hAnsi="Arial" w:cs="Arial" w:hint="default"/>
        <w:b w:val="0"/>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12D2B64"/>
    <w:multiLevelType w:val="multilevel"/>
    <w:tmpl w:val="E0967B98"/>
    <w:lvl w:ilvl="0">
      <w:start w:val="1"/>
      <w:numFmt w:val="decimal"/>
      <w:lvlText w:val="%1."/>
      <w:lvlJc w:val="left"/>
      <w:pPr>
        <w:ind w:left="0" w:firstLine="0"/>
      </w:pPr>
      <w:rPr>
        <w:rFonts w:hint="default"/>
        <w:b/>
        <w:i w:val="0"/>
        <w:iCs w:val="0"/>
        <w:caps w:val="0"/>
        <w:smallCaps w:val="0"/>
        <w:strike w:val="0"/>
        <w:dstrike w:val="0"/>
        <w:vanish w:val="0"/>
        <w:color w:val="auto"/>
        <w:spacing w:val="0"/>
        <w:kern w:val="0"/>
        <w:position w:val="0"/>
        <w:u w:val="none"/>
        <w:effect w:val="none"/>
        <w:vertAlign w:val="baseline"/>
        <w:em w:val="none"/>
      </w:rPr>
    </w:lvl>
    <w:lvl w:ilvl="1">
      <w:start w:val="1"/>
      <w:numFmt w:val="lowerLetter"/>
      <w:lvlText w:val="%2)"/>
      <w:lvlJc w:val="left"/>
      <w:pPr>
        <w:ind w:left="360" w:hanging="360"/>
      </w:pPr>
    </w:lvl>
    <w:lvl w:ilvl="2">
      <w:start w:val="1"/>
      <w:numFmt w:val="decimal"/>
      <w:lvlText w:val="%1.%2.%3"/>
      <w:lvlJc w:val="left"/>
      <w:pPr>
        <w:ind w:left="1430" w:hanging="720"/>
      </w:pPr>
      <w:rPr>
        <w:rFonts w:ascii="Arial" w:hAnsi="Arial" w:cs="Arial" w:hint="default"/>
        <w:b w:val="0"/>
        <w:color w:val="auto"/>
      </w:rPr>
    </w:lvl>
    <w:lvl w:ilvl="3">
      <w:start w:val="1"/>
      <w:numFmt w:val="decimal"/>
      <w:lvlText w:val="%1.%2.%3.%4"/>
      <w:lvlJc w:val="left"/>
      <w:pPr>
        <w:ind w:left="2902" w:hanging="864"/>
      </w:pPr>
      <w:rPr>
        <w:rFonts w:hint="default"/>
      </w:rPr>
    </w:lvl>
    <w:lvl w:ilvl="4">
      <w:start w:val="1"/>
      <w:numFmt w:val="decimal"/>
      <w:lvlText w:val="%1.%2.%3.%4.%5"/>
      <w:lvlJc w:val="left"/>
      <w:pPr>
        <w:ind w:left="3046" w:hanging="1008"/>
      </w:pPr>
      <w:rPr>
        <w:rFonts w:hint="default"/>
      </w:rPr>
    </w:lvl>
    <w:lvl w:ilvl="5">
      <w:start w:val="1"/>
      <w:numFmt w:val="decimal"/>
      <w:lvlText w:val="%1.%2.%3.%4.%5.%6"/>
      <w:lvlJc w:val="left"/>
      <w:pPr>
        <w:ind w:left="3190" w:hanging="1152"/>
      </w:pPr>
      <w:rPr>
        <w:rFonts w:hint="default"/>
      </w:rPr>
    </w:lvl>
    <w:lvl w:ilvl="6">
      <w:start w:val="1"/>
      <w:numFmt w:val="decimal"/>
      <w:lvlText w:val="%1.%2.%3.%4.%5.%6.%7"/>
      <w:lvlJc w:val="left"/>
      <w:pPr>
        <w:ind w:left="3334" w:hanging="1296"/>
      </w:pPr>
      <w:rPr>
        <w:rFonts w:hint="default"/>
      </w:rPr>
    </w:lvl>
    <w:lvl w:ilvl="7">
      <w:start w:val="1"/>
      <w:numFmt w:val="decimal"/>
      <w:lvlText w:val="%1.%2.%3.%4.%5.%6.%7.%8"/>
      <w:lvlJc w:val="left"/>
      <w:pPr>
        <w:ind w:left="3478" w:hanging="1440"/>
      </w:pPr>
      <w:rPr>
        <w:rFonts w:hint="default"/>
      </w:rPr>
    </w:lvl>
    <w:lvl w:ilvl="8">
      <w:start w:val="1"/>
      <w:numFmt w:val="decimal"/>
      <w:lvlText w:val="%1.%2.%3.%4.%5.%6.%7.%8.%9"/>
      <w:lvlJc w:val="left"/>
      <w:pPr>
        <w:ind w:left="3622" w:hanging="1584"/>
      </w:pPr>
      <w:rPr>
        <w:rFonts w:hint="default"/>
      </w:rPr>
    </w:lvl>
  </w:abstractNum>
  <w:abstractNum w:abstractNumId="20" w15:restartNumberingAfterBreak="0">
    <w:nsid w:val="4BFF2B3A"/>
    <w:multiLevelType w:val="hybridMultilevel"/>
    <w:tmpl w:val="0A5A7EF0"/>
    <w:lvl w:ilvl="0" w:tplc="9BCEAF60">
      <w:start w:val="1"/>
      <w:numFmt w:val="lowerLetter"/>
      <w:lvlText w:val="(%1)"/>
      <w:lvlJc w:val="left"/>
      <w:pPr>
        <w:ind w:left="1800" w:hanging="720"/>
      </w:pPr>
      <w:rPr>
        <w:rFonts w:ascii="Arial" w:eastAsia="Times New Roman" w:hAnsi="Arial" w:cs="Arial" w:hint="default"/>
        <w:b w:val="0"/>
        <w:color w:val="000000" w:themeColor="text1"/>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1" w15:restartNumberingAfterBreak="0">
    <w:nsid w:val="506861D6"/>
    <w:multiLevelType w:val="multilevel"/>
    <w:tmpl w:val="44BAFA3E"/>
    <w:lvl w:ilvl="0">
      <w:start w:val="4"/>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4A6B71"/>
    <w:multiLevelType w:val="hybridMultilevel"/>
    <w:tmpl w:val="1BDE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77F2D82"/>
    <w:multiLevelType w:val="hybridMultilevel"/>
    <w:tmpl w:val="217A8AEA"/>
    <w:lvl w:ilvl="0" w:tplc="9A16ACA8">
      <w:start w:val="1"/>
      <w:numFmt w:val="bullet"/>
      <w:lvlText w:val=""/>
      <w:lvlJc w:val="left"/>
      <w:pPr>
        <w:ind w:left="971" w:hanging="286"/>
      </w:pPr>
      <w:rPr>
        <w:rFonts w:ascii="Symbol" w:eastAsia="Symbol" w:hAnsi="Symbol" w:hint="default"/>
        <w:sz w:val="23"/>
        <w:szCs w:val="23"/>
      </w:rPr>
    </w:lvl>
    <w:lvl w:ilvl="1" w:tplc="31A88A4C">
      <w:start w:val="1"/>
      <w:numFmt w:val="bullet"/>
      <w:lvlText w:val="•"/>
      <w:lvlJc w:val="left"/>
      <w:pPr>
        <w:ind w:left="1801" w:hanging="286"/>
      </w:pPr>
      <w:rPr>
        <w:rFonts w:hint="default"/>
      </w:rPr>
    </w:lvl>
    <w:lvl w:ilvl="2" w:tplc="ED44D8E0">
      <w:start w:val="1"/>
      <w:numFmt w:val="bullet"/>
      <w:lvlText w:val="•"/>
      <w:lvlJc w:val="left"/>
      <w:pPr>
        <w:ind w:left="2630" w:hanging="286"/>
      </w:pPr>
      <w:rPr>
        <w:rFonts w:hint="default"/>
      </w:rPr>
    </w:lvl>
    <w:lvl w:ilvl="3" w:tplc="95763E16">
      <w:start w:val="1"/>
      <w:numFmt w:val="bullet"/>
      <w:lvlText w:val="•"/>
      <w:lvlJc w:val="left"/>
      <w:pPr>
        <w:ind w:left="3460" w:hanging="286"/>
      </w:pPr>
      <w:rPr>
        <w:rFonts w:hint="default"/>
      </w:rPr>
    </w:lvl>
    <w:lvl w:ilvl="4" w:tplc="585C1C90">
      <w:start w:val="1"/>
      <w:numFmt w:val="bullet"/>
      <w:lvlText w:val="•"/>
      <w:lvlJc w:val="left"/>
      <w:pPr>
        <w:ind w:left="4289" w:hanging="286"/>
      </w:pPr>
      <w:rPr>
        <w:rFonts w:hint="default"/>
      </w:rPr>
    </w:lvl>
    <w:lvl w:ilvl="5" w:tplc="4554355E">
      <w:start w:val="1"/>
      <w:numFmt w:val="bullet"/>
      <w:lvlText w:val="•"/>
      <w:lvlJc w:val="left"/>
      <w:pPr>
        <w:ind w:left="5119" w:hanging="286"/>
      </w:pPr>
      <w:rPr>
        <w:rFonts w:hint="default"/>
      </w:rPr>
    </w:lvl>
    <w:lvl w:ilvl="6" w:tplc="9F4A4F7A">
      <w:start w:val="1"/>
      <w:numFmt w:val="bullet"/>
      <w:lvlText w:val="•"/>
      <w:lvlJc w:val="left"/>
      <w:pPr>
        <w:ind w:left="5948" w:hanging="286"/>
      </w:pPr>
      <w:rPr>
        <w:rFonts w:hint="default"/>
      </w:rPr>
    </w:lvl>
    <w:lvl w:ilvl="7" w:tplc="56BCBBFA">
      <w:start w:val="1"/>
      <w:numFmt w:val="bullet"/>
      <w:lvlText w:val="•"/>
      <w:lvlJc w:val="left"/>
      <w:pPr>
        <w:ind w:left="6778" w:hanging="286"/>
      </w:pPr>
      <w:rPr>
        <w:rFonts w:hint="default"/>
      </w:rPr>
    </w:lvl>
    <w:lvl w:ilvl="8" w:tplc="E9B0B5C6">
      <w:start w:val="1"/>
      <w:numFmt w:val="bullet"/>
      <w:lvlText w:val="•"/>
      <w:lvlJc w:val="left"/>
      <w:pPr>
        <w:ind w:left="7607" w:hanging="286"/>
      </w:pPr>
      <w:rPr>
        <w:rFonts w:hint="default"/>
      </w:rPr>
    </w:lvl>
  </w:abstractNum>
  <w:abstractNum w:abstractNumId="24" w15:restartNumberingAfterBreak="0">
    <w:nsid w:val="68776B1E"/>
    <w:multiLevelType w:val="hybridMultilevel"/>
    <w:tmpl w:val="5FA822CA"/>
    <w:lvl w:ilvl="0" w:tplc="E73EC5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B124F0F"/>
    <w:multiLevelType w:val="hybridMultilevel"/>
    <w:tmpl w:val="A7D62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6F7940"/>
    <w:multiLevelType w:val="hybridMultilevel"/>
    <w:tmpl w:val="B4B289B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2142822"/>
    <w:multiLevelType w:val="multilevel"/>
    <w:tmpl w:val="4E9402A4"/>
    <w:name w:val="Num123"/>
    <w:lvl w:ilvl="0">
      <w:start w:val="1"/>
      <w:numFmt w:val="decimal"/>
      <w:pStyle w:val="Num1"/>
      <w:lvlText w:val="%1."/>
      <w:lvlJc w:val="left"/>
      <w:pPr>
        <w:tabs>
          <w:tab w:val="num" w:pos="1134"/>
        </w:tabs>
        <w:ind w:left="1134" w:hanging="1134"/>
      </w:pPr>
      <w:rPr>
        <w:rFonts w:hint="default"/>
        <w:b/>
        <w:i w:val="0"/>
        <w:sz w:val="24"/>
        <w:u w:val="none"/>
      </w:rPr>
    </w:lvl>
    <w:lvl w:ilvl="1">
      <w:start w:val="1"/>
      <w:numFmt w:val="decimal"/>
      <w:pStyle w:val="Num2"/>
      <w:lvlText w:val="%1.%2"/>
      <w:lvlJc w:val="left"/>
      <w:pPr>
        <w:tabs>
          <w:tab w:val="num" w:pos="1134"/>
        </w:tabs>
        <w:ind w:left="1134" w:hanging="1134"/>
      </w:pPr>
      <w:rPr>
        <w:rFonts w:ascii="Arial" w:hAnsi="Arial" w:cs="Arial" w:hint="default"/>
        <w:b w:val="0"/>
        <w:i w:val="0"/>
        <w:sz w:val="24"/>
      </w:rPr>
    </w:lvl>
    <w:lvl w:ilvl="2">
      <w:start w:val="1"/>
      <w:numFmt w:val="decimal"/>
      <w:pStyle w:val="Num3"/>
      <w:lvlText w:val="%1.%2.%3"/>
      <w:lvlJc w:val="left"/>
      <w:pPr>
        <w:tabs>
          <w:tab w:val="num" w:pos="1134"/>
        </w:tabs>
        <w:ind w:left="1134" w:hanging="1134"/>
      </w:pPr>
      <w:rPr>
        <w:rFonts w:ascii="Arial" w:hAnsi="Arial" w:cs="Arial" w:hint="default"/>
        <w:b w:val="0"/>
        <w:i w:val="0"/>
        <w:color w:val="000000" w:themeColor="text1"/>
        <w:sz w:val="24"/>
      </w:rPr>
    </w:lvl>
    <w:lvl w:ilvl="3">
      <w:start w:val="1"/>
      <w:numFmt w:val="decimal"/>
      <w:lvlText w:val="%1.%2.%3.%4"/>
      <w:lvlJc w:val="left"/>
      <w:pPr>
        <w:tabs>
          <w:tab w:val="num" w:pos="1134"/>
        </w:tabs>
        <w:ind w:left="1134" w:hanging="1134"/>
      </w:pPr>
      <w:rPr>
        <w:rFonts w:ascii="Arial" w:hAnsi="Arial" w:cs="Arial" w:hint="default"/>
        <w:b w:val="0"/>
        <w:i w:val="0"/>
        <w:color w:val="000000" w:themeColor="text1"/>
        <w:sz w:val="24"/>
      </w:rPr>
    </w:lvl>
    <w:lvl w:ilvl="4">
      <w:start w:val="1"/>
      <w:numFmt w:val="lowerRoman"/>
      <w:lvlText w:val="%5)"/>
      <w:lvlJc w:val="left"/>
      <w:pPr>
        <w:tabs>
          <w:tab w:val="num" w:pos="1134"/>
        </w:tabs>
        <w:ind w:left="1134" w:hanging="1134"/>
      </w:pPr>
      <w:rPr>
        <w:rFonts w:ascii="Arial" w:hAnsi="Arial" w:cs="Arial" w:hint="default"/>
        <w:b w:val="0"/>
        <w:i w:val="0"/>
        <w:sz w:val="24"/>
      </w:rPr>
    </w:lvl>
    <w:lvl w:ilvl="5">
      <w:start w:val="1"/>
      <w:numFmt w:val="lowerLetter"/>
      <w:lvlText w:val="%6)"/>
      <w:lvlJc w:val="left"/>
      <w:pPr>
        <w:tabs>
          <w:tab w:val="num" w:pos="1134"/>
        </w:tabs>
        <w:ind w:left="1134" w:hanging="1134"/>
      </w:pPr>
      <w:rPr>
        <w:rFonts w:hint="default"/>
        <w:sz w:val="24"/>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28" w15:restartNumberingAfterBreak="0">
    <w:nsid w:val="7AB07E68"/>
    <w:multiLevelType w:val="multilevel"/>
    <w:tmpl w:val="307A22F6"/>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803B90"/>
    <w:multiLevelType w:val="hybridMultilevel"/>
    <w:tmpl w:val="A7D62F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9910129">
    <w:abstractNumId w:val="23"/>
  </w:num>
  <w:num w:numId="2" w16cid:durableId="1805391718">
    <w:abstractNumId w:val="4"/>
  </w:num>
  <w:num w:numId="3" w16cid:durableId="908346044">
    <w:abstractNumId w:val="5"/>
  </w:num>
  <w:num w:numId="4" w16cid:durableId="1289168417">
    <w:abstractNumId w:val="3"/>
  </w:num>
  <w:num w:numId="5" w16cid:durableId="576522052">
    <w:abstractNumId w:val="9"/>
  </w:num>
  <w:num w:numId="6" w16cid:durableId="382868647">
    <w:abstractNumId w:val="6"/>
  </w:num>
  <w:num w:numId="7" w16cid:durableId="96674231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895077">
    <w:abstractNumId w:val="11"/>
  </w:num>
  <w:num w:numId="9" w16cid:durableId="1532066549">
    <w:abstractNumId w:val="13"/>
  </w:num>
  <w:num w:numId="10" w16cid:durableId="8228130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782260">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2799739">
    <w:abstractNumId w:val="19"/>
  </w:num>
  <w:num w:numId="13" w16cid:durableId="1220943639">
    <w:abstractNumId w:val="10"/>
  </w:num>
  <w:num w:numId="14" w16cid:durableId="1249846918">
    <w:abstractNumId w:val="14"/>
  </w:num>
  <w:num w:numId="15" w16cid:durableId="2142458866">
    <w:abstractNumId w:val="2"/>
  </w:num>
  <w:num w:numId="16" w16cid:durableId="2122992389">
    <w:abstractNumId w:val="17"/>
  </w:num>
  <w:num w:numId="17" w16cid:durableId="878664495">
    <w:abstractNumId w:val="27"/>
  </w:num>
  <w:num w:numId="18" w16cid:durableId="1639845479">
    <w:abstractNumId w:val="12"/>
  </w:num>
  <w:num w:numId="19" w16cid:durableId="1146169727">
    <w:abstractNumId w:val="1"/>
  </w:num>
  <w:num w:numId="20" w16cid:durableId="816655257">
    <w:abstractNumId w:val="25"/>
  </w:num>
  <w:num w:numId="21" w16cid:durableId="1004746787">
    <w:abstractNumId w:val="29"/>
  </w:num>
  <w:num w:numId="22" w16cid:durableId="1447115292">
    <w:abstractNumId w:val="0"/>
  </w:num>
  <w:num w:numId="23" w16cid:durableId="1451851125">
    <w:abstractNumId w:val="16"/>
  </w:num>
  <w:num w:numId="24" w16cid:durableId="479153375">
    <w:abstractNumId w:val="16"/>
    <w:lvlOverride w:ilvl="0">
      <w:startOverride w:val="1"/>
    </w:lvlOverride>
  </w:num>
  <w:num w:numId="25" w16cid:durableId="1197692612">
    <w:abstractNumId w:val="16"/>
  </w:num>
  <w:num w:numId="26" w16cid:durableId="121508809">
    <w:abstractNumId w:val="16"/>
    <w:lvlOverride w:ilvl="0">
      <w:startOverride w:val="1"/>
    </w:lvlOverride>
  </w:num>
  <w:num w:numId="27" w16cid:durableId="1587500496">
    <w:abstractNumId w:val="16"/>
  </w:num>
  <w:num w:numId="28" w16cid:durableId="1487547805">
    <w:abstractNumId w:val="16"/>
  </w:num>
  <w:num w:numId="29" w16cid:durableId="163520244">
    <w:abstractNumId w:val="16"/>
    <w:lvlOverride w:ilvl="0">
      <w:startOverride w:val="1"/>
    </w:lvlOverride>
  </w:num>
  <w:num w:numId="30" w16cid:durableId="696123553">
    <w:abstractNumId w:val="16"/>
  </w:num>
  <w:num w:numId="31" w16cid:durableId="229393356">
    <w:abstractNumId w:val="16"/>
    <w:lvlOverride w:ilvl="0">
      <w:startOverride w:val="1"/>
    </w:lvlOverride>
  </w:num>
  <w:num w:numId="32" w16cid:durableId="1835023076">
    <w:abstractNumId w:val="16"/>
  </w:num>
  <w:num w:numId="33" w16cid:durableId="1687444369">
    <w:abstractNumId w:val="16"/>
  </w:num>
  <w:num w:numId="34" w16cid:durableId="639530301">
    <w:abstractNumId w:val="16"/>
    <w:lvlOverride w:ilvl="0">
      <w:startOverride w:val="1"/>
    </w:lvlOverride>
  </w:num>
  <w:num w:numId="35" w16cid:durableId="1743720325">
    <w:abstractNumId w:val="16"/>
  </w:num>
  <w:num w:numId="36" w16cid:durableId="2000502667">
    <w:abstractNumId w:val="16"/>
    <w:lvlOverride w:ilvl="0">
      <w:startOverride w:val="1"/>
    </w:lvlOverride>
  </w:num>
  <w:num w:numId="37" w16cid:durableId="1228372153">
    <w:abstractNumId w:val="16"/>
    <w:lvlOverride w:ilvl="0">
      <w:startOverride w:val="1"/>
    </w:lvlOverride>
  </w:num>
  <w:num w:numId="38" w16cid:durableId="330523633">
    <w:abstractNumId w:val="20"/>
  </w:num>
  <w:num w:numId="39" w16cid:durableId="1807233816">
    <w:abstractNumId w:val="28"/>
  </w:num>
  <w:num w:numId="40" w16cid:durableId="1982731975">
    <w:abstractNumId w:val="16"/>
  </w:num>
  <w:num w:numId="41" w16cid:durableId="430322827">
    <w:abstractNumId w:val="16"/>
    <w:lvlOverride w:ilvl="0">
      <w:startOverride w:val="1"/>
    </w:lvlOverride>
  </w:num>
  <w:num w:numId="42" w16cid:durableId="1511332621">
    <w:abstractNumId w:val="16"/>
  </w:num>
  <w:num w:numId="43" w16cid:durableId="198132219">
    <w:abstractNumId w:val="16"/>
    <w:lvlOverride w:ilvl="0">
      <w:startOverride w:val="1"/>
    </w:lvlOverride>
  </w:num>
  <w:num w:numId="44" w16cid:durableId="485050634">
    <w:abstractNumId w:val="22"/>
  </w:num>
  <w:num w:numId="45" w16cid:durableId="1402755952">
    <w:abstractNumId w:val="8"/>
  </w:num>
  <w:num w:numId="46" w16cid:durableId="279730541">
    <w:abstractNumId w:val="26"/>
  </w:num>
  <w:num w:numId="47" w16cid:durableId="77094057">
    <w:abstractNumId w:val="7"/>
  </w:num>
  <w:num w:numId="48" w16cid:durableId="1818764283">
    <w:abstractNumId w:val="16"/>
  </w:num>
  <w:num w:numId="49" w16cid:durableId="1737782804">
    <w:abstractNumId w:val="16"/>
    <w:lvlOverride w:ilvl="0">
      <w:startOverride w:val="1"/>
    </w:lvlOverride>
  </w:num>
  <w:num w:numId="50" w16cid:durableId="2015379288">
    <w:abstractNumId w:val="16"/>
  </w:num>
  <w:num w:numId="51" w16cid:durableId="1840071732">
    <w:abstractNumId w:val="16"/>
  </w:num>
  <w:num w:numId="52" w16cid:durableId="2030255625">
    <w:abstractNumId w:val="16"/>
    <w:lvlOverride w:ilvl="0">
      <w:startOverride w:val="1"/>
    </w:lvlOverride>
  </w:num>
  <w:num w:numId="53" w16cid:durableId="263731220">
    <w:abstractNumId w:val="16"/>
  </w:num>
  <w:num w:numId="54" w16cid:durableId="1298878692">
    <w:abstractNumId w:val="16"/>
  </w:num>
  <w:num w:numId="55" w16cid:durableId="1212302508">
    <w:abstractNumId w:val="16"/>
  </w:num>
  <w:num w:numId="56" w16cid:durableId="908689248">
    <w:abstractNumId w:val="16"/>
    <w:lvlOverride w:ilvl="0">
      <w:startOverride w:val="1"/>
    </w:lvlOverride>
  </w:num>
  <w:num w:numId="57" w16cid:durableId="424228750">
    <w:abstractNumId w:val="16"/>
    <w:lvlOverride w:ilvl="0">
      <w:startOverride w:val="1"/>
    </w:lvlOverride>
  </w:num>
  <w:num w:numId="58" w16cid:durableId="407846718">
    <w:abstractNumId w:val="16"/>
  </w:num>
  <w:num w:numId="59" w16cid:durableId="740757594">
    <w:abstractNumId w:val="16"/>
  </w:num>
  <w:num w:numId="60" w16cid:durableId="1901868373">
    <w:abstractNumId w:val="16"/>
  </w:num>
  <w:num w:numId="61" w16cid:durableId="1230462829">
    <w:abstractNumId w:val="16"/>
  </w:num>
  <w:num w:numId="62" w16cid:durableId="1773738594">
    <w:abstractNumId w:val="16"/>
  </w:num>
  <w:num w:numId="63" w16cid:durableId="1215389696">
    <w:abstractNumId w:val="16"/>
  </w:num>
  <w:num w:numId="64" w16cid:durableId="1656714504">
    <w:abstractNumId w:val="16"/>
    <w:lvlOverride w:ilvl="0">
      <w:startOverride w:val="1"/>
    </w:lvlOverride>
  </w:num>
  <w:num w:numId="65" w16cid:durableId="1970553667">
    <w:abstractNumId w:val="16"/>
  </w:num>
  <w:num w:numId="66" w16cid:durableId="1839226659">
    <w:abstractNumId w:val="21"/>
  </w:num>
  <w:num w:numId="67" w16cid:durableId="733699340">
    <w:abstractNumId w:val="16"/>
  </w:num>
  <w:num w:numId="68" w16cid:durableId="1234897734">
    <w:abstractNumId w:val="16"/>
  </w:num>
  <w:num w:numId="69" w16cid:durableId="1298103702">
    <w:abstractNumId w:val="16"/>
  </w:num>
  <w:num w:numId="70" w16cid:durableId="1608583679">
    <w:abstractNumId w:val="16"/>
  </w:num>
  <w:num w:numId="71" w16cid:durableId="940380176">
    <w:abstractNumId w:val="16"/>
  </w:num>
  <w:num w:numId="72" w16cid:durableId="870193292">
    <w:abstractNumId w:val="16"/>
  </w:num>
  <w:num w:numId="73" w16cid:durableId="1941259157">
    <w:abstractNumId w:val="16"/>
  </w:num>
  <w:num w:numId="74" w16cid:durableId="993948367">
    <w:abstractNumId w:val="16"/>
  </w:num>
  <w:num w:numId="75" w16cid:durableId="1413891401">
    <w:abstractNumId w:val="16"/>
  </w:num>
  <w:num w:numId="76" w16cid:durableId="1970669356">
    <w:abstractNumId w:val="16"/>
  </w:num>
  <w:num w:numId="77" w16cid:durableId="822813070">
    <w:abstractNumId w:val="16"/>
  </w:num>
  <w:num w:numId="78" w16cid:durableId="221797086">
    <w:abstractNumId w:val="16"/>
  </w:num>
  <w:num w:numId="79" w16cid:durableId="1224365933">
    <w:abstractNumId w:val="16"/>
    <w:lvlOverride w:ilvl="0">
      <w:startOverride w:val="1"/>
    </w:lvlOverride>
  </w:num>
  <w:num w:numId="80" w16cid:durableId="225918707">
    <w:abstractNumId w:val="16"/>
  </w:num>
  <w:num w:numId="81" w16cid:durableId="465054474">
    <w:abstractNumId w:val="24"/>
  </w:num>
  <w:num w:numId="82" w16cid:durableId="166943700">
    <w:abstractNumId w:val="16"/>
  </w:num>
  <w:num w:numId="83" w16cid:durableId="2045011993">
    <w:abstractNumId w:val="18"/>
  </w:num>
  <w:num w:numId="84" w16cid:durableId="1479567159">
    <w:abstractNumId w:val="15"/>
  </w:num>
  <w:num w:numId="85" w16cid:durableId="736129963">
    <w:abstractNumId w:val="16"/>
  </w:num>
  <w:num w:numId="86" w16cid:durableId="1623341022">
    <w:abstractNumId w:val="16"/>
  </w:num>
  <w:num w:numId="87" w16cid:durableId="1649164004">
    <w:abstractNumId w:val="16"/>
    <w:lvlOverride w:ilvl="0">
      <w:startOverride w:val="1"/>
    </w:lvlOverride>
  </w:num>
  <w:num w:numId="88" w16cid:durableId="1668244626">
    <w:abstractNumId w:val="16"/>
  </w:num>
  <w:num w:numId="89" w16cid:durableId="135608050">
    <w:abstractNumId w:val="16"/>
  </w:num>
  <w:num w:numId="90" w16cid:durableId="646713617">
    <w:abstractNumId w:val="16"/>
  </w:num>
  <w:num w:numId="91" w16cid:durableId="2135710661">
    <w:abstractNumId w:val="16"/>
    <w:lvlOverride w:ilvl="0">
      <w:startOverride w:val="1"/>
    </w:lvlOverride>
  </w:num>
  <w:num w:numId="92" w16cid:durableId="1924803347">
    <w:abstractNumId w:val="16"/>
    <w:lvlOverride w:ilvl="0">
      <w:startOverride w:val="1"/>
    </w:lvlOverride>
  </w:num>
  <w:num w:numId="93" w16cid:durableId="1707832779">
    <w:abstractNumId w:val="16"/>
    <w:lvlOverride w:ilvl="0">
      <w:startOverride w:val="1"/>
    </w:lvlOverride>
  </w:num>
  <w:num w:numId="94" w16cid:durableId="17510369">
    <w:abstractNumId w:val="16"/>
  </w:num>
  <w:num w:numId="95" w16cid:durableId="193200369">
    <w:abstractNumId w:val="16"/>
    <w:lvlOverride w:ilvl="0">
      <w:startOverride w:val="1"/>
    </w:lvlOverride>
  </w:num>
  <w:num w:numId="96" w16cid:durableId="811950670">
    <w:abstractNumId w:val="16"/>
  </w:num>
  <w:num w:numId="97" w16cid:durableId="1501962711">
    <w:abstractNumId w:val="16"/>
  </w:num>
  <w:num w:numId="98" w16cid:durableId="1206718048">
    <w:abstractNumId w:val="16"/>
  </w:num>
  <w:num w:numId="99" w16cid:durableId="1184051988">
    <w:abstractNumId w:val="16"/>
  </w:num>
  <w:num w:numId="100" w16cid:durableId="634721619">
    <w:abstractNumId w:val="16"/>
  </w:num>
  <w:num w:numId="101" w16cid:durableId="1729954916">
    <w:abstractNumId w:val="16"/>
  </w:num>
  <w:num w:numId="102" w16cid:durableId="1222206403">
    <w:abstractNumId w:val="16"/>
  </w:num>
  <w:num w:numId="103" w16cid:durableId="1160578868">
    <w:abstractNumId w:val="16"/>
    <w:lvlOverride w:ilvl="0">
      <w:startOverride w:val="1"/>
    </w:lvlOverride>
  </w:num>
  <w:num w:numId="104" w16cid:durableId="1458333617">
    <w:abstractNumId w:val="16"/>
  </w:num>
  <w:num w:numId="105" w16cid:durableId="1105078081">
    <w:abstractNumId w:val="16"/>
  </w:num>
  <w:num w:numId="106" w16cid:durableId="1232889270">
    <w:abstractNumId w:val="16"/>
  </w:num>
  <w:num w:numId="107" w16cid:durableId="1335380965">
    <w:abstractNumId w:val="16"/>
  </w:num>
  <w:num w:numId="108" w16cid:durableId="832066537">
    <w:abstractNumId w:val="1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tDS2sDQ2NTA3NbZU0lEKTi0uzszPAykwrAUA3PgsmywAAAA="/>
  </w:docVars>
  <w:rsids>
    <w:rsidRoot w:val="00A61CAE"/>
    <w:rsid w:val="00002F1A"/>
    <w:rsid w:val="00005D51"/>
    <w:rsid w:val="00005DDE"/>
    <w:rsid w:val="000070B6"/>
    <w:rsid w:val="0001299F"/>
    <w:rsid w:val="000129AF"/>
    <w:rsid w:val="00012F9A"/>
    <w:rsid w:val="000133C9"/>
    <w:rsid w:val="000136D4"/>
    <w:rsid w:val="000166A6"/>
    <w:rsid w:val="000205DA"/>
    <w:rsid w:val="00020945"/>
    <w:rsid w:val="0002212D"/>
    <w:rsid w:val="000223F8"/>
    <w:rsid w:val="0002286A"/>
    <w:rsid w:val="000241C2"/>
    <w:rsid w:val="00024788"/>
    <w:rsid w:val="00024E68"/>
    <w:rsid w:val="00036C2A"/>
    <w:rsid w:val="00042AF0"/>
    <w:rsid w:val="000432A8"/>
    <w:rsid w:val="00044004"/>
    <w:rsid w:val="0004501D"/>
    <w:rsid w:val="00054334"/>
    <w:rsid w:val="00061243"/>
    <w:rsid w:val="00061EC9"/>
    <w:rsid w:val="0006229B"/>
    <w:rsid w:val="000622CB"/>
    <w:rsid w:val="00065753"/>
    <w:rsid w:val="00066C6A"/>
    <w:rsid w:val="00071B4F"/>
    <w:rsid w:val="00072094"/>
    <w:rsid w:val="0007237A"/>
    <w:rsid w:val="00074A8D"/>
    <w:rsid w:val="000770C3"/>
    <w:rsid w:val="00091418"/>
    <w:rsid w:val="00091592"/>
    <w:rsid w:val="00094037"/>
    <w:rsid w:val="000961E8"/>
    <w:rsid w:val="000971EB"/>
    <w:rsid w:val="000A0CAD"/>
    <w:rsid w:val="000A1AD3"/>
    <w:rsid w:val="000A2AD1"/>
    <w:rsid w:val="000A3630"/>
    <w:rsid w:val="000A4CB2"/>
    <w:rsid w:val="000A5C37"/>
    <w:rsid w:val="000A6066"/>
    <w:rsid w:val="000B0CF5"/>
    <w:rsid w:val="000B5EA7"/>
    <w:rsid w:val="000B7CF5"/>
    <w:rsid w:val="000C0779"/>
    <w:rsid w:val="000C320D"/>
    <w:rsid w:val="000C49C5"/>
    <w:rsid w:val="000C7781"/>
    <w:rsid w:val="000D05A8"/>
    <w:rsid w:val="000D5667"/>
    <w:rsid w:val="000D616D"/>
    <w:rsid w:val="000D65EA"/>
    <w:rsid w:val="000E04A1"/>
    <w:rsid w:val="000E15ED"/>
    <w:rsid w:val="000E1B1E"/>
    <w:rsid w:val="000E26FB"/>
    <w:rsid w:val="000E3B61"/>
    <w:rsid w:val="000E4B65"/>
    <w:rsid w:val="000F00A5"/>
    <w:rsid w:val="000F0464"/>
    <w:rsid w:val="000F2F85"/>
    <w:rsid w:val="000F4537"/>
    <w:rsid w:val="0010218F"/>
    <w:rsid w:val="00104413"/>
    <w:rsid w:val="00105163"/>
    <w:rsid w:val="001060DC"/>
    <w:rsid w:val="0011602F"/>
    <w:rsid w:val="00117D2C"/>
    <w:rsid w:val="00121075"/>
    <w:rsid w:val="00121E29"/>
    <w:rsid w:val="00122F47"/>
    <w:rsid w:val="001241D9"/>
    <w:rsid w:val="00125859"/>
    <w:rsid w:val="00132AA6"/>
    <w:rsid w:val="00133B73"/>
    <w:rsid w:val="00133FB9"/>
    <w:rsid w:val="00134313"/>
    <w:rsid w:val="00134E4D"/>
    <w:rsid w:val="00135070"/>
    <w:rsid w:val="001376DF"/>
    <w:rsid w:val="00142FBC"/>
    <w:rsid w:val="0014598F"/>
    <w:rsid w:val="00145A8E"/>
    <w:rsid w:val="001470AE"/>
    <w:rsid w:val="00150194"/>
    <w:rsid w:val="001503DF"/>
    <w:rsid w:val="00151DF3"/>
    <w:rsid w:val="001520EA"/>
    <w:rsid w:val="00152580"/>
    <w:rsid w:val="00161830"/>
    <w:rsid w:val="00164BAC"/>
    <w:rsid w:val="00172550"/>
    <w:rsid w:val="00172D22"/>
    <w:rsid w:val="001730C1"/>
    <w:rsid w:val="00180D8D"/>
    <w:rsid w:val="00180EE0"/>
    <w:rsid w:val="00181870"/>
    <w:rsid w:val="0018314C"/>
    <w:rsid w:val="00184162"/>
    <w:rsid w:val="00191B45"/>
    <w:rsid w:val="00193CD7"/>
    <w:rsid w:val="001965B2"/>
    <w:rsid w:val="001A0B2A"/>
    <w:rsid w:val="001A0D6D"/>
    <w:rsid w:val="001A1E30"/>
    <w:rsid w:val="001A2E91"/>
    <w:rsid w:val="001A305A"/>
    <w:rsid w:val="001A4D13"/>
    <w:rsid w:val="001A7541"/>
    <w:rsid w:val="001C0820"/>
    <w:rsid w:val="001C11E5"/>
    <w:rsid w:val="001C2CE9"/>
    <w:rsid w:val="001C50E5"/>
    <w:rsid w:val="001C7B41"/>
    <w:rsid w:val="001D05B0"/>
    <w:rsid w:val="001D1339"/>
    <w:rsid w:val="001D2BF4"/>
    <w:rsid w:val="001D4D3E"/>
    <w:rsid w:val="001D5BF2"/>
    <w:rsid w:val="001D5F49"/>
    <w:rsid w:val="001D7F22"/>
    <w:rsid w:val="001E04EF"/>
    <w:rsid w:val="001E2A61"/>
    <w:rsid w:val="001E3B2B"/>
    <w:rsid w:val="001E5696"/>
    <w:rsid w:val="001E6535"/>
    <w:rsid w:val="001E690D"/>
    <w:rsid w:val="001E6AEE"/>
    <w:rsid w:val="001E7FAF"/>
    <w:rsid w:val="001F045B"/>
    <w:rsid w:val="001F13EE"/>
    <w:rsid w:val="001F43F8"/>
    <w:rsid w:val="001F4A27"/>
    <w:rsid w:val="001F675C"/>
    <w:rsid w:val="001F7C04"/>
    <w:rsid w:val="00201AF4"/>
    <w:rsid w:val="0020401A"/>
    <w:rsid w:val="0020498F"/>
    <w:rsid w:val="00205EB7"/>
    <w:rsid w:val="002118B2"/>
    <w:rsid w:val="00212351"/>
    <w:rsid w:val="002123EA"/>
    <w:rsid w:val="00212E61"/>
    <w:rsid w:val="0021541A"/>
    <w:rsid w:val="00221FC3"/>
    <w:rsid w:val="00222D15"/>
    <w:rsid w:val="00224046"/>
    <w:rsid w:val="002264AA"/>
    <w:rsid w:val="002265A0"/>
    <w:rsid w:val="00227C16"/>
    <w:rsid w:val="00230391"/>
    <w:rsid w:val="00231571"/>
    <w:rsid w:val="002315F5"/>
    <w:rsid w:val="00232F37"/>
    <w:rsid w:val="00233447"/>
    <w:rsid w:val="00233D03"/>
    <w:rsid w:val="002340BD"/>
    <w:rsid w:val="00235A9A"/>
    <w:rsid w:val="00235EB8"/>
    <w:rsid w:val="00235FDC"/>
    <w:rsid w:val="00241EDB"/>
    <w:rsid w:val="002441F0"/>
    <w:rsid w:val="002456E0"/>
    <w:rsid w:val="00245F08"/>
    <w:rsid w:val="00247FE7"/>
    <w:rsid w:val="0025094F"/>
    <w:rsid w:val="0025354C"/>
    <w:rsid w:val="00253AF9"/>
    <w:rsid w:val="00255F42"/>
    <w:rsid w:val="0026049B"/>
    <w:rsid w:val="00260FAC"/>
    <w:rsid w:val="0027014F"/>
    <w:rsid w:val="00270C65"/>
    <w:rsid w:val="00270E65"/>
    <w:rsid w:val="00274560"/>
    <w:rsid w:val="00274BFF"/>
    <w:rsid w:val="00276A7D"/>
    <w:rsid w:val="00276FE7"/>
    <w:rsid w:val="0027754E"/>
    <w:rsid w:val="002808E7"/>
    <w:rsid w:val="00282116"/>
    <w:rsid w:val="002862F4"/>
    <w:rsid w:val="00287A5D"/>
    <w:rsid w:val="002919CF"/>
    <w:rsid w:val="002931DB"/>
    <w:rsid w:val="002937AC"/>
    <w:rsid w:val="0029464C"/>
    <w:rsid w:val="00294956"/>
    <w:rsid w:val="00294CB7"/>
    <w:rsid w:val="00294E83"/>
    <w:rsid w:val="00295D2A"/>
    <w:rsid w:val="0029640B"/>
    <w:rsid w:val="002A3F2A"/>
    <w:rsid w:val="002A4750"/>
    <w:rsid w:val="002A485F"/>
    <w:rsid w:val="002A4E54"/>
    <w:rsid w:val="002A5C24"/>
    <w:rsid w:val="002A74B9"/>
    <w:rsid w:val="002B1F65"/>
    <w:rsid w:val="002B26DA"/>
    <w:rsid w:val="002B2961"/>
    <w:rsid w:val="002B5A4B"/>
    <w:rsid w:val="002B6404"/>
    <w:rsid w:val="002B673D"/>
    <w:rsid w:val="002B7779"/>
    <w:rsid w:val="002C02F2"/>
    <w:rsid w:val="002C157E"/>
    <w:rsid w:val="002C3ED2"/>
    <w:rsid w:val="002C4FFA"/>
    <w:rsid w:val="002C56C2"/>
    <w:rsid w:val="002C6EAA"/>
    <w:rsid w:val="002D04D0"/>
    <w:rsid w:val="002D3102"/>
    <w:rsid w:val="002D33D3"/>
    <w:rsid w:val="002D626B"/>
    <w:rsid w:val="002E0D74"/>
    <w:rsid w:val="002E0DE4"/>
    <w:rsid w:val="002E115D"/>
    <w:rsid w:val="002E1E4F"/>
    <w:rsid w:val="002E532D"/>
    <w:rsid w:val="002E5A17"/>
    <w:rsid w:val="002F0361"/>
    <w:rsid w:val="002F1CC6"/>
    <w:rsid w:val="002F23B4"/>
    <w:rsid w:val="002F27CB"/>
    <w:rsid w:val="002F6C6C"/>
    <w:rsid w:val="002F7D5C"/>
    <w:rsid w:val="00300B06"/>
    <w:rsid w:val="00302820"/>
    <w:rsid w:val="00302FCE"/>
    <w:rsid w:val="00303E5C"/>
    <w:rsid w:val="003064D7"/>
    <w:rsid w:val="003109CC"/>
    <w:rsid w:val="0031103A"/>
    <w:rsid w:val="003114E1"/>
    <w:rsid w:val="003135B5"/>
    <w:rsid w:val="00315BA7"/>
    <w:rsid w:val="00316907"/>
    <w:rsid w:val="00325D79"/>
    <w:rsid w:val="003312B8"/>
    <w:rsid w:val="0033142A"/>
    <w:rsid w:val="00331A84"/>
    <w:rsid w:val="003330A8"/>
    <w:rsid w:val="00337D4A"/>
    <w:rsid w:val="003423FD"/>
    <w:rsid w:val="003445F5"/>
    <w:rsid w:val="00346421"/>
    <w:rsid w:val="00346754"/>
    <w:rsid w:val="003476CA"/>
    <w:rsid w:val="00347B45"/>
    <w:rsid w:val="0035055F"/>
    <w:rsid w:val="003510A6"/>
    <w:rsid w:val="003532D9"/>
    <w:rsid w:val="0035433B"/>
    <w:rsid w:val="00354CCF"/>
    <w:rsid w:val="00357B36"/>
    <w:rsid w:val="00357F42"/>
    <w:rsid w:val="003607DE"/>
    <w:rsid w:val="003624B9"/>
    <w:rsid w:val="0036320A"/>
    <w:rsid w:val="003709E2"/>
    <w:rsid w:val="003744BE"/>
    <w:rsid w:val="00375E80"/>
    <w:rsid w:val="00380115"/>
    <w:rsid w:val="00382032"/>
    <w:rsid w:val="003821AB"/>
    <w:rsid w:val="00382755"/>
    <w:rsid w:val="003829DF"/>
    <w:rsid w:val="003857C8"/>
    <w:rsid w:val="00390256"/>
    <w:rsid w:val="003922F7"/>
    <w:rsid w:val="00393986"/>
    <w:rsid w:val="003A13CF"/>
    <w:rsid w:val="003A19E6"/>
    <w:rsid w:val="003A68B7"/>
    <w:rsid w:val="003A7ED6"/>
    <w:rsid w:val="003B01A8"/>
    <w:rsid w:val="003B04BD"/>
    <w:rsid w:val="003B2165"/>
    <w:rsid w:val="003B4407"/>
    <w:rsid w:val="003B4416"/>
    <w:rsid w:val="003B50B3"/>
    <w:rsid w:val="003B77B1"/>
    <w:rsid w:val="003C1D92"/>
    <w:rsid w:val="003C350D"/>
    <w:rsid w:val="003C5A65"/>
    <w:rsid w:val="003C6EC5"/>
    <w:rsid w:val="003D0999"/>
    <w:rsid w:val="003D0EDE"/>
    <w:rsid w:val="003D0EF0"/>
    <w:rsid w:val="003D22C2"/>
    <w:rsid w:val="003D22E1"/>
    <w:rsid w:val="003D569C"/>
    <w:rsid w:val="003D5945"/>
    <w:rsid w:val="003E0318"/>
    <w:rsid w:val="003E0CF0"/>
    <w:rsid w:val="003E17F4"/>
    <w:rsid w:val="003E6607"/>
    <w:rsid w:val="003F0806"/>
    <w:rsid w:val="00400802"/>
    <w:rsid w:val="00400C8D"/>
    <w:rsid w:val="004013C4"/>
    <w:rsid w:val="00402F95"/>
    <w:rsid w:val="00403711"/>
    <w:rsid w:val="0040430A"/>
    <w:rsid w:val="00407FB6"/>
    <w:rsid w:val="004104BA"/>
    <w:rsid w:val="0041548D"/>
    <w:rsid w:val="00415AB9"/>
    <w:rsid w:val="00417C08"/>
    <w:rsid w:val="0042072D"/>
    <w:rsid w:val="0042093B"/>
    <w:rsid w:val="00421505"/>
    <w:rsid w:val="00434D7C"/>
    <w:rsid w:val="004411F2"/>
    <w:rsid w:val="00443AC0"/>
    <w:rsid w:val="004447A5"/>
    <w:rsid w:val="00444F48"/>
    <w:rsid w:val="00450B4C"/>
    <w:rsid w:val="00450E7A"/>
    <w:rsid w:val="00451F3C"/>
    <w:rsid w:val="004566CC"/>
    <w:rsid w:val="00457A77"/>
    <w:rsid w:val="004603E4"/>
    <w:rsid w:val="00461749"/>
    <w:rsid w:val="0046209C"/>
    <w:rsid w:val="0046262C"/>
    <w:rsid w:val="0046389C"/>
    <w:rsid w:val="004644DB"/>
    <w:rsid w:val="004658BE"/>
    <w:rsid w:val="004662A5"/>
    <w:rsid w:val="00466EC8"/>
    <w:rsid w:val="00467CB7"/>
    <w:rsid w:val="00470855"/>
    <w:rsid w:val="00470CD0"/>
    <w:rsid w:val="00470DC6"/>
    <w:rsid w:val="00471781"/>
    <w:rsid w:val="00471B25"/>
    <w:rsid w:val="00472A58"/>
    <w:rsid w:val="00474A74"/>
    <w:rsid w:val="00475172"/>
    <w:rsid w:val="00477776"/>
    <w:rsid w:val="00481548"/>
    <w:rsid w:val="00486021"/>
    <w:rsid w:val="00486414"/>
    <w:rsid w:val="00487603"/>
    <w:rsid w:val="00490946"/>
    <w:rsid w:val="004922F2"/>
    <w:rsid w:val="004941B6"/>
    <w:rsid w:val="004942C7"/>
    <w:rsid w:val="00497841"/>
    <w:rsid w:val="004A1E7B"/>
    <w:rsid w:val="004A45C2"/>
    <w:rsid w:val="004B092C"/>
    <w:rsid w:val="004B1665"/>
    <w:rsid w:val="004B2EF6"/>
    <w:rsid w:val="004B4750"/>
    <w:rsid w:val="004B65A1"/>
    <w:rsid w:val="004B672B"/>
    <w:rsid w:val="004C1360"/>
    <w:rsid w:val="004C60CF"/>
    <w:rsid w:val="004D0287"/>
    <w:rsid w:val="004D0AC7"/>
    <w:rsid w:val="004D233D"/>
    <w:rsid w:val="004D27FA"/>
    <w:rsid w:val="004D657B"/>
    <w:rsid w:val="004D7135"/>
    <w:rsid w:val="004E4861"/>
    <w:rsid w:val="004E7CA1"/>
    <w:rsid w:val="004E7D0D"/>
    <w:rsid w:val="004F0409"/>
    <w:rsid w:val="004F113A"/>
    <w:rsid w:val="004F461A"/>
    <w:rsid w:val="004F4829"/>
    <w:rsid w:val="004F5007"/>
    <w:rsid w:val="004F5C6C"/>
    <w:rsid w:val="004F66DB"/>
    <w:rsid w:val="005008DE"/>
    <w:rsid w:val="00501502"/>
    <w:rsid w:val="00501804"/>
    <w:rsid w:val="0050180B"/>
    <w:rsid w:val="00502FAB"/>
    <w:rsid w:val="0050374A"/>
    <w:rsid w:val="00504C87"/>
    <w:rsid w:val="00505AFB"/>
    <w:rsid w:val="005076A8"/>
    <w:rsid w:val="00510722"/>
    <w:rsid w:val="00512AA2"/>
    <w:rsid w:val="0051396A"/>
    <w:rsid w:val="00514A25"/>
    <w:rsid w:val="00514B02"/>
    <w:rsid w:val="00514FFD"/>
    <w:rsid w:val="00515925"/>
    <w:rsid w:val="00516AEC"/>
    <w:rsid w:val="005209B6"/>
    <w:rsid w:val="005245BA"/>
    <w:rsid w:val="005250AA"/>
    <w:rsid w:val="00525540"/>
    <w:rsid w:val="005265C7"/>
    <w:rsid w:val="00526D53"/>
    <w:rsid w:val="00527246"/>
    <w:rsid w:val="0053317A"/>
    <w:rsid w:val="005374F6"/>
    <w:rsid w:val="005413D7"/>
    <w:rsid w:val="00541B52"/>
    <w:rsid w:val="0054208F"/>
    <w:rsid w:val="00547205"/>
    <w:rsid w:val="00551029"/>
    <w:rsid w:val="005510B1"/>
    <w:rsid w:val="005521A0"/>
    <w:rsid w:val="0055769E"/>
    <w:rsid w:val="00560140"/>
    <w:rsid w:val="00560265"/>
    <w:rsid w:val="00560932"/>
    <w:rsid w:val="00560DA1"/>
    <w:rsid w:val="0056141B"/>
    <w:rsid w:val="00561EDD"/>
    <w:rsid w:val="00562003"/>
    <w:rsid w:val="005633FB"/>
    <w:rsid w:val="0056373A"/>
    <w:rsid w:val="00564B80"/>
    <w:rsid w:val="0056757A"/>
    <w:rsid w:val="00567768"/>
    <w:rsid w:val="00570382"/>
    <w:rsid w:val="00571DA3"/>
    <w:rsid w:val="005727EA"/>
    <w:rsid w:val="00573456"/>
    <w:rsid w:val="0057464F"/>
    <w:rsid w:val="00575825"/>
    <w:rsid w:val="005832B5"/>
    <w:rsid w:val="00585419"/>
    <w:rsid w:val="0058701A"/>
    <w:rsid w:val="00591497"/>
    <w:rsid w:val="005923B7"/>
    <w:rsid w:val="00592793"/>
    <w:rsid w:val="005945E6"/>
    <w:rsid w:val="00594E2C"/>
    <w:rsid w:val="00597F76"/>
    <w:rsid w:val="005A0EAC"/>
    <w:rsid w:val="005A0EF0"/>
    <w:rsid w:val="005A228A"/>
    <w:rsid w:val="005A27C0"/>
    <w:rsid w:val="005A39A7"/>
    <w:rsid w:val="005A4B30"/>
    <w:rsid w:val="005A5648"/>
    <w:rsid w:val="005A57E0"/>
    <w:rsid w:val="005B0601"/>
    <w:rsid w:val="005B12C9"/>
    <w:rsid w:val="005B1E0C"/>
    <w:rsid w:val="005B368A"/>
    <w:rsid w:val="005B5C55"/>
    <w:rsid w:val="005B5FDE"/>
    <w:rsid w:val="005B73E8"/>
    <w:rsid w:val="005C1C11"/>
    <w:rsid w:val="005C52D3"/>
    <w:rsid w:val="005C7220"/>
    <w:rsid w:val="005D1520"/>
    <w:rsid w:val="005D441A"/>
    <w:rsid w:val="005D73A8"/>
    <w:rsid w:val="005D7478"/>
    <w:rsid w:val="005D7B2E"/>
    <w:rsid w:val="005E0697"/>
    <w:rsid w:val="005E14B0"/>
    <w:rsid w:val="005E2E46"/>
    <w:rsid w:val="005E3926"/>
    <w:rsid w:val="005E5B9F"/>
    <w:rsid w:val="005F196F"/>
    <w:rsid w:val="005F29FC"/>
    <w:rsid w:val="005F3C8B"/>
    <w:rsid w:val="005F50F3"/>
    <w:rsid w:val="005F544C"/>
    <w:rsid w:val="005F6250"/>
    <w:rsid w:val="00600E6A"/>
    <w:rsid w:val="00603561"/>
    <w:rsid w:val="00606763"/>
    <w:rsid w:val="00610247"/>
    <w:rsid w:val="0061294C"/>
    <w:rsid w:val="0061567C"/>
    <w:rsid w:val="0061788B"/>
    <w:rsid w:val="0062105D"/>
    <w:rsid w:val="006220DA"/>
    <w:rsid w:val="00624577"/>
    <w:rsid w:val="0062568B"/>
    <w:rsid w:val="00632FC0"/>
    <w:rsid w:val="00637641"/>
    <w:rsid w:val="00637D95"/>
    <w:rsid w:val="006437F5"/>
    <w:rsid w:val="00645F12"/>
    <w:rsid w:val="006500A7"/>
    <w:rsid w:val="00650A6C"/>
    <w:rsid w:val="00652391"/>
    <w:rsid w:val="00652980"/>
    <w:rsid w:val="00653999"/>
    <w:rsid w:val="006550E5"/>
    <w:rsid w:val="0065598F"/>
    <w:rsid w:val="00655F3C"/>
    <w:rsid w:val="006578A9"/>
    <w:rsid w:val="006625A0"/>
    <w:rsid w:val="00662A9D"/>
    <w:rsid w:val="00663B95"/>
    <w:rsid w:val="00667E61"/>
    <w:rsid w:val="00670B7B"/>
    <w:rsid w:val="006739DE"/>
    <w:rsid w:val="00673CD0"/>
    <w:rsid w:val="00680FE2"/>
    <w:rsid w:val="00683FCF"/>
    <w:rsid w:val="006852B7"/>
    <w:rsid w:val="00685E63"/>
    <w:rsid w:val="006879A4"/>
    <w:rsid w:val="00690B25"/>
    <w:rsid w:val="006914F7"/>
    <w:rsid w:val="00693134"/>
    <w:rsid w:val="00696430"/>
    <w:rsid w:val="00697063"/>
    <w:rsid w:val="006A0FBF"/>
    <w:rsid w:val="006A17F6"/>
    <w:rsid w:val="006A272C"/>
    <w:rsid w:val="006A2DF3"/>
    <w:rsid w:val="006A6613"/>
    <w:rsid w:val="006A6968"/>
    <w:rsid w:val="006B052F"/>
    <w:rsid w:val="006B05D9"/>
    <w:rsid w:val="006B2687"/>
    <w:rsid w:val="006B4859"/>
    <w:rsid w:val="006B5FE1"/>
    <w:rsid w:val="006C030F"/>
    <w:rsid w:val="006C104C"/>
    <w:rsid w:val="006C1D9F"/>
    <w:rsid w:val="006C2ADD"/>
    <w:rsid w:val="006C2FF8"/>
    <w:rsid w:val="006C379B"/>
    <w:rsid w:val="006C585B"/>
    <w:rsid w:val="006C6E66"/>
    <w:rsid w:val="006D073C"/>
    <w:rsid w:val="006D1C63"/>
    <w:rsid w:val="006D580E"/>
    <w:rsid w:val="006D59FB"/>
    <w:rsid w:val="006D7E97"/>
    <w:rsid w:val="006E09B4"/>
    <w:rsid w:val="006E2D0B"/>
    <w:rsid w:val="006E33C7"/>
    <w:rsid w:val="006E3C24"/>
    <w:rsid w:val="006E4859"/>
    <w:rsid w:val="006E4D51"/>
    <w:rsid w:val="006E656D"/>
    <w:rsid w:val="006E7BD7"/>
    <w:rsid w:val="006F3825"/>
    <w:rsid w:val="006F5C26"/>
    <w:rsid w:val="0070132E"/>
    <w:rsid w:val="00702F83"/>
    <w:rsid w:val="00704C54"/>
    <w:rsid w:val="0070594F"/>
    <w:rsid w:val="00706CEC"/>
    <w:rsid w:val="00720415"/>
    <w:rsid w:val="007207B2"/>
    <w:rsid w:val="00723AC6"/>
    <w:rsid w:val="00725581"/>
    <w:rsid w:val="00727613"/>
    <w:rsid w:val="0073076F"/>
    <w:rsid w:val="00730854"/>
    <w:rsid w:val="0073166D"/>
    <w:rsid w:val="00740126"/>
    <w:rsid w:val="00746824"/>
    <w:rsid w:val="00750139"/>
    <w:rsid w:val="00751C4F"/>
    <w:rsid w:val="007528C4"/>
    <w:rsid w:val="007646EA"/>
    <w:rsid w:val="007723F1"/>
    <w:rsid w:val="00772A59"/>
    <w:rsid w:val="007734CC"/>
    <w:rsid w:val="00773764"/>
    <w:rsid w:val="0077376F"/>
    <w:rsid w:val="007758D5"/>
    <w:rsid w:val="00777506"/>
    <w:rsid w:val="007775F3"/>
    <w:rsid w:val="00777EF3"/>
    <w:rsid w:val="007802B9"/>
    <w:rsid w:val="00780C9D"/>
    <w:rsid w:val="00781473"/>
    <w:rsid w:val="0078156C"/>
    <w:rsid w:val="00784752"/>
    <w:rsid w:val="0079018F"/>
    <w:rsid w:val="00790E34"/>
    <w:rsid w:val="00790F06"/>
    <w:rsid w:val="007937F6"/>
    <w:rsid w:val="00793B21"/>
    <w:rsid w:val="00794657"/>
    <w:rsid w:val="00794943"/>
    <w:rsid w:val="007959CC"/>
    <w:rsid w:val="0079661F"/>
    <w:rsid w:val="007A04DE"/>
    <w:rsid w:val="007A0C39"/>
    <w:rsid w:val="007A5BD2"/>
    <w:rsid w:val="007B26D6"/>
    <w:rsid w:val="007B4557"/>
    <w:rsid w:val="007B7853"/>
    <w:rsid w:val="007C117A"/>
    <w:rsid w:val="007C11BF"/>
    <w:rsid w:val="007C2BA3"/>
    <w:rsid w:val="007C72E7"/>
    <w:rsid w:val="007D3405"/>
    <w:rsid w:val="007D5585"/>
    <w:rsid w:val="007D690A"/>
    <w:rsid w:val="007E1E7A"/>
    <w:rsid w:val="007E6A2C"/>
    <w:rsid w:val="007E7C7F"/>
    <w:rsid w:val="007F1891"/>
    <w:rsid w:val="007F3B92"/>
    <w:rsid w:val="007F46BD"/>
    <w:rsid w:val="007F5C94"/>
    <w:rsid w:val="007F764A"/>
    <w:rsid w:val="00803A63"/>
    <w:rsid w:val="00806A69"/>
    <w:rsid w:val="00810611"/>
    <w:rsid w:val="00811C65"/>
    <w:rsid w:val="00812556"/>
    <w:rsid w:val="00813538"/>
    <w:rsid w:val="00813902"/>
    <w:rsid w:val="00817DF9"/>
    <w:rsid w:val="008202AC"/>
    <w:rsid w:val="008203A9"/>
    <w:rsid w:val="0082118F"/>
    <w:rsid w:val="008221C1"/>
    <w:rsid w:val="00825C46"/>
    <w:rsid w:val="00826A32"/>
    <w:rsid w:val="008320E0"/>
    <w:rsid w:val="00832216"/>
    <w:rsid w:val="00832867"/>
    <w:rsid w:val="008369F0"/>
    <w:rsid w:val="0083771D"/>
    <w:rsid w:val="00837D36"/>
    <w:rsid w:val="0084154C"/>
    <w:rsid w:val="00841CA1"/>
    <w:rsid w:val="00846CD3"/>
    <w:rsid w:val="008500E8"/>
    <w:rsid w:val="00853F19"/>
    <w:rsid w:val="00855C85"/>
    <w:rsid w:val="00856416"/>
    <w:rsid w:val="00860BF0"/>
    <w:rsid w:val="00860E87"/>
    <w:rsid w:val="008610A5"/>
    <w:rsid w:val="00861D13"/>
    <w:rsid w:val="0086534F"/>
    <w:rsid w:val="00873E07"/>
    <w:rsid w:val="008747E5"/>
    <w:rsid w:val="00874EE8"/>
    <w:rsid w:val="00875A4F"/>
    <w:rsid w:val="008842DC"/>
    <w:rsid w:val="008854B4"/>
    <w:rsid w:val="00886A1E"/>
    <w:rsid w:val="00887F74"/>
    <w:rsid w:val="0089379A"/>
    <w:rsid w:val="00894388"/>
    <w:rsid w:val="00894E26"/>
    <w:rsid w:val="00895F05"/>
    <w:rsid w:val="00896C04"/>
    <w:rsid w:val="008972F4"/>
    <w:rsid w:val="008A0B9D"/>
    <w:rsid w:val="008A0CCB"/>
    <w:rsid w:val="008A2628"/>
    <w:rsid w:val="008A32C4"/>
    <w:rsid w:val="008A40FB"/>
    <w:rsid w:val="008A7F15"/>
    <w:rsid w:val="008B0039"/>
    <w:rsid w:val="008B127B"/>
    <w:rsid w:val="008B152A"/>
    <w:rsid w:val="008B4048"/>
    <w:rsid w:val="008B4F53"/>
    <w:rsid w:val="008B5746"/>
    <w:rsid w:val="008B59BE"/>
    <w:rsid w:val="008B71D7"/>
    <w:rsid w:val="008C09D0"/>
    <w:rsid w:val="008C0B6D"/>
    <w:rsid w:val="008C1E5B"/>
    <w:rsid w:val="008C26C3"/>
    <w:rsid w:val="008C2ED8"/>
    <w:rsid w:val="008C5D72"/>
    <w:rsid w:val="008D092D"/>
    <w:rsid w:val="008D14F0"/>
    <w:rsid w:val="008D2871"/>
    <w:rsid w:val="008D43A1"/>
    <w:rsid w:val="008D4FD7"/>
    <w:rsid w:val="008D6D6A"/>
    <w:rsid w:val="008E0518"/>
    <w:rsid w:val="008E5075"/>
    <w:rsid w:val="008F0328"/>
    <w:rsid w:val="008F07EE"/>
    <w:rsid w:val="008F0F9E"/>
    <w:rsid w:val="008F1BF5"/>
    <w:rsid w:val="008F247D"/>
    <w:rsid w:val="008F4D48"/>
    <w:rsid w:val="008F5ECD"/>
    <w:rsid w:val="00901C1E"/>
    <w:rsid w:val="00902391"/>
    <w:rsid w:val="00904AFE"/>
    <w:rsid w:val="00906F95"/>
    <w:rsid w:val="00914230"/>
    <w:rsid w:val="00915085"/>
    <w:rsid w:val="009151D7"/>
    <w:rsid w:val="00921995"/>
    <w:rsid w:val="0092631A"/>
    <w:rsid w:val="00932300"/>
    <w:rsid w:val="0093564F"/>
    <w:rsid w:val="00935816"/>
    <w:rsid w:val="00935A6B"/>
    <w:rsid w:val="00937877"/>
    <w:rsid w:val="00937885"/>
    <w:rsid w:val="0094063C"/>
    <w:rsid w:val="00942F8F"/>
    <w:rsid w:val="0094406E"/>
    <w:rsid w:val="00945443"/>
    <w:rsid w:val="00945B00"/>
    <w:rsid w:val="009465CD"/>
    <w:rsid w:val="00950002"/>
    <w:rsid w:val="009533A7"/>
    <w:rsid w:val="0095582E"/>
    <w:rsid w:val="00956795"/>
    <w:rsid w:val="0095738E"/>
    <w:rsid w:val="00957865"/>
    <w:rsid w:val="00957A40"/>
    <w:rsid w:val="00957AE8"/>
    <w:rsid w:val="00960FC7"/>
    <w:rsid w:val="009613BC"/>
    <w:rsid w:val="009639EE"/>
    <w:rsid w:val="00965B05"/>
    <w:rsid w:val="00966858"/>
    <w:rsid w:val="009678D1"/>
    <w:rsid w:val="00971F03"/>
    <w:rsid w:val="0097420E"/>
    <w:rsid w:val="00975603"/>
    <w:rsid w:val="00976845"/>
    <w:rsid w:val="009768D3"/>
    <w:rsid w:val="00977B68"/>
    <w:rsid w:val="00985C78"/>
    <w:rsid w:val="00986300"/>
    <w:rsid w:val="009868E8"/>
    <w:rsid w:val="00990366"/>
    <w:rsid w:val="0099095D"/>
    <w:rsid w:val="00991E44"/>
    <w:rsid w:val="0099245E"/>
    <w:rsid w:val="00992E3A"/>
    <w:rsid w:val="00993085"/>
    <w:rsid w:val="009934BB"/>
    <w:rsid w:val="009A0204"/>
    <w:rsid w:val="009A35D4"/>
    <w:rsid w:val="009A404F"/>
    <w:rsid w:val="009A49B1"/>
    <w:rsid w:val="009A7E47"/>
    <w:rsid w:val="009B1E7A"/>
    <w:rsid w:val="009B3B1A"/>
    <w:rsid w:val="009B4D3D"/>
    <w:rsid w:val="009B5D1B"/>
    <w:rsid w:val="009B5E5D"/>
    <w:rsid w:val="009B5EFB"/>
    <w:rsid w:val="009C08FF"/>
    <w:rsid w:val="009C2BB9"/>
    <w:rsid w:val="009C3CFB"/>
    <w:rsid w:val="009C4375"/>
    <w:rsid w:val="009C4651"/>
    <w:rsid w:val="009C4FED"/>
    <w:rsid w:val="009C6362"/>
    <w:rsid w:val="009C7A18"/>
    <w:rsid w:val="009D149A"/>
    <w:rsid w:val="009D223D"/>
    <w:rsid w:val="009D567C"/>
    <w:rsid w:val="009D66C6"/>
    <w:rsid w:val="009D698A"/>
    <w:rsid w:val="009E0938"/>
    <w:rsid w:val="009E70A9"/>
    <w:rsid w:val="009F13C6"/>
    <w:rsid w:val="009F3E45"/>
    <w:rsid w:val="009F4DF4"/>
    <w:rsid w:val="009F5F9B"/>
    <w:rsid w:val="00A0098A"/>
    <w:rsid w:val="00A01F9F"/>
    <w:rsid w:val="00A03177"/>
    <w:rsid w:val="00A03D66"/>
    <w:rsid w:val="00A0519B"/>
    <w:rsid w:val="00A0669E"/>
    <w:rsid w:val="00A06C24"/>
    <w:rsid w:val="00A06DE1"/>
    <w:rsid w:val="00A10F6D"/>
    <w:rsid w:val="00A12229"/>
    <w:rsid w:val="00A12FD8"/>
    <w:rsid w:val="00A16C40"/>
    <w:rsid w:val="00A300A9"/>
    <w:rsid w:val="00A30811"/>
    <w:rsid w:val="00A33BAB"/>
    <w:rsid w:val="00A34560"/>
    <w:rsid w:val="00A34D1D"/>
    <w:rsid w:val="00A35E78"/>
    <w:rsid w:val="00A3730B"/>
    <w:rsid w:val="00A41DD3"/>
    <w:rsid w:val="00A4214A"/>
    <w:rsid w:val="00A436EF"/>
    <w:rsid w:val="00A438ED"/>
    <w:rsid w:val="00A43C4A"/>
    <w:rsid w:val="00A4436C"/>
    <w:rsid w:val="00A45DF9"/>
    <w:rsid w:val="00A46847"/>
    <w:rsid w:val="00A478B6"/>
    <w:rsid w:val="00A53591"/>
    <w:rsid w:val="00A53D3E"/>
    <w:rsid w:val="00A61CAE"/>
    <w:rsid w:val="00A61FF9"/>
    <w:rsid w:val="00A65F32"/>
    <w:rsid w:val="00A66ED5"/>
    <w:rsid w:val="00A67354"/>
    <w:rsid w:val="00A679C7"/>
    <w:rsid w:val="00A709B7"/>
    <w:rsid w:val="00A71168"/>
    <w:rsid w:val="00A72B2F"/>
    <w:rsid w:val="00A7342D"/>
    <w:rsid w:val="00A73A74"/>
    <w:rsid w:val="00A85364"/>
    <w:rsid w:val="00A87B6F"/>
    <w:rsid w:val="00A9039A"/>
    <w:rsid w:val="00A90BF6"/>
    <w:rsid w:val="00A917B2"/>
    <w:rsid w:val="00A918C2"/>
    <w:rsid w:val="00A92D1D"/>
    <w:rsid w:val="00A9314E"/>
    <w:rsid w:val="00A94FDC"/>
    <w:rsid w:val="00A96D7D"/>
    <w:rsid w:val="00A97A5F"/>
    <w:rsid w:val="00AA372F"/>
    <w:rsid w:val="00AA5F3E"/>
    <w:rsid w:val="00AB1EB3"/>
    <w:rsid w:val="00AB2871"/>
    <w:rsid w:val="00AB38D9"/>
    <w:rsid w:val="00AB3AEB"/>
    <w:rsid w:val="00AB4DF0"/>
    <w:rsid w:val="00AB553F"/>
    <w:rsid w:val="00AC0216"/>
    <w:rsid w:val="00AC2C5F"/>
    <w:rsid w:val="00AC5D5A"/>
    <w:rsid w:val="00AC6947"/>
    <w:rsid w:val="00AD0AF5"/>
    <w:rsid w:val="00AD1586"/>
    <w:rsid w:val="00AD2491"/>
    <w:rsid w:val="00AD370A"/>
    <w:rsid w:val="00AD5FA0"/>
    <w:rsid w:val="00AE145C"/>
    <w:rsid w:val="00AE1BF3"/>
    <w:rsid w:val="00AE1CCD"/>
    <w:rsid w:val="00AE4FFD"/>
    <w:rsid w:val="00AF1B44"/>
    <w:rsid w:val="00AF69D7"/>
    <w:rsid w:val="00AF7C78"/>
    <w:rsid w:val="00B000DF"/>
    <w:rsid w:val="00B01279"/>
    <w:rsid w:val="00B07A36"/>
    <w:rsid w:val="00B07B5F"/>
    <w:rsid w:val="00B10508"/>
    <w:rsid w:val="00B11430"/>
    <w:rsid w:val="00B124BE"/>
    <w:rsid w:val="00B130E2"/>
    <w:rsid w:val="00B16F09"/>
    <w:rsid w:val="00B177CF"/>
    <w:rsid w:val="00B20C44"/>
    <w:rsid w:val="00B20CE2"/>
    <w:rsid w:val="00B210AD"/>
    <w:rsid w:val="00B21C5B"/>
    <w:rsid w:val="00B23F06"/>
    <w:rsid w:val="00B24C7E"/>
    <w:rsid w:val="00B27365"/>
    <w:rsid w:val="00B27A53"/>
    <w:rsid w:val="00B307A7"/>
    <w:rsid w:val="00B30B37"/>
    <w:rsid w:val="00B3360B"/>
    <w:rsid w:val="00B33AC5"/>
    <w:rsid w:val="00B33C1B"/>
    <w:rsid w:val="00B344BE"/>
    <w:rsid w:val="00B3453A"/>
    <w:rsid w:val="00B34E0F"/>
    <w:rsid w:val="00B353D9"/>
    <w:rsid w:val="00B4125E"/>
    <w:rsid w:val="00B4379E"/>
    <w:rsid w:val="00B469A5"/>
    <w:rsid w:val="00B53C47"/>
    <w:rsid w:val="00B53E7C"/>
    <w:rsid w:val="00B60129"/>
    <w:rsid w:val="00B62186"/>
    <w:rsid w:val="00B637E9"/>
    <w:rsid w:val="00B63AD1"/>
    <w:rsid w:val="00B65769"/>
    <w:rsid w:val="00B70CAE"/>
    <w:rsid w:val="00B713C9"/>
    <w:rsid w:val="00B72F89"/>
    <w:rsid w:val="00B75437"/>
    <w:rsid w:val="00B759D2"/>
    <w:rsid w:val="00B82140"/>
    <w:rsid w:val="00B82446"/>
    <w:rsid w:val="00B8385E"/>
    <w:rsid w:val="00B8465E"/>
    <w:rsid w:val="00B84B56"/>
    <w:rsid w:val="00B91EE0"/>
    <w:rsid w:val="00B920AC"/>
    <w:rsid w:val="00B93567"/>
    <w:rsid w:val="00BA0268"/>
    <w:rsid w:val="00BA1DF7"/>
    <w:rsid w:val="00BA208A"/>
    <w:rsid w:val="00BA618B"/>
    <w:rsid w:val="00BA6A47"/>
    <w:rsid w:val="00BA7855"/>
    <w:rsid w:val="00BB0131"/>
    <w:rsid w:val="00BB0ADA"/>
    <w:rsid w:val="00BB19A0"/>
    <w:rsid w:val="00BB2A6F"/>
    <w:rsid w:val="00BB3250"/>
    <w:rsid w:val="00BB4255"/>
    <w:rsid w:val="00BB601E"/>
    <w:rsid w:val="00BB6417"/>
    <w:rsid w:val="00BB7FE4"/>
    <w:rsid w:val="00BC5BD8"/>
    <w:rsid w:val="00BC6735"/>
    <w:rsid w:val="00BC6FA5"/>
    <w:rsid w:val="00BD2437"/>
    <w:rsid w:val="00BD2AF7"/>
    <w:rsid w:val="00BD341B"/>
    <w:rsid w:val="00BD6BD3"/>
    <w:rsid w:val="00BE48E3"/>
    <w:rsid w:val="00BE5706"/>
    <w:rsid w:val="00BE7B15"/>
    <w:rsid w:val="00BF035D"/>
    <w:rsid w:val="00BF1234"/>
    <w:rsid w:val="00BF132A"/>
    <w:rsid w:val="00BF2053"/>
    <w:rsid w:val="00BF20E5"/>
    <w:rsid w:val="00BF2D86"/>
    <w:rsid w:val="00BF39BD"/>
    <w:rsid w:val="00BF46F8"/>
    <w:rsid w:val="00BF4D9B"/>
    <w:rsid w:val="00BF5CF1"/>
    <w:rsid w:val="00BF5D8A"/>
    <w:rsid w:val="00BF5EB3"/>
    <w:rsid w:val="00BF7277"/>
    <w:rsid w:val="00C02B20"/>
    <w:rsid w:val="00C042E5"/>
    <w:rsid w:val="00C06808"/>
    <w:rsid w:val="00C12C65"/>
    <w:rsid w:val="00C133C7"/>
    <w:rsid w:val="00C13C64"/>
    <w:rsid w:val="00C13FAF"/>
    <w:rsid w:val="00C14E91"/>
    <w:rsid w:val="00C15DDB"/>
    <w:rsid w:val="00C16F98"/>
    <w:rsid w:val="00C1724C"/>
    <w:rsid w:val="00C20113"/>
    <w:rsid w:val="00C209EB"/>
    <w:rsid w:val="00C2196E"/>
    <w:rsid w:val="00C26A9B"/>
    <w:rsid w:val="00C31463"/>
    <w:rsid w:val="00C331D0"/>
    <w:rsid w:val="00C37103"/>
    <w:rsid w:val="00C40D5C"/>
    <w:rsid w:val="00C45469"/>
    <w:rsid w:val="00C4546D"/>
    <w:rsid w:val="00C4645E"/>
    <w:rsid w:val="00C46AB3"/>
    <w:rsid w:val="00C510FB"/>
    <w:rsid w:val="00C54A10"/>
    <w:rsid w:val="00C5748D"/>
    <w:rsid w:val="00C6518E"/>
    <w:rsid w:val="00C672BA"/>
    <w:rsid w:val="00C67561"/>
    <w:rsid w:val="00C70F4D"/>
    <w:rsid w:val="00C725BE"/>
    <w:rsid w:val="00C75867"/>
    <w:rsid w:val="00C765BA"/>
    <w:rsid w:val="00C80CF2"/>
    <w:rsid w:val="00C8151F"/>
    <w:rsid w:val="00C82966"/>
    <w:rsid w:val="00C8406D"/>
    <w:rsid w:val="00C85D43"/>
    <w:rsid w:val="00C87102"/>
    <w:rsid w:val="00C871C9"/>
    <w:rsid w:val="00C90AC4"/>
    <w:rsid w:val="00C94934"/>
    <w:rsid w:val="00C95DC0"/>
    <w:rsid w:val="00C95E1D"/>
    <w:rsid w:val="00C96B86"/>
    <w:rsid w:val="00C977D6"/>
    <w:rsid w:val="00CA1CAE"/>
    <w:rsid w:val="00CA1D02"/>
    <w:rsid w:val="00CA2F4C"/>
    <w:rsid w:val="00CA3C37"/>
    <w:rsid w:val="00CA3F5A"/>
    <w:rsid w:val="00CA3FB7"/>
    <w:rsid w:val="00CA4BAE"/>
    <w:rsid w:val="00CB0DAF"/>
    <w:rsid w:val="00CB253E"/>
    <w:rsid w:val="00CB2CE1"/>
    <w:rsid w:val="00CB3F57"/>
    <w:rsid w:val="00CB51D2"/>
    <w:rsid w:val="00CB685E"/>
    <w:rsid w:val="00CB6AC7"/>
    <w:rsid w:val="00CB79D1"/>
    <w:rsid w:val="00CC0082"/>
    <w:rsid w:val="00CC0A75"/>
    <w:rsid w:val="00CC123E"/>
    <w:rsid w:val="00CC3F5A"/>
    <w:rsid w:val="00CC493A"/>
    <w:rsid w:val="00CC4961"/>
    <w:rsid w:val="00CC49C8"/>
    <w:rsid w:val="00CD50AB"/>
    <w:rsid w:val="00CD5FA4"/>
    <w:rsid w:val="00CD6490"/>
    <w:rsid w:val="00CD6811"/>
    <w:rsid w:val="00CD7BFC"/>
    <w:rsid w:val="00CE0332"/>
    <w:rsid w:val="00CE0A43"/>
    <w:rsid w:val="00CE1ECB"/>
    <w:rsid w:val="00CE2019"/>
    <w:rsid w:val="00CE299B"/>
    <w:rsid w:val="00CE304B"/>
    <w:rsid w:val="00CE36FE"/>
    <w:rsid w:val="00CE5260"/>
    <w:rsid w:val="00CE60FA"/>
    <w:rsid w:val="00CE6828"/>
    <w:rsid w:val="00CF335D"/>
    <w:rsid w:val="00CF38C7"/>
    <w:rsid w:val="00CF513C"/>
    <w:rsid w:val="00CF6D8C"/>
    <w:rsid w:val="00CF7EA3"/>
    <w:rsid w:val="00CF7EDE"/>
    <w:rsid w:val="00D0071C"/>
    <w:rsid w:val="00D02746"/>
    <w:rsid w:val="00D03E74"/>
    <w:rsid w:val="00D06524"/>
    <w:rsid w:val="00D113DC"/>
    <w:rsid w:val="00D11EE1"/>
    <w:rsid w:val="00D167EB"/>
    <w:rsid w:val="00D25473"/>
    <w:rsid w:val="00D25D65"/>
    <w:rsid w:val="00D26BA3"/>
    <w:rsid w:val="00D26C64"/>
    <w:rsid w:val="00D31499"/>
    <w:rsid w:val="00D337B7"/>
    <w:rsid w:val="00D341C8"/>
    <w:rsid w:val="00D347CB"/>
    <w:rsid w:val="00D34FFC"/>
    <w:rsid w:val="00D35EB6"/>
    <w:rsid w:val="00D405E1"/>
    <w:rsid w:val="00D40ABC"/>
    <w:rsid w:val="00D433D7"/>
    <w:rsid w:val="00D460C9"/>
    <w:rsid w:val="00D4617C"/>
    <w:rsid w:val="00D47D81"/>
    <w:rsid w:val="00D50295"/>
    <w:rsid w:val="00D5226C"/>
    <w:rsid w:val="00D53CB8"/>
    <w:rsid w:val="00D5402B"/>
    <w:rsid w:val="00D5744F"/>
    <w:rsid w:val="00D57CEA"/>
    <w:rsid w:val="00D60488"/>
    <w:rsid w:val="00D604B5"/>
    <w:rsid w:val="00D62C83"/>
    <w:rsid w:val="00D65065"/>
    <w:rsid w:val="00D659D1"/>
    <w:rsid w:val="00D660DD"/>
    <w:rsid w:val="00D675AA"/>
    <w:rsid w:val="00D67CB1"/>
    <w:rsid w:val="00D7446D"/>
    <w:rsid w:val="00D8020A"/>
    <w:rsid w:val="00D805FB"/>
    <w:rsid w:val="00D8411D"/>
    <w:rsid w:val="00D843D6"/>
    <w:rsid w:val="00D850DF"/>
    <w:rsid w:val="00D85578"/>
    <w:rsid w:val="00D87799"/>
    <w:rsid w:val="00D87DEF"/>
    <w:rsid w:val="00D90FE6"/>
    <w:rsid w:val="00D94B13"/>
    <w:rsid w:val="00D95041"/>
    <w:rsid w:val="00D958F3"/>
    <w:rsid w:val="00D972A7"/>
    <w:rsid w:val="00DA036E"/>
    <w:rsid w:val="00DA2FFC"/>
    <w:rsid w:val="00DB0FB1"/>
    <w:rsid w:val="00DB27D0"/>
    <w:rsid w:val="00DB2ACE"/>
    <w:rsid w:val="00DB362A"/>
    <w:rsid w:val="00DB6D08"/>
    <w:rsid w:val="00DB7F16"/>
    <w:rsid w:val="00DC0856"/>
    <w:rsid w:val="00DC2769"/>
    <w:rsid w:val="00DC3D63"/>
    <w:rsid w:val="00DC61AD"/>
    <w:rsid w:val="00DD2DB7"/>
    <w:rsid w:val="00DD7BCB"/>
    <w:rsid w:val="00DE1462"/>
    <w:rsid w:val="00DE2652"/>
    <w:rsid w:val="00DE3BD8"/>
    <w:rsid w:val="00DE4F01"/>
    <w:rsid w:val="00DE6189"/>
    <w:rsid w:val="00DF242F"/>
    <w:rsid w:val="00DF2D77"/>
    <w:rsid w:val="00DF335C"/>
    <w:rsid w:val="00E03A36"/>
    <w:rsid w:val="00E04401"/>
    <w:rsid w:val="00E053BF"/>
    <w:rsid w:val="00E053EE"/>
    <w:rsid w:val="00E12250"/>
    <w:rsid w:val="00E17151"/>
    <w:rsid w:val="00E17665"/>
    <w:rsid w:val="00E177FC"/>
    <w:rsid w:val="00E179AA"/>
    <w:rsid w:val="00E2049B"/>
    <w:rsid w:val="00E20C4E"/>
    <w:rsid w:val="00E23A69"/>
    <w:rsid w:val="00E2416F"/>
    <w:rsid w:val="00E24CDB"/>
    <w:rsid w:val="00E25669"/>
    <w:rsid w:val="00E26C10"/>
    <w:rsid w:val="00E26DA9"/>
    <w:rsid w:val="00E313EF"/>
    <w:rsid w:val="00E33CEB"/>
    <w:rsid w:val="00E33FEE"/>
    <w:rsid w:val="00E3458F"/>
    <w:rsid w:val="00E35CB0"/>
    <w:rsid w:val="00E41593"/>
    <w:rsid w:val="00E41B12"/>
    <w:rsid w:val="00E432C6"/>
    <w:rsid w:val="00E453D5"/>
    <w:rsid w:val="00E5005D"/>
    <w:rsid w:val="00E51548"/>
    <w:rsid w:val="00E52CA8"/>
    <w:rsid w:val="00E53BCA"/>
    <w:rsid w:val="00E5431F"/>
    <w:rsid w:val="00E551D4"/>
    <w:rsid w:val="00E61A33"/>
    <w:rsid w:val="00E61A4A"/>
    <w:rsid w:val="00E62279"/>
    <w:rsid w:val="00E6252F"/>
    <w:rsid w:val="00E62E95"/>
    <w:rsid w:val="00E63690"/>
    <w:rsid w:val="00E65A31"/>
    <w:rsid w:val="00E66A86"/>
    <w:rsid w:val="00E75338"/>
    <w:rsid w:val="00E77DFF"/>
    <w:rsid w:val="00E8123B"/>
    <w:rsid w:val="00E81B79"/>
    <w:rsid w:val="00E8248D"/>
    <w:rsid w:val="00E82883"/>
    <w:rsid w:val="00E83727"/>
    <w:rsid w:val="00E856CE"/>
    <w:rsid w:val="00E85EC2"/>
    <w:rsid w:val="00E8646A"/>
    <w:rsid w:val="00E86833"/>
    <w:rsid w:val="00E87624"/>
    <w:rsid w:val="00E87C07"/>
    <w:rsid w:val="00E900D4"/>
    <w:rsid w:val="00E913BA"/>
    <w:rsid w:val="00E91C38"/>
    <w:rsid w:val="00E9372B"/>
    <w:rsid w:val="00E958F3"/>
    <w:rsid w:val="00EA2A68"/>
    <w:rsid w:val="00EA563D"/>
    <w:rsid w:val="00EA56D0"/>
    <w:rsid w:val="00EB0A3B"/>
    <w:rsid w:val="00EB107D"/>
    <w:rsid w:val="00EB2BB1"/>
    <w:rsid w:val="00EB4E35"/>
    <w:rsid w:val="00EB7C0A"/>
    <w:rsid w:val="00EC067E"/>
    <w:rsid w:val="00EC12AC"/>
    <w:rsid w:val="00ED382B"/>
    <w:rsid w:val="00ED38C0"/>
    <w:rsid w:val="00ED76F6"/>
    <w:rsid w:val="00ED7FB9"/>
    <w:rsid w:val="00EE148A"/>
    <w:rsid w:val="00EE1CA4"/>
    <w:rsid w:val="00EE2D4E"/>
    <w:rsid w:val="00EE4383"/>
    <w:rsid w:val="00EE4F4C"/>
    <w:rsid w:val="00EE63EB"/>
    <w:rsid w:val="00EE64D6"/>
    <w:rsid w:val="00EF0DE9"/>
    <w:rsid w:val="00EF2231"/>
    <w:rsid w:val="00EF4AB8"/>
    <w:rsid w:val="00EF4CA6"/>
    <w:rsid w:val="00EF65D3"/>
    <w:rsid w:val="00EF6C5E"/>
    <w:rsid w:val="00F009DD"/>
    <w:rsid w:val="00F020CD"/>
    <w:rsid w:val="00F03950"/>
    <w:rsid w:val="00F03BE7"/>
    <w:rsid w:val="00F071B1"/>
    <w:rsid w:val="00F12652"/>
    <w:rsid w:val="00F128BC"/>
    <w:rsid w:val="00F12FDB"/>
    <w:rsid w:val="00F20FC7"/>
    <w:rsid w:val="00F237E7"/>
    <w:rsid w:val="00F267EE"/>
    <w:rsid w:val="00F30499"/>
    <w:rsid w:val="00F30EE0"/>
    <w:rsid w:val="00F30F36"/>
    <w:rsid w:val="00F378DB"/>
    <w:rsid w:val="00F37D0F"/>
    <w:rsid w:val="00F41A4A"/>
    <w:rsid w:val="00F42A44"/>
    <w:rsid w:val="00F42BAC"/>
    <w:rsid w:val="00F42D22"/>
    <w:rsid w:val="00F439CA"/>
    <w:rsid w:val="00F46017"/>
    <w:rsid w:val="00F462CC"/>
    <w:rsid w:val="00F464CC"/>
    <w:rsid w:val="00F51274"/>
    <w:rsid w:val="00F52519"/>
    <w:rsid w:val="00F60AF0"/>
    <w:rsid w:val="00F62CB4"/>
    <w:rsid w:val="00F631E9"/>
    <w:rsid w:val="00F642C8"/>
    <w:rsid w:val="00F64921"/>
    <w:rsid w:val="00F653B7"/>
    <w:rsid w:val="00F70976"/>
    <w:rsid w:val="00F74FF7"/>
    <w:rsid w:val="00F75AA3"/>
    <w:rsid w:val="00F76072"/>
    <w:rsid w:val="00F81B1D"/>
    <w:rsid w:val="00F82F86"/>
    <w:rsid w:val="00F84C46"/>
    <w:rsid w:val="00F84D67"/>
    <w:rsid w:val="00F84E94"/>
    <w:rsid w:val="00F85A9C"/>
    <w:rsid w:val="00F90665"/>
    <w:rsid w:val="00F928C1"/>
    <w:rsid w:val="00F964A1"/>
    <w:rsid w:val="00FA007E"/>
    <w:rsid w:val="00FA21C7"/>
    <w:rsid w:val="00FA306D"/>
    <w:rsid w:val="00FA5472"/>
    <w:rsid w:val="00FA5CC0"/>
    <w:rsid w:val="00FB27C9"/>
    <w:rsid w:val="00FB3832"/>
    <w:rsid w:val="00FB49BF"/>
    <w:rsid w:val="00FB4AD1"/>
    <w:rsid w:val="00FC05C6"/>
    <w:rsid w:val="00FC1976"/>
    <w:rsid w:val="00FC39CB"/>
    <w:rsid w:val="00FC4EA2"/>
    <w:rsid w:val="00FC53FD"/>
    <w:rsid w:val="00FC6619"/>
    <w:rsid w:val="00FC6A14"/>
    <w:rsid w:val="00FC6E9F"/>
    <w:rsid w:val="00FC7831"/>
    <w:rsid w:val="00FC7F33"/>
    <w:rsid w:val="00FE1739"/>
    <w:rsid w:val="00FE54E8"/>
    <w:rsid w:val="00FE6206"/>
    <w:rsid w:val="00FE6D88"/>
    <w:rsid w:val="00FF0359"/>
    <w:rsid w:val="00FF0421"/>
    <w:rsid w:val="00FF07F6"/>
    <w:rsid w:val="00FF0C7C"/>
    <w:rsid w:val="00FF1C4D"/>
    <w:rsid w:val="00FF23CE"/>
    <w:rsid w:val="00FF5954"/>
    <w:rsid w:val="00FF5C77"/>
    <w:rsid w:val="00FF66B6"/>
    <w:rsid w:val="00FF7F6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7206"/>
  <w15:docId w15:val="{FA009133-822A-47F1-8B10-B2A5E8D9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6808"/>
    <w:pPr>
      <w:spacing w:after="240"/>
      <w:ind w:left="567"/>
    </w:pPr>
    <w:rPr>
      <w:rFonts w:ascii="Arial" w:hAnsi="Arial"/>
      <w:sz w:val="24"/>
    </w:rPr>
  </w:style>
  <w:style w:type="paragraph" w:styleId="Heading1">
    <w:name w:val="heading 1"/>
    <w:basedOn w:val="Normal"/>
    <w:uiPriority w:val="9"/>
    <w:qFormat/>
    <w:pPr>
      <w:spacing w:before="187"/>
      <w:ind w:left="100"/>
      <w:outlineLvl w:val="0"/>
    </w:pPr>
    <w:rPr>
      <w:rFonts w:eastAsia="Arial"/>
      <w:b/>
      <w:bCs/>
      <w:sz w:val="26"/>
      <w:szCs w:val="26"/>
    </w:rPr>
  </w:style>
  <w:style w:type="paragraph" w:styleId="Heading2">
    <w:name w:val="heading 2"/>
    <w:basedOn w:val="Normal"/>
    <w:link w:val="Heading2Char"/>
    <w:uiPriority w:val="9"/>
    <w:qFormat/>
    <w:pPr>
      <w:ind w:left="686" w:hanging="566"/>
      <w:outlineLvl w:val="1"/>
    </w:pPr>
    <w:rPr>
      <w:rFonts w:eastAsia="Arial"/>
      <w:b/>
      <w:bCs/>
      <w:sz w:val="23"/>
      <w:szCs w:val="23"/>
    </w:rPr>
  </w:style>
  <w:style w:type="paragraph" w:styleId="Heading3">
    <w:name w:val="heading 3"/>
    <w:basedOn w:val="Normal"/>
    <w:uiPriority w:val="1"/>
    <w:qFormat/>
    <w:rsid w:val="00C4645E"/>
    <w:pPr>
      <w:numPr>
        <w:numId w:val="22"/>
      </w:numPr>
      <w:spacing w:before="120" w:after="120"/>
      <w:outlineLvl w:val="2"/>
    </w:pPr>
    <w:rPr>
      <w:rFonts w:eastAsia="Arial"/>
      <w:bCs/>
      <w:szCs w:val="23"/>
    </w:rPr>
  </w:style>
  <w:style w:type="paragraph" w:styleId="Heading4">
    <w:name w:val="heading 4"/>
    <w:basedOn w:val="Normal"/>
    <w:next w:val="Normal"/>
    <w:link w:val="Heading4Char"/>
    <w:uiPriority w:val="9"/>
    <w:unhideWhenUsed/>
    <w:qFormat/>
    <w:rsid w:val="001E7FAF"/>
    <w:pPr>
      <w:keepNext/>
      <w:keepLines/>
      <w:widowControl/>
      <w:numPr>
        <w:numId w:val="23"/>
      </w:numPr>
      <w:spacing w:after="120"/>
      <w:jc w:val="both"/>
      <w:outlineLvl w:val="3"/>
    </w:pPr>
    <w:rPr>
      <w:rFonts w:eastAsiaTheme="majorEastAsia" w:cstheme="majorBidi"/>
      <w:iCs/>
      <w:color w:val="000000" w:themeColor="text1"/>
      <w:szCs w:val="24"/>
      <w:lang w:val="en-AU"/>
    </w:rPr>
  </w:style>
  <w:style w:type="paragraph" w:styleId="Heading5">
    <w:name w:val="heading 5"/>
    <w:basedOn w:val="Normal"/>
    <w:next w:val="Normal"/>
    <w:link w:val="Heading5Char"/>
    <w:uiPriority w:val="9"/>
    <w:unhideWhenUsed/>
    <w:qFormat/>
    <w:rsid w:val="00F020CD"/>
    <w:pPr>
      <w:keepNext/>
      <w:keepLines/>
      <w:widowControl/>
      <w:spacing w:before="40"/>
      <w:ind w:left="3046" w:hanging="1008"/>
      <w:outlineLvl w:val="4"/>
    </w:pPr>
    <w:rPr>
      <w:rFonts w:asciiTheme="majorHAnsi" w:eastAsiaTheme="majorEastAsia" w:hAnsiTheme="majorHAnsi" w:cstheme="majorBidi"/>
      <w:color w:val="365F91" w:themeColor="accent1" w:themeShade="BF"/>
      <w:szCs w:val="24"/>
      <w:lang w:val="en-AU"/>
    </w:rPr>
  </w:style>
  <w:style w:type="paragraph" w:styleId="Heading6">
    <w:name w:val="heading 6"/>
    <w:basedOn w:val="Normal"/>
    <w:next w:val="Normal"/>
    <w:link w:val="Heading6Char"/>
    <w:uiPriority w:val="9"/>
    <w:unhideWhenUsed/>
    <w:qFormat/>
    <w:rsid w:val="00F020CD"/>
    <w:pPr>
      <w:keepNext/>
      <w:keepLines/>
      <w:widowControl/>
      <w:spacing w:before="40"/>
      <w:ind w:left="3190" w:hanging="1152"/>
      <w:outlineLvl w:val="5"/>
    </w:pPr>
    <w:rPr>
      <w:rFonts w:asciiTheme="majorHAnsi" w:eastAsiaTheme="majorEastAsia" w:hAnsiTheme="majorHAnsi" w:cstheme="majorBidi"/>
      <w:color w:val="243F60" w:themeColor="accent1" w:themeShade="7F"/>
      <w:szCs w:val="24"/>
      <w:lang w:val="en-AU"/>
    </w:rPr>
  </w:style>
  <w:style w:type="paragraph" w:styleId="Heading7">
    <w:name w:val="heading 7"/>
    <w:basedOn w:val="Normal"/>
    <w:next w:val="Normal"/>
    <w:link w:val="Heading7Char"/>
    <w:uiPriority w:val="9"/>
    <w:unhideWhenUsed/>
    <w:qFormat/>
    <w:rsid w:val="00F020CD"/>
    <w:pPr>
      <w:keepNext/>
      <w:keepLines/>
      <w:widowControl/>
      <w:spacing w:before="40"/>
      <w:ind w:left="3334" w:hanging="1296"/>
      <w:outlineLvl w:val="6"/>
    </w:pPr>
    <w:rPr>
      <w:rFonts w:asciiTheme="majorHAnsi" w:eastAsiaTheme="majorEastAsia" w:hAnsiTheme="majorHAnsi" w:cstheme="majorBidi"/>
      <w:i/>
      <w:iCs/>
      <w:color w:val="243F60" w:themeColor="accent1" w:themeShade="7F"/>
      <w:szCs w:val="24"/>
      <w:lang w:val="en-AU"/>
    </w:rPr>
  </w:style>
  <w:style w:type="paragraph" w:styleId="Heading8">
    <w:name w:val="heading 8"/>
    <w:basedOn w:val="Normal"/>
    <w:next w:val="Normal"/>
    <w:link w:val="Heading8Char"/>
    <w:uiPriority w:val="9"/>
    <w:semiHidden/>
    <w:unhideWhenUsed/>
    <w:qFormat/>
    <w:rsid w:val="00F020CD"/>
    <w:pPr>
      <w:keepNext/>
      <w:keepLines/>
      <w:widowControl/>
      <w:spacing w:before="40"/>
      <w:ind w:left="3478" w:hanging="1440"/>
      <w:outlineLvl w:val="7"/>
    </w:pPr>
    <w:rPr>
      <w:rFonts w:asciiTheme="majorHAnsi" w:eastAsiaTheme="majorEastAsia" w:hAnsiTheme="majorHAnsi" w:cstheme="majorBidi"/>
      <w:color w:val="272727" w:themeColor="text1" w:themeTint="D8"/>
      <w:sz w:val="21"/>
      <w:szCs w:val="21"/>
      <w:lang w:val="en-AU"/>
    </w:rPr>
  </w:style>
  <w:style w:type="paragraph" w:styleId="Heading9">
    <w:name w:val="heading 9"/>
    <w:basedOn w:val="Normal"/>
    <w:next w:val="Normal"/>
    <w:link w:val="Heading9Char"/>
    <w:uiPriority w:val="9"/>
    <w:semiHidden/>
    <w:unhideWhenUsed/>
    <w:qFormat/>
    <w:rsid w:val="00F020CD"/>
    <w:pPr>
      <w:keepNext/>
      <w:keepLines/>
      <w:widowControl/>
      <w:spacing w:before="40"/>
      <w:ind w:left="3622" w:hanging="1584"/>
      <w:outlineLvl w:val="8"/>
    </w:pPr>
    <w:rPr>
      <w:rFonts w:asciiTheme="majorHAnsi" w:eastAsiaTheme="majorEastAsia" w:hAnsiTheme="majorHAnsi" w:cstheme="majorBidi"/>
      <w:i/>
      <w:iCs/>
      <w:color w:val="272727" w:themeColor="text1" w:themeTint="D8"/>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2"/>
      <w:ind w:left="383" w:hanging="283"/>
    </w:pPr>
    <w:rPr>
      <w:rFonts w:eastAsia="Arial"/>
      <w:b/>
      <w:bCs/>
      <w:sz w:val="23"/>
      <w:szCs w:val="23"/>
    </w:rPr>
  </w:style>
  <w:style w:type="paragraph" w:styleId="TOC2">
    <w:name w:val="toc 2"/>
    <w:basedOn w:val="Normal"/>
    <w:uiPriority w:val="39"/>
    <w:qFormat/>
    <w:pPr>
      <w:spacing w:before="232"/>
      <w:ind w:left="383"/>
    </w:pPr>
    <w:rPr>
      <w:rFonts w:eastAsia="Arial"/>
      <w:i/>
      <w:sz w:val="23"/>
      <w:szCs w:val="23"/>
    </w:rPr>
  </w:style>
  <w:style w:type="paragraph" w:styleId="BodyText">
    <w:name w:val="Body Text"/>
    <w:basedOn w:val="Normal"/>
    <w:uiPriority w:val="1"/>
    <w:qFormat/>
    <w:pPr>
      <w:ind w:left="686" w:hanging="566"/>
    </w:pPr>
    <w:rPr>
      <w:rFonts w:eastAsia="Arial"/>
      <w:sz w:val="23"/>
      <w:szCs w:val="23"/>
    </w:rPr>
  </w:style>
  <w:style w:type="paragraph" w:styleId="ListParagraph">
    <w:name w:val="List Paragraph"/>
    <w:aliases w:val="Indent Paragraph,Grey Bullet List,Grey Bullet Style,References,Riana Table Bullets 1,List Paragraph 1,NUMBERED PARAGRAPH,List Paragraph (numbered (a)),Use Case List Paragraph,ReferencesCxSpLast,lp1,Figures,Table of contents numbered"/>
    <w:basedOn w:val="Normal"/>
    <w:link w:val="ListParagraphChar"/>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0139"/>
    <w:pPr>
      <w:tabs>
        <w:tab w:val="center" w:pos="4513"/>
        <w:tab w:val="right" w:pos="9026"/>
      </w:tabs>
    </w:pPr>
  </w:style>
  <w:style w:type="character" w:customStyle="1" w:styleId="HeaderChar">
    <w:name w:val="Header Char"/>
    <w:basedOn w:val="DefaultParagraphFont"/>
    <w:link w:val="Header"/>
    <w:uiPriority w:val="99"/>
    <w:rsid w:val="00750139"/>
  </w:style>
  <w:style w:type="paragraph" w:styleId="Footer">
    <w:name w:val="footer"/>
    <w:basedOn w:val="Normal"/>
    <w:link w:val="FooterChar"/>
    <w:uiPriority w:val="99"/>
    <w:unhideWhenUsed/>
    <w:rsid w:val="00750139"/>
    <w:pPr>
      <w:tabs>
        <w:tab w:val="center" w:pos="4513"/>
        <w:tab w:val="right" w:pos="9026"/>
      </w:tabs>
    </w:pPr>
  </w:style>
  <w:style w:type="character" w:customStyle="1" w:styleId="FooterChar">
    <w:name w:val="Footer Char"/>
    <w:basedOn w:val="DefaultParagraphFont"/>
    <w:link w:val="Footer"/>
    <w:uiPriority w:val="99"/>
    <w:rsid w:val="00750139"/>
  </w:style>
  <w:style w:type="paragraph" w:styleId="FootnoteText">
    <w:name w:val="footnote text"/>
    <w:basedOn w:val="Normal"/>
    <w:link w:val="FootnoteTextChar"/>
    <w:uiPriority w:val="99"/>
    <w:semiHidden/>
    <w:unhideWhenUsed/>
    <w:rsid w:val="00750139"/>
    <w:rPr>
      <w:sz w:val="20"/>
      <w:szCs w:val="20"/>
    </w:rPr>
  </w:style>
  <w:style w:type="character" w:customStyle="1" w:styleId="FootnoteTextChar">
    <w:name w:val="Footnote Text Char"/>
    <w:basedOn w:val="DefaultParagraphFont"/>
    <w:link w:val="FootnoteText"/>
    <w:uiPriority w:val="99"/>
    <w:semiHidden/>
    <w:rsid w:val="00750139"/>
    <w:rPr>
      <w:sz w:val="20"/>
      <w:szCs w:val="20"/>
    </w:rPr>
  </w:style>
  <w:style w:type="character" w:styleId="FootnoteReference">
    <w:name w:val="footnote reference"/>
    <w:basedOn w:val="DefaultParagraphFont"/>
    <w:uiPriority w:val="99"/>
    <w:unhideWhenUsed/>
    <w:rsid w:val="00750139"/>
    <w:rPr>
      <w:vertAlign w:val="superscript"/>
    </w:rPr>
  </w:style>
  <w:style w:type="paragraph" w:styleId="TOCHeading">
    <w:name w:val="TOC Heading"/>
    <w:basedOn w:val="Heading1"/>
    <w:next w:val="Normal"/>
    <w:uiPriority w:val="39"/>
    <w:unhideWhenUsed/>
    <w:qFormat/>
    <w:rsid w:val="00650A6C"/>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650A6C"/>
    <w:pPr>
      <w:spacing w:after="100"/>
      <w:ind w:left="440"/>
    </w:pPr>
  </w:style>
  <w:style w:type="character" w:styleId="Hyperlink">
    <w:name w:val="Hyperlink"/>
    <w:basedOn w:val="DefaultParagraphFont"/>
    <w:uiPriority w:val="99"/>
    <w:unhideWhenUsed/>
    <w:rsid w:val="00650A6C"/>
    <w:rPr>
      <w:color w:val="0000FF" w:themeColor="hyperlink"/>
      <w:u w:val="single"/>
    </w:rPr>
  </w:style>
  <w:style w:type="paragraph" w:styleId="Revision">
    <w:name w:val="Revision"/>
    <w:hidden/>
    <w:uiPriority w:val="99"/>
    <w:semiHidden/>
    <w:rsid w:val="00E6252F"/>
    <w:pPr>
      <w:widowControl/>
    </w:pPr>
  </w:style>
  <w:style w:type="character" w:styleId="CommentReference">
    <w:name w:val="annotation reference"/>
    <w:basedOn w:val="DefaultParagraphFont"/>
    <w:uiPriority w:val="99"/>
    <w:semiHidden/>
    <w:unhideWhenUsed/>
    <w:rsid w:val="00977B68"/>
    <w:rPr>
      <w:sz w:val="16"/>
      <w:szCs w:val="16"/>
    </w:rPr>
  </w:style>
  <w:style w:type="paragraph" w:styleId="CommentText">
    <w:name w:val="annotation text"/>
    <w:basedOn w:val="Normal"/>
    <w:link w:val="CommentTextChar"/>
    <w:uiPriority w:val="99"/>
    <w:unhideWhenUsed/>
    <w:rsid w:val="00977B68"/>
    <w:rPr>
      <w:sz w:val="20"/>
      <w:szCs w:val="20"/>
    </w:rPr>
  </w:style>
  <w:style w:type="character" w:customStyle="1" w:styleId="CommentTextChar">
    <w:name w:val="Comment Text Char"/>
    <w:basedOn w:val="DefaultParagraphFont"/>
    <w:link w:val="CommentText"/>
    <w:uiPriority w:val="99"/>
    <w:rsid w:val="00977B68"/>
    <w:rPr>
      <w:sz w:val="20"/>
      <w:szCs w:val="20"/>
    </w:rPr>
  </w:style>
  <w:style w:type="paragraph" w:styleId="CommentSubject">
    <w:name w:val="annotation subject"/>
    <w:basedOn w:val="CommentText"/>
    <w:next w:val="CommentText"/>
    <w:link w:val="CommentSubjectChar"/>
    <w:uiPriority w:val="99"/>
    <w:semiHidden/>
    <w:unhideWhenUsed/>
    <w:rsid w:val="00977B68"/>
    <w:rPr>
      <w:b/>
      <w:bCs/>
    </w:rPr>
  </w:style>
  <w:style w:type="character" w:customStyle="1" w:styleId="CommentSubjectChar">
    <w:name w:val="Comment Subject Char"/>
    <w:basedOn w:val="CommentTextChar"/>
    <w:link w:val="CommentSubject"/>
    <w:uiPriority w:val="99"/>
    <w:semiHidden/>
    <w:rsid w:val="00977B68"/>
    <w:rPr>
      <w:b/>
      <w:bCs/>
      <w:sz w:val="20"/>
      <w:szCs w:val="20"/>
    </w:rPr>
  </w:style>
  <w:style w:type="paragraph" w:styleId="NoSpacing">
    <w:name w:val="No Spacing"/>
    <w:link w:val="NoSpacingChar"/>
    <w:uiPriority w:val="1"/>
    <w:qFormat/>
    <w:rsid w:val="00515925"/>
  </w:style>
  <w:style w:type="character" w:customStyle="1" w:styleId="Heading4Char">
    <w:name w:val="Heading 4 Char"/>
    <w:basedOn w:val="DefaultParagraphFont"/>
    <w:link w:val="Heading4"/>
    <w:uiPriority w:val="9"/>
    <w:rsid w:val="001E7FAF"/>
    <w:rPr>
      <w:rFonts w:ascii="Arial" w:eastAsiaTheme="majorEastAsia" w:hAnsi="Arial" w:cstheme="majorBidi"/>
      <w:iCs/>
      <w:color w:val="000000" w:themeColor="text1"/>
      <w:sz w:val="24"/>
      <w:szCs w:val="24"/>
      <w:lang w:val="en-AU"/>
    </w:rPr>
  </w:style>
  <w:style w:type="character" w:customStyle="1" w:styleId="Heading5Char">
    <w:name w:val="Heading 5 Char"/>
    <w:basedOn w:val="DefaultParagraphFont"/>
    <w:link w:val="Heading5"/>
    <w:uiPriority w:val="9"/>
    <w:rsid w:val="00F020CD"/>
    <w:rPr>
      <w:rFonts w:asciiTheme="majorHAnsi" w:eastAsiaTheme="majorEastAsia" w:hAnsiTheme="majorHAnsi" w:cstheme="majorBidi"/>
      <w:color w:val="365F91" w:themeColor="accent1" w:themeShade="BF"/>
      <w:sz w:val="24"/>
      <w:szCs w:val="24"/>
      <w:lang w:val="en-AU"/>
    </w:rPr>
  </w:style>
  <w:style w:type="character" w:customStyle="1" w:styleId="Heading6Char">
    <w:name w:val="Heading 6 Char"/>
    <w:basedOn w:val="DefaultParagraphFont"/>
    <w:link w:val="Heading6"/>
    <w:uiPriority w:val="9"/>
    <w:semiHidden/>
    <w:rsid w:val="00F020CD"/>
    <w:rPr>
      <w:rFonts w:asciiTheme="majorHAnsi" w:eastAsiaTheme="majorEastAsia" w:hAnsiTheme="majorHAnsi" w:cstheme="majorBidi"/>
      <w:color w:val="243F60" w:themeColor="accent1" w:themeShade="7F"/>
      <w:sz w:val="24"/>
      <w:szCs w:val="24"/>
      <w:lang w:val="en-AU"/>
    </w:rPr>
  </w:style>
  <w:style w:type="character" w:customStyle="1" w:styleId="Heading7Char">
    <w:name w:val="Heading 7 Char"/>
    <w:basedOn w:val="DefaultParagraphFont"/>
    <w:link w:val="Heading7"/>
    <w:uiPriority w:val="9"/>
    <w:semiHidden/>
    <w:rsid w:val="00F020CD"/>
    <w:rPr>
      <w:rFonts w:asciiTheme="majorHAnsi" w:eastAsiaTheme="majorEastAsia" w:hAnsiTheme="majorHAnsi" w:cstheme="majorBidi"/>
      <w:i/>
      <w:iCs/>
      <w:color w:val="243F60" w:themeColor="accent1" w:themeShade="7F"/>
      <w:sz w:val="24"/>
      <w:szCs w:val="24"/>
      <w:lang w:val="en-AU"/>
    </w:rPr>
  </w:style>
  <w:style w:type="character" w:customStyle="1" w:styleId="Heading8Char">
    <w:name w:val="Heading 8 Char"/>
    <w:basedOn w:val="DefaultParagraphFont"/>
    <w:link w:val="Heading8"/>
    <w:uiPriority w:val="9"/>
    <w:semiHidden/>
    <w:rsid w:val="00F020CD"/>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F020CD"/>
    <w:rPr>
      <w:rFonts w:asciiTheme="majorHAnsi" w:eastAsiaTheme="majorEastAsia" w:hAnsiTheme="majorHAnsi" w:cstheme="majorBidi"/>
      <w:i/>
      <w:iCs/>
      <w:color w:val="272727" w:themeColor="text1" w:themeTint="D8"/>
      <w:sz w:val="21"/>
      <w:szCs w:val="21"/>
      <w:lang w:val="en-AU"/>
    </w:rPr>
  </w:style>
  <w:style w:type="character" w:customStyle="1" w:styleId="Heading2Char">
    <w:name w:val="Heading 2 Char"/>
    <w:basedOn w:val="DefaultParagraphFont"/>
    <w:link w:val="Heading2"/>
    <w:rsid w:val="000A6066"/>
    <w:rPr>
      <w:rFonts w:ascii="Arial" w:eastAsia="Arial" w:hAnsi="Arial"/>
      <w:b/>
      <w:bCs/>
      <w:sz w:val="23"/>
      <w:szCs w:val="23"/>
    </w:rPr>
  </w:style>
  <w:style w:type="paragraph" w:customStyle="1" w:styleId="Num1">
    <w:name w:val="Num1"/>
    <w:basedOn w:val="Normal"/>
    <w:rsid w:val="00FC53FD"/>
    <w:pPr>
      <w:widowControl/>
      <w:numPr>
        <w:numId w:val="17"/>
      </w:numPr>
      <w:spacing w:before="240" w:line="360" w:lineRule="auto"/>
    </w:pPr>
    <w:rPr>
      <w:rFonts w:eastAsia="Times New Roman" w:cs="Arial"/>
      <w:b/>
      <w:szCs w:val="20"/>
      <w:u w:val="single"/>
      <w:lang w:val="en-ZA"/>
    </w:rPr>
  </w:style>
  <w:style w:type="paragraph" w:customStyle="1" w:styleId="Num2">
    <w:name w:val="Num2"/>
    <w:basedOn w:val="Num1"/>
    <w:rsid w:val="00FC53FD"/>
    <w:pPr>
      <w:numPr>
        <w:ilvl w:val="1"/>
      </w:numPr>
    </w:pPr>
    <w:rPr>
      <w:b w:val="0"/>
      <w:u w:val="none" w:color="000000"/>
    </w:rPr>
  </w:style>
  <w:style w:type="paragraph" w:customStyle="1" w:styleId="Num3">
    <w:name w:val="Num3"/>
    <w:basedOn w:val="Num2"/>
    <w:rsid w:val="00FC53FD"/>
    <w:pPr>
      <w:numPr>
        <w:ilvl w:val="2"/>
      </w:numPr>
      <w:jc w:val="both"/>
    </w:pPr>
  </w:style>
  <w:style w:type="paragraph" w:styleId="TOC6">
    <w:name w:val="toc 6"/>
    <w:basedOn w:val="Normal"/>
    <w:next w:val="Normal"/>
    <w:autoRedefine/>
    <w:uiPriority w:val="39"/>
    <w:semiHidden/>
    <w:unhideWhenUsed/>
    <w:rsid w:val="00C06808"/>
    <w:pPr>
      <w:spacing w:after="100"/>
      <w:ind w:left="1200"/>
    </w:pPr>
  </w:style>
  <w:style w:type="character" w:customStyle="1" w:styleId="ListParagraphChar">
    <w:name w:val="List Paragraph Char"/>
    <w:aliases w:val="Indent Paragraph Char,Grey Bullet List Char,Grey Bullet Style Char,References Char,Riana Table Bullets 1 Char,List Paragraph 1 Char,NUMBERED PARAGRAPH Char,List Paragraph (numbered (a)) Char,Use Case List Paragraph Char,lp1 Char"/>
    <w:basedOn w:val="DefaultParagraphFont"/>
    <w:link w:val="ListParagraph"/>
    <w:uiPriority w:val="34"/>
    <w:rsid w:val="00B11430"/>
    <w:rPr>
      <w:rFonts w:ascii="Arial" w:hAnsi="Arial"/>
      <w:sz w:val="24"/>
    </w:rPr>
  </w:style>
  <w:style w:type="character" w:customStyle="1" w:styleId="NoSpacingChar">
    <w:name w:val="No Spacing Char"/>
    <w:basedOn w:val="DefaultParagraphFont"/>
    <w:link w:val="NoSpacing"/>
    <w:uiPriority w:val="1"/>
    <w:rsid w:val="00B11430"/>
  </w:style>
  <w:style w:type="table" w:styleId="TableGrid">
    <w:name w:val="Table Grid"/>
    <w:basedOn w:val="TableNormal"/>
    <w:uiPriority w:val="59"/>
    <w:rsid w:val="00F70976"/>
    <w:pPr>
      <w:widowControl/>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976"/>
    <w:pPr>
      <w:widowControl/>
      <w:autoSpaceDE w:val="0"/>
      <w:autoSpaceDN w:val="0"/>
      <w:adjustRightInd w:val="0"/>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BB19-ED36-4A28-A1DA-9D636C03E82E}">
  <ds:schemaRefs>
    <ds:schemaRef ds:uri="http://schemas.openxmlformats.org/officeDocument/2006/bibliography"/>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359</TotalTime>
  <Pages>8</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 Bobo</dc:creator>
  <cp:lastModifiedBy>Linah Masoha</cp:lastModifiedBy>
  <cp:revision>242</cp:revision>
  <dcterms:created xsi:type="dcterms:W3CDTF">2023-02-02T06:42:00Z</dcterms:created>
  <dcterms:modified xsi:type="dcterms:W3CDTF">2023-02-28T09:28:00Z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LastSaved">
    <vt:filetime>2021-01-28T00:00:00Z</vt:filetime>
  </property>
  <property fmtid="{D5CDD505-2E9C-101B-9397-08002B2CF9AE}" pid="4" name="MSIP_Label_70c52299-74de-4dfd-b117-c9c408edfa50_Enabled">
    <vt:lpwstr>true</vt:lpwstr>
  </property>
  <property fmtid="{D5CDD505-2E9C-101B-9397-08002B2CF9AE}" pid="5" name="MSIP_Label_70c52299-74de-4dfd-b117-c9c408edfa50_SetDate">
    <vt:lpwstr>2021-11-10T13:24:40Z</vt:lpwstr>
  </property>
  <property fmtid="{D5CDD505-2E9C-101B-9397-08002B2CF9AE}" pid="6" name="MSIP_Label_70c52299-74de-4dfd-b117-c9c408edfa50_Method">
    <vt:lpwstr>Standard</vt:lpwstr>
  </property>
  <property fmtid="{D5CDD505-2E9C-101B-9397-08002B2CF9AE}" pid="7" name="MSIP_Label_70c52299-74de-4dfd-b117-c9c408edfa50_Name">
    <vt:lpwstr>Restricted</vt:lpwstr>
  </property>
  <property fmtid="{D5CDD505-2E9C-101B-9397-08002B2CF9AE}" pid="8" name="MSIP_Label_70c52299-74de-4dfd-b117-c9c408edfa50_SiteId">
    <vt:lpwstr>853cbaab-a620-4178-8933-88d76414184a</vt:lpwstr>
  </property>
  <property fmtid="{D5CDD505-2E9C-101B-9397-08002B2CF9AE}" pid="9" name="MSIP_Label_70c52299-74de-4dfd-b117-c9c408edfa50_ActionId">
    <vt:lpwstr>f00de3d0-2730-492b-ac77-bd53e0c8836e</vt:lpwstr>
  </property>
  <property fmtid="{D5CDD505-2E9C-101B-9397-08002B2CF9AE}" pid="10" name="MSIP_Label_70c52299-74de-4dfd-b117-c9c408edfa50_ContentBits">
    <vt:lpwstr>0</vt:lpwstr>
  </property>
  <property fmtid="{D5CDD505-2E9C-101B-9397-08002B2CF9AE}" pid="11" name="GrammarlyDocumentId">
    <vt:lpwstr>9649dfcadc7662d5751e5ebdbf261170ea0f0988f66c7e394064af291b110117</vt:lpwstr>
  </property>
</Properties>
</file>