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F148" w14:textId="54031F2D" w:rsidR="008F5BA2" w:rsidRDefault="008F5BA2" w:rsidP="008F5BA2">
      <w:pPr>
        <w:spacing w:after="0" w:line="240" w:lineRule="auto"/>
      </w:pPr>
      <w:bookmarkStart w:id="0" w:name="_Hlk78483604"/>
    </w:p>
    <w:p w14:paraId="5BDD062A" w14:textId="77777777" w:rsidR="008F5BA2" w:rsidRDefault="008F5BA2" w:rsidP="008F5BA2">
      <w:pPr>
        <w:spacing w:after="0" w:line="240" w:lineRule="auto"/>
      </w:pPr>
    </w:p>
    <w:p w14:paraId="7ADC87B4" w14:textId="0175C2A1" w:rsidR="00C33D2B" w:rsidRDefault="00C33D2B" w:rsidP="008F5BA2">
      <w:pPr>
        <w:spacing w:after="0" w:line="240" w:lineRule="auto"/>
        <w:jc w:val="right"/>
      </w:pPr>
      <w:r>
        <w:rPr>
          <w:noProof/>
        </w:rPr>
        <w:drawing>
          <wp:inline distT="0" distB="0" distL="0" distR="0" wp14:anchorId="267CA6D5" wp14:editId="1DB83DC8">
            <wp:extent cx="1581617" cy="1270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5115" cy="1272809"/>
                    </a:xfrm>
                    <a:prstGeom prst="rect">
                      <a:avLst/>
                    </a:prstGeom>
                    <a:noFill/>
                  </pic:spPr>
                </pic:pic>
              </a:graphicData>
            </a:graphic>
          </wp:inline>
        </w:drawing>
      </w:r>
    </w:p>
    <w:p w14:paraId="66DA93B0" w14:textId="77777777" w:rsidR="00C33D2B" w:rsidRDefault="00C33D2B" w:rsidP="008F5BA2">
      <w:pPr>
        <w:spacing w:after="0" w:line="240" w:lineRule="auto"/>
        <w:jc w:val="right"/>
      </w:pPr>
    </w:p>
    <w:p w14:paraId="1C6011CA" w14:textId="77777777" w:rsidR="00C33D2B" w:rsidRDefault="00C33D2B" w:rsidP="008F5BA2">
      <w:pPr>
        <w:spacing w:after="0" w:line="240" w:lineRule="auto"/>
        <w:jc w:val="right"/>
      </w:pPr>
    </w:p>
    <w:p w14:paraId="3F5A6629" w14:textId="77777777" w:rsidR="00C33D2B" w:rsidRDefault="00C33D2B" w:rsidP="008F5BA2">
      <w:pPr>
        <w:spacing w:after="0" w:line="240" w:lineRule="auto"/>
        <w:jc w:val="right"/>
      </w:pPr>
    </w:p>
    <w:p w14:paraId="582258EF" w14:textId="77777777" w:rsidR="00C33D2B" w:rsidRDefault="00C33D2B" w:rsidP="008F5BA2">
      <w:pPr>
        <w:spacing w:after="0" w:line="240" w:lineRule="auto"/>
        <w:jc w:val="right"/>
      </w:pPr>
    </w:p>
    <w:p w14:paraId="6BBCDCE4" w14:textId="77777777" w:rsidR="00C33D2B" w:rsidRDefault="00C33D2B" w:rsidP="008F5BA2">
      <w:pPr>
        <w:spacing w:after="0" w:line="240" w:lineRule="auto"/>
        <w:jc w:val="right"/>
      </w:pPr>
    </w:p>
    <w:p w14:paraId="24B1E661" w14:textId="77777777" w:rsidR="00C33D2B" w:rsidRDefault="00C33D2B" w:rsidP="008F5BA2">
      <w:pPr>
        <w:spacing w:after="0" w:line="240" w:lineRule="auto"/>
        <w:jc w:val="right"/>
      </w:pPr>
    </w:p>
    <w:p w14:paraId="43C90E1A" w14:textId="5A30607C" w:rsidR="00C33D2B" w:rsidRPr="00B60AF7" w:rsidRDefault="00077564" w:rsidP="004357CB">
      <w:pPr>
        <w:spacing w:after="0" w:line="240" w:lineRule="auto"/>
        <w:jc w:val="center"/>
        <w:rPr>
          <w:rFonts w:ascii="Arial" w:hAnsi="Arial" w:cs="Arial"/>
          <w:b/>
          <w:bCs/>
          <w:sz w:val="72"/>
          <w:szCs w:val="72"/>
        </w:rPr>
      </w:pPr>
      <w:r>
        <w:rPr>
          <w:rFonts w:ascii="Arial" w:hAnsi="Arial" w:cs="Arial"/>
          <w:b/>
          <w:bCs/>
          <w:sz w:val="72"/>
          <w:szCs w:val="72"/>
        </w:rPr>
        <w:t>Prudential</w:t>
      </w:r>
      <w:r w:rsidR="00C33D2B" w:rsidRPr="00B60AF7">
        <w:rPr>
          <w:rFonts w:ascii="Arial" w:hAnsi="Arial" w:cs="Arial"/>
          <w:b/>
          <w:bCs/>
          <w:sz w:val="72"/>
          <w:szCs w:val="72"/>
        </w:rPr>
        <w:t xml:space="preserve"> Standard: </w:t>
      </w:r>
      <w:r>
        <w:rPr>
          <w:rFonts w:ascii="Arial" w:hAnsi="Arial" w:cs="Arial"/>
          <w:b/>
          <w:bCs/>
          <w:sz w:val="72"/>
          <w:szCs w:val="72"/>
        </w:rPr>
        <w:t>Transfer of assets and liabilities of a designated institution in resolution</w:t>
      </w:r>
    </w:p>
    <w:p w14:paraId="0AE701A9" w14:textId="77777777" w:rsidR="008C4CC3" w:rsidRDefault="008C4CC3" w:rsidP="004357CB">
      <w:pPr>
        <w:spacing w:after="0" w:line="240" w:lineRule="auto"/>
        <w:jc w:val="center"/>
        <w:rPr>
          <w:rFonts w:ascii="Arial" w:hAnsi="Arial" w:cs="Arial"/>
          <w:b/>
          <w:bCs/>
          <w:sz w:val="72"/>
          <w:szCs w:val="72"/>
        </w:rPr>
      </w:pPr>
    </w:p>
    <w:p w14:paraId="468956E4" w14:textId="4BC976FF" w:rsidR="001D3FFE" w:rsidRPr="00B60AF7" w:rsidRDefault="001D3FFE" w:rsidP="004357CB">
      <w:pPr>
        <w:spacing w:after="0" w:line="240" w:lineRule="auto"/>
        <w:jc w:val="center"/>
        <w:rPr>
          <w:rFonts w:ascii="Arial" w:hAnsi="Arial" w:cs="Arial"/>
          <w:b/>
          <w:bCs/>
          <w:sz w:val="72"/>
          <w:szCs w:val="72"/>
        </w:rPr>
      </w:pPr>
      <w:r w:rsidRPr="00B60AF7">
        <w:rPr>
          <w:rFonts w:ascii="Arial" w:hAnsi="Arial" w:cs="Arial"/>
          <w:b/>
          <w:bCs/>
          <w:sz w:val="72"/>
          <w:szCs w:val="72"/>
        </w:rPr>
        <w:t>Consultation Report</w:t>
      </w:r>
    </w:p>
    <w:p w14:paraId="091D67A6" w14:textId="59264FBA" w:rsidR="00C33D2B" w:rsidRDefault="00C33D2B" w:rsidP="004357CB">
      <w:pPr>
        <w:spacing w:after="0" w:line="240" w:lineRule="auto"/>
        <w:jc w:val="center"/>
        <w:rPr>
          <w:rFonts w:ascii="Arial" w:hAnsi="Arial" w:cs="Arial"/>
          <w:b/>
          <w:bCs/>
          <w:sz w:val="72"/>
          <w:szCs w:val="72"/>
        </w:rPr>
      </w:pPr>
    </w:p>
    <w:p w14:paraId="2DCD7B65" w14:textId="5C477FEC" w:rsidR="008C4CC3" w:rsidRPr="001D3FFE" w:rsidRDefault="00077564" w:rsidP="004357CB">
      <w:pPr>
        <w:spacing w:after="0" w:line="240" w:lineRule="auto"/>
        <w:jc w:val="center"/>
        <w:rPr>
          <w:rFonts w:ascii="Arial" w:hAnsi="Arial" w:cs="Arial"/>
          <w:sz w:val="72"/>
          <w:szCs w:val="72"/>
        </w:rPr>
      </w:pPr>
      <w:r>
        <w:rPr>
          <w:rFonts w:ascii="Arial" w:hAnsi="Arial" w:cs="Arial"/>
          <w:b/>
          <w:bCs/>
          <w:sz w:val="72"/>
          <w:szCs w:val="72"/>
        </w:rPr>
        <w:t>February</w:t>
      </w:r>
      <w:r w:rsidR="008C4CC3">
        <w:rPr>
          <w:rFonts w:ascii="Arial" w:hAnsi="Arial" w:cs="Arial"/>
          <w:b/>
          <w:bCs/>
          <w:sz w:val="72"/>
          <w:szCs w:val="72"/>
        </w:rPr>
        <w:t xml:space="preserve"> 202</w:t>
      </w:r>
      <w:r>
        <w:rPr>
          <w:rFonts w:ascii="Arial" w:hAnsi="Arial" w:cs="Arial"/>
          <w:b/>
          <w:bCs/>
          <w:sz w:val="72"/>
          <w:szCs w:val="72"/>
        </w:rPr>
        <w:t>3</w:t>
      </w:r>
    </w:p>
    <w:p w14:paraId="42622937" w14:textId="77777777" w:rsidR="00C33D2B" w:rsidRDefault="00C33D2B" w:rsidP="008F5BA2">
      <w:pPr>
        <w:spacing w:after="0" w:line="240" w:lineRule="auto"/>
        <w:jc w:val="right"/>
      </w:pPr>
    </w:p>
    <w:p w14:paraId="420CB0A9" w14:textId="77777777" w:rsidR="00C33D2B" w:rsidRDefault="00C33D2B" w:rsidP="008F5BA2">
      <w:pPr>
        <w:spacing w:after="0" w:line="240" w:lineRule="auto"/>
        <w:jc w:val="right"/>
      </w:pPr>
    </w:p>
    <w:p w14:paraId="2A241404" w14:textId="77777777" w:rsidR="00C33D2B" w:rsidRDefault="00C33D2B" w:rsidP="008F5BA2">
      <w:pPr>
        <w:spacing w:after="0" w:line="240" w:lineRule="auto"/>
        <w:jc w:val="right"/>
      </w:pPr>
    </w:p>
    <w:p w14:paraId="1266D275" w14:textId="77777777" w:rsidR="00C33D2B" w:rsidRDefault="00C33D2B" w:rsidP="008F5BA2">
      <w:pPr>
        <w:spacing w:after="0" w:line="240" w:lineRule="auto"/>
        <w:jc w:val="right"/>
      </w:pPr>
    </w:p>
    <w:p w14:paraId="7C27BAAE" w14:textId="77777777" w:rsidR="00C33D2B" w:rsidRDefault="00C33D2B" w:rsidP="008F5BA2">
      <w:pPr>
        <w:spacing w:after="0" w:line="240" w:lineRule="auto"/>
        <w:jc w:val="right"/>
      </w:pPr>
    </w:p>
    <w:p w14:paraId="58DD79B0" w14:textId="77777777" w:rsidR="00C33D2B" w:rsidRDefault="00C33D2B" w:rsidP="008F5BA2">
      <w:pPr>
        <w:spacing w:after="0" w:line="240" w:lineRule="auto"/>
        <w:jc w:val="right"/>
      </w:pPr>
    </w:p>
    <w:p w14:paraId="5AEB3086" w14:textId="77777777" w:rsidR="00C33D2B" w:rsidRDefault="00C33D2B" w:rsidP="008F5BA2">
      <w:pPr>
        <w:spacing w:after="0" w:line="240" w:lineRule="auto"/>
        <w:jc w:val="right"/>
      </w:pPr>
    </w:p>
    <w:p w14:paraId="2F5B7C4A" w14:textId="77777777" w:rsidR="00C33D2B" w:rsidRDefault="00C33D2B" w:rsidP="008F5BA2">
      <w:pPr>
        <w:spacing w:after="0" w:line="240" w:lineRule="auto"/>
        <w:jc w:val="right"/>
      </w:pPr>
    </w:p>
    <w:p w14:paraId="3D767B68" w14:textId="76E51B26" w:rsidR="00C33D2B" w:rsidRDefault="00C33D2B" w:rsidP="008F5BA2">
      <w:pPr>
        <w:spacing w:after="0" w:line="240" w:lineRule="auto"/>
        <w:jc w:val="right"/>
      </w:pPr>
    </w:p>
    <w:p w14:paraId="4E4F6C2D" w14:textId="57F5DF6D" w:rsidR="0086681B" w:rsidRDefault="0086681B" w:rsidP="008F5BA2">
      <w:pPr>
        <w:spacing w:after="0" w:line="240" w:lineRule="auto"/>
        <w:jc w:val="right"/>
      </w:pPr>
    </w:p>
    <w:p w14:paraId="4E52E9EB" w14:textId="5DE4C2CC" w:rsidR="0086681B" w:rsidRDefault="0086681B" w:rsidP="008F5BA2">
      <w:pPr>
        <w:spacing w:after="0" w:line="240" w:lineRule="auto"/>
        <w:jc w:val="right"/>
      </w:pPr>
    </w:p>
    <w:p w14:paraId="2C11F190" w14:textId="476CF8E7" w:rsidR="0086681B" w:rsidRDefault="0086681B" w:rsidP="008F5BA2">
      <w:pPr>
        <w:spacing w:after="0" w:line="240" w:lineRule="auto"/>
        <w:jc w:val="right"/>
      </w:pPr>
    </w:p>
    <w:p w14:paraId="3A959CB8" w14:textId="18AA20C7" w:rsidR="0086681B" w:rsidRDefault="0086681B" w:rsidP="008F5BA2">
      <w:pPr>
        <w:spacing w:after="0" w:line="240" w:lineRule="auto"/>
        <w:jc w:val="right"/>
      </w:pPr>
    </w:p>
    <w:p w14:paraId="51B83547" w14:textId="22E0CD78" w:rsidR="0086681B" w:rsidRDefault="0086681B" w:rsidP="008F5BA2">
      <w:pPr>
        <w:spacing w:after="0" w:line="240" w:lineRule="auto"/>
        <w:jc w:val="right"/>
      </w:pPr>
    </w:p>
    <w:p w14:paraId="253744EB" w14:textId="545BBA6B" w:rsidR="0086681B" w:rsidRDefault="0086681B" w:rsidP="008F5BA2">
      <w:pPr>
        <w:spacing w:after="0" w:line="240" w:lineRule="auto"/>
        <w:jc w:val="right"/>
      </w:pPr>
    </w:p>
    <w:p w14:paraId="5E0B8CE9" w14:textId="7C29B203" w:rsidR="0086681B" w:rsidRDefault="0086681B" w:rsidP="008F5BA2">
      <w:pPr>
        <w:spacing w:after="0" w:line="240" w:lineRule="auto"/>
        <w:jc w:val="right"/>
      </w:pPr>
    </w:p>
    <w:p w14:paraId="669F2874" w14:textId="02DFE4A7" w:rsidR="0086681B" w:rsidRDefault="0086681B" w:rsidP="008F5BA2">
      <w:pPr>
        <w:spacing w:after="0" w:line="240" w:lineRule="auto"/>
        <w:jc w:val="right"/>
      </w:pPr>
    </w:p>
    <w:p w14:paraId="62538D78" w14:textId="3A671448" w:rsidR="0086681B" w:rsidRDefault="0086681B" w:rsidP="008F5BA2">
      <w:pPr>
        <w:spacing w:after="0" w:line="240" w:lineRule="auto"/>
        <w:jc w:val="right"/>
      </w:pPr>
    </w:p>
    <w:p w14:paraId="1F81D6EA" w14:textId="531E90CB" w:rsidR="0086681B" w:rsidRDefault="0086681B" w:rsidP="008F5BA2">
      <w:pPr>
        <w:spacing w:after="0" w:line="240" w:lineRule="auto"/>
        <w:jc w:val="right"/>
      </w:pPr>
    </w:p>
    <w:p w14:paraId="56A5A804" w14:textId="2C2B8D5A" w:rsidR="0086681B" w:rsidRDefault="0086681B" w:rsidP="008F5BA2">
      <w:pPr>
        <w:spacing w:after="0" w:line="240" w:lineRule="auto"/>
        <w:jc w:val="right"/>
      </w:pPr>
    </w:p>
    <w:p w14:paraId="1DDA7EC1" w14:textId="623D6969" w:rsidR="0086681B" w:rsidRDefault="0086681B" w:rsidP="008F5BA2">
      <w:pPr>
        <w:spacing w:after="0" w:line="240" w:lineRule="auto"/>
        <w:jc w:val="right"/>
      </w:pPr>
    </w:p>
    <w:p w14:paraId="6901BCEE" w14:textId="02B9E3DC" w:rsidR="0086681B" w:rsidRDefault="0086681B" w:rsidP="008F5BA2">
      <w:pPr>
        <w:spacing w:after="0" w:line="240" w:lineRule="auto"/>
        <w:jc w:val="right"/>
      </w:pPr>
    </w:p>
    <w:p w14:paraId="306729E4" w14:textId="00BEE7CD" w:rsidR="0086681B" w:rsidRDefault="0086681B" w:rsidP="008F5BA2">
      <w:pPr>
        <w:spacing w:after="0" w:line="240" w:lineRule="auto"/>
        <w:jc w:val="right"/>
      </w:pPr>
    </w:p>
    <w:p w14:paraId="36CF5108" w14:textId="62B0BFE3" w:rsidR="0086681B" w:rsidRDefault="0086681B" w:rsidP="008F5BA2">
      <w:pPr>
        <w:spacing w:after="0" w:line="240" w:lineRule="auto"/>
        <w:jc w:val="right"/>
      </w:pPr>
      <w:r>
        <w:br w:type="page"/>
      </w:r>
    </w:p>
    <w:p w14:paraId="03FD83B7" w14:textId="599978A9" w:rsidR="001D2105" w:rsidRPr="00364348" w:rsidRDefault="001D2105" w:rsidP="004B610F">
      <w:pPr>
        <w:numPr>
          <w:ilvl w:val="0"/>
          <w:numId w:val="2"/>
        </w:numPr>
        <w:spacing w:after="0" w:line="240" w:lineRule="auto"/>
        <w:ind w:hanging="720"/>
        <w:jc w:val="both"/>
        <w:rPr>
          <w:rFonts w:ascii="Arial" w:hAnsi="Arial" w:cs="Arial"/>
          <w:b/>
          <w:sz w:val="24"/>
          <w:szCs w:val="28"/>
          <w:lang w:val="en-US"/>
        </w:rPr>
      </w:pPr>
      <w:bookmarkStart w:id="1" w:name="_Hlk83207777"/>
      <w:r w:rsidRPr="00364348">
        <w:rPr>
          <w:rFonts w:ascii="Arial" w:hAnsi="Arial" w:cs="Arial"/>
          <w:b/>
          <w:sz w:val="24"/>
          <w:szCs w:val="28"/>
          <w:lang w:val="en-US"/>
        </w:rPr>
        <w:lastRenderedPageBreak/>
        <w:t>Purpose</w:t>
      </w:r>
    </w:p>
    <w:p w14:paraId="6FB6C741" w14:textId="5206FCFA" w:rsidR="001D2105" w:rsidRPr="00364348" w:rsidRDefault="001D2105" w:rsidP="001D2105">
      <w:pPr>
        <w:spacing w:after="0" w:line="240" w:lineRule="auto"/>
        <w:jc w:val="both"/>
        <w:rPr>
          <w:rFonts w:ascii="Arial" w:hAnsi="Arial" w:cs="Arial"/>
          <w:b/>
          <w:sz w:val="24"/>
          <w:szCs w:val="28"/>
          <w:lang w:val="en-US"/>
        </w:rPr>
      </w:pPr>
    </w:p>
    <w:p w14:paraId="1CB22FB6" w14:textId="5FCA8767" w:rsidR="00973D5E" w:rsidRPr="00364348" w:rsidRDefault="00973D5E" w:rsidP="008A2C19">
      <w:pPr>
        <w:spacing w:after="0" w:line="240" w:lineRule="auto"/>
        <w:ind w:left="720" w:hanging="720"/>
        <w:jc w:val="both"/>
        <w:rPr>
          <w:rFonts w:ascii="Arial" w:eastAsia="Times New Roman" w:hAnsi="Arial" w:cs="Arial"/>
          <w:sz w:val="24"/>
          <w:szCs w:val="24"/>
        </w:rPr>
      </w:pPr>
      <w:r w:rsidRPr="00364348">
        <w:rPr>
          <w:rFonts w:ascii="Arial" w:hAnsi="Arial" w:cs="Arial"/>
          <w:bCs/>
          <w:sz w:val="24"/>
          <w:szCs w:val="24"/>
          <w:lang w:val="en-US"/>
        </w:rPr>
        <w:t>1.1</w:t>
      </w:r>
      <w:r w:rsidRPr="00364348">
        <w:rPr>
          <w:rFonts w:ascii="Arial" w:hAnsi="Arial" w:cs="Arial"/>
          <w:bCs/>
          <w:sz w:val="24"/>
          <w:szCs w:val="24"/>
          <w:lang w:val="en-US"/>
        </w:rPr>
        <w:tab/>
        <w:t>Section 104 of the Financial Sector Regulation Act, 2017 (Act No. 9 of 2017) (FSR Act) states that with</w:t>
      </w:r>
      <w:r w:rsidRPr="00364348">
        <w:rPr>
          <w:rFonts w:ascii="Arial" w:eastAsia="Times New Roman" w:hAnsi="Arial" w:cs="Arial"/>
          <w:sz w:val="24"/>
          <w:szCs w:val="24"/>
        </w:rPr>
        <w:t xml:space="preserve"> each regulatory instrument, the maker must publish a consultation report which must include:</w:t>
      </w:r>
    </w:p>
    <w:p w14:paraId="11F31E73" w14:textId="77777777" w:rsidR="00973D5E" w:rsidRPr="00364348" w:rsidRDefault="00973D5E" w:rsidP="00973D5E">
      <w:pPr>
        <w:spacing w:after="0" w:line="240" w:lineRule="auto"/>
        <w:ind w:left="1440" w:hanging="720"/>
        <w:rPr>
          <w:rFonts w:ascii="Arial" w:eastAsia="Times New Roman" w:hAnsi="Arial" w:cs="Arial"/>
          <w:sz w:val="24"/>
          <w:szCs w:val="24"/>
        </w:rPr>
      </w:pPr>
      <w:r w:rsidRPr="00364348">
        <w:rPr>
          <w:rFonts w:ascii="Arial" w:eastAsia="Times New Roman" w:hAnsi="Arial" w:cs="Arial"/>
          <w:sz w:val="24"/>
          <w:szCs w:val="24"/>
        </w:rPr>
        <w:t>(a)     a general account of the issues raised in the submissions made during the consultation; and</w:t>
      </w:r>
    </w:p>
    <w:p w14:paraId="5C1FFFCE" w14:textId="77777777" w:rsidR="00973D5E" w:rsidRPr="00364348" w:rsidRDefault="00973D5E" w:rsidP="00973D5E">
      <w:pPr>
        <w:spacing w:after="0" w:line="240" w:lineRule="auto"/>
        <w:ind w:left="1440" w:hanging="720"/>
        <w:rPr>
          <w:rFonts w:ascii="Arial" w:eastAsia="Times New Roman" w:hAnsi="Arial" w:cs="Arial"/>
          <w:sz w:val="24"/>
          <w:szCs w:val="24"/>
        </w:rPr>
      </w:pPr>
      <w:r w:rsidRPr="00364348">
        <w:rPr>
          <w:rFonts w:ascii="Arial" w:eastAsia="Times New Roman" w:hAnsi="Arial" w:cs="Arial"/>
          <w:sz w:val="24"/>
          <w:szCs w:val="24"/>
        </w:rPr>
        <w:t xml:space="preserve">(b)     a response to the issues raised in the submissions. </w:t>
      </w:r>
    </w:p>
    <w:p w14:paraId="0E62CD17" w14:textId="77777777" w:rsidR="00973D5E" w:rsidRPr="00364348" w:rsidRDefault="00973D5E" w:rsidP="001D2105">
      <w:pPr>
        <w:spacing w:after="0" w:line="240" w:lineRule="auto"/>
        <w:jc w:val="both"/>
        <w:rPr>
          <w:rFonts w:ascii="Arial" w:hAnsi="Arial" w:cs="Arial"/>
          <w:bCs/>
          <w:sz w:val="24"/>
          <w:szCs w:val="28"/>
          <w:lang w:val="en-US"/>
        </w:rPr>
      </w:pPr>
    </w:p>
    <w:p w14:paraId="7123E01A" w14:textId="1E7BC90E" w:rsidR="001D2105" w:rsidRPr="00364348" w:rsidRDefault="00973D5E" w:rsidP="00973D5E">
      <w:pPr>
        <w:spacing w:after="0" w:line="240" w:lineRule="auto"/>
        <w:ind w:left="720" w:hanging="720"/>
        <w:jc w:val="both"/>
        <w:rPr>
          <w:rFonts w:ascii="Arial" w:hAnsi="Arial" w:cs="Arial"/>
          <w:b/>
          <w:bCs/>
          <w:sz w:val="24"/>
          <w:szCs w:val="24"/>
        </w:rPr>
      </w:pPr>
      <w:r w:rsidRPr="00364348">
        <w:rPr>
          <w:rFonts w:ascii="Arial" w:hAnsi="Arial" w:cs="Arial"/>
          <w:bCs/>
          <w:sz w:val="24"/>
          <w:szCs w:val="28"/>
          <w:lang w:val="en-US"/>
        </w:rPr>
        <w:t>1.2</w:t>
      </w:r>
      <w:r w:rsidRPr="00364348">
        <w:rPr>
          <w:rFonts w:ascii="Arial" w:hAnsi="Arial" w:cs="Arial"/>
          <w:bCs/>
          <w:sz w:val="24"/>
          <w:szCs w:val="28"/>
          <w:lang w:val="en-US"/>
        </w:rPr>
        <w:tab/>
      </w:r>
      <w:r w:rsidR="001D2105" w:rsidRPr="00190F47">
        <w:rPr>
          <w:rFonts w:ascii="Arial" w:hAnsi="Arial" w:cs="Arial"/>
          <w:bCs/>
          <w:sz w:val="24"/>
          <w:szCs w:val="28"/>
          <w:lang w:val="en-US"/>
        </w:rPr>
        <w:t xml:space="preserve">The </w:t>
      </w:r>
      <w:r w:rsidR="001D2105" w:rsidRPr="00190F47">
        <w:rPr>
          <w:rFonts w:ascii="Arial" w:hAnsi="Arial" w:cs="Arial"/>
          <w:bCs/>
          <w:sz w:val="24"/>
          <w:szCs w:val="24"/>
          <w:lang w:val="en-US"/>
        </w:rPr>
        <w:t>purpose</w:t>
      </w:r>
      <w:r w:rsidR="001D2105" w:rsidRPr="00190F47">
        <w:rPr>
          <w:rFonts w:ascii="Arial" w:hAnsi="Arial" w:cs="Arial"/>
          <w:sz w:val="24"/>
          <w:szCs w:val="24"/>
          <w:lang w:val="en-US"/>
        </w:rPr>
        <w:t xml:space="preserve"> of this document is to set out, as required in terms of section 104 of the </w:t>
      </w:r>
      <w:r w:rsidRPr="00190F47">
        <w:rPr>
          <w:rFonts w:ascii="Arial" w:hAnsi="Arial" w:cs="Arial"/>
          <w:sz w:val="24"/>
          <w:szCs w:val="24"/>
          <w:lang w:val="en-US"/>
        </w:rPr>
        <w:t>FSR</w:t>
      </w:r>
      <w:r w:rsidR="001D2105" w:rsidRPr="00190F47">
        <w:rPr>
          <w:rFonts w:ascii="Arial" w:hAnsi="Arial" w:cs="Arial"/>
          <w:sz w:val="24"/>
          <w:szCs w:val="24"/>
          <w:lang w:val="en-US"/>
        </w:rPr>
        <w:t xml:space="preserve"> Act, a report on the consultation process undertaken in respect of the</w:t>
      </w:r>
      <w:r w:rsidR="001D2105" w:rsidRPr="00190F47">
        <w:rPr>
          <w:rFonts w:ascii="Arial" w:hAnsi="Arial" w:cs="Arial"/>
          <w:b/>
          <w:bCs/>
          <w:sz w:val="24"/>
          <w:szCs w:val="24"/>
        </w:rPr>
        <w:t xml:space="preserve"> </w:t>
      </w:r>
      <w:r w:rsidR="00503E01" w:rsidRPr="00190F47">
        <w:rPr>
          <w:rFonts w:ascii="Arial" w:hAnsi="Arial" w:cs="Arial"/>
          <w:b/>
          <w:bCs/>
          <w:sz w:val="24"/>
          <w:szCs w:val="24"/>
        </w:rPr>
        <w:t>Prudential</w:t>
      </w:r>
      <w:r w:rsidR="001D2105" w:rsidRPr="00190F47">
        <w:rPr>
          <w:rFonts w:ascii="Arial" w:hAnsi="Arial" w:cs="Arial"/>
          <w:b/>
          <w:bCs/>
          <w:sz w:val="24"/>
          <w:szCs w:val="24"/>
        </w:rPr>
        <w:t xml:space="preserve"> Standard: </w:t>
      </w:r>
      <w:r w:rsidR="00503E01" w:rsidRPr="00190F47">
        <w:rPr>
          <w:rFonts w:ascii="Arial" w:hAnsi="Arial" w:cs="Arial"/>
          <w:b/>
          <w:bCs/>
          <w:sz w:val="24"/>
          <w:szCs w:val="24"/>
        </w:rPr>
        <w:t>Transfer of assets and liabilities of a designated institution in resolution</w:t>
      </w:r>
      <w:r w:rsidR="001D2105" w:rsidRPr="00190F47">
        <w:rPr>
          <w:rFonts w:ascii="Arial" w:hAnsi="Arial" w:cs="Arial"/>
          <w:b/>
          <w:bCs/>
          <w:sz w:val="24"/>
          <w:szCs w:val="24"/>
        </w:rPr>
        <w:t>.</w:t>
      </w:r>
    </w:p>
    <w:p w14:paraId="64A39989" w14:textId="77777777" w:rsidR="001D2105" w:rsidRDefault="001D2105" w:rsidP="001D2105">
      <w:pPr>
        <w:spacing w:after="0" w:line="240" w:lineRule="auto"/>
        <w:jc w:val="both"/>
        <w:rPr>
          <w:rFonts w:ascii="Arial" w:hAnsi="Arial" w:cs="Arial"/>
          <w:b/>
          <w:szCs w:val="24"/>
          <w:lang w:val="en-US"/>
        </w:rPr>
      </w:pPr>
    </w:p>
    <w:bookmarkEnd w:id="1"/>
    <w:p w14:paraId="28547505" w14:textId="7B8CB09C" w:rsidR="00973D5E" w:rsidRPr="00364348" w:rsidRDefault="00973D5E" w:rsidP="004B610F">
      <w:pPr>
        <w:pStyle w:val="ListParagraph"/>
        <w:numPr>
          <w:ilvl w:val="0"/>
          <w:numId w:val="2"/>
        </w:numPr>
        <w:ind w:hanging="720"/>
        <w:jc w:val="both"/>
        <w:rPr>
          <w:rFonts w:ascii="Arial" w:hAnsi="Arial" w:cs="Arial"/>
          <w:b/>
          <w:bCs/>
          <w:sz w:val="24"/>
          <w:szCs w:val="24"/>
        </w:rPr>
      </w:pPr>
      <w:r w:rsidRPr="00364348">
        <w:rPr>
          <w:rFonts w:ascii="Arial" w:hAnsi="Arial" w:cs="Arial"/>
          <w:b/>
          <w:bCs/>
          <w:sz w:val="24"/>
          <w:szCs w:val="24"/>
        </w:rPr>
        <w:t>Summary of consultation process and general account of issues raised</w:t>
      </w:r>
    </w:p>
    <w:p w14:paraId="3E7B6A62" w14:textId="77777777" w:rsidR="00973D5E" w:rsidRDefault="00973D5E" w:rsidP="00025528">
      <w:pPr>
        <w:spacing w:after="0" w:line="240" w:lineRule="auto"/>
        <w:jc w:val="both"/>
        <w:rPr>
          <w:rFonts w:ascii="Arial" w:hAnsi="Arial" w:cs="Arial"/>
          <w:sz w:val="24"/>
          <w:szCs w:val="24"/>
        </w:rPr>
      </w:pPr>
    </w:p>
    <w:p w14:paraId="373DDF19" w14:textId="11ABF633" w:rsidR="00973D5E" w:rsidRPr="005A2A35" w:rsidRDefault="00973D5E" w:rsidP="00973D5E">
      <w:pPr>
        <w:spacing w:after="0" w:line="240" w:lineRule="auto"/>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r>
      <w:r w:rsidRPr="005A2A35">
        <w:rPr>
          <w:rFonts w:ascii="Arial" w:hAnsi="Arial" w:cs="Arial"/>
          <w:sz w:val="24"/>
          <w:szCs w:val="24"/>
        </w:rPr>
        <w:t xml:space="preserve">On </w:t>
      </w:r>
      <w:r w:rsidR="00190F47" w:rsidRPr="005A2A35">
        <w:rPr>
          <w:rFonts w:ascii="Arial" w:hAnsi="Arial" w:cs="Arial"/>
          <w:sz w:val="24"/>
          <w:szCs w:val="24"/>
        </w:rPr>
        <w:t>4</w:t>
      </w:r>
      <w:r w:rsidRPr="005A2A35">
        <w:rPr>
          <w:rFonts w:ascii="Arial" w:hAnsi="Arial" w:cs="Arial"/>
          <w:sz w:val="24"/>
          <w:szCs w:val="24"/>
        </w:rPr>
        <w:t xml:space="preserve"> </w:t>
      </w:r>
      <w:r w:rsidR="00190F47" w:rsidRPr="005A2A35">
        <w:rPr>
          <w:rFonts w:ascii="Arial" w:hAnsi="Arial" w:cs="Arial"/>
          <w:sz w:val="24"/>
          <w:szCs w:val="24"/>
        </w:rPr>
        <w:t>November</w:t>
      </w:r>
      <w:r w:rsidRPr="005A2A35">
        <w:rPr>
          <w:rFonts w:ascii="Arial" w:hAnsi="Arial" w:cs="Arial"/>
          <w:sz w:val="24"/>
          <w:szCs w:val="24"/>
        </w:rPr>
        <w:t xml:space="preserve"> 202</w:t>
      </w:r>
      <w:r w:rsidR="00190F47" w:rsidRPr="005A2A35">
        <w:rPr>
          <w:rFonts w:ascii="Arial" w:hAnsi="Arial" w:cs="Arial"/>
          <w:sz w:val="24"/>
          <w:szCs w:val="24"/>
        </w:rPr>
        <w:t>2</w:t>
      </w:r>
      <w:r w:rsidRPr="005A2A35">
        <w:rPr>
          <w:rFonts w:ascii="Arial" w:hAnsi="Arial" w:cs="Arial"/>
          <w:sz w:val="24"/>
          <w:szCs w:val="24"/>
        </w:rPr>
        <w:t xml:space="preserve">, the Prudential Authority </w:t>
      </w:r>
      <w:r w:rsidR="00364348" w:rsidRPr="005A2A35">
        <w:rPr>
          <w:rFonts w:ascii="Arial" w:hAnsi="Arial" w:cs="Arial"/>
          <w:sz w:val="24"/>
          <w:szCs w:val="24"/>
        </w:rPr>
        <w:t>published the</w:t>
      </w:r>
      <w:r w:rsidR="00B56370" w:rsidRPr="005A2A35">
        <w:rPr>
          <w:rFonts w:ascii="Arial" w:hAnsi="Arial" w:cs="Arial"/>
          <w:sz w:val="24"/>
          <w:szCs w:val="24"/>
        </w:rPr>
        <w:t xml:space="preserve"> </w:t>
      </w:r>
      <w:r w:rsidRPr="005A2A35">
        <w:rPr>
          <w:rFonts w:ascii="Arial" w:hAnsi="Arial" w:cs="Arial"/>
          <w:sz w:val="24"/>
          <w:szCs w:val="24"/>
        </w:rPr>
        <w:t>following documents</w:t>
      </w:r>
      <w:r w:rsidR="00B56370" w:rsidRPr="005A2A35">
        <w:rPr>
          <w:rFonts w:ascii="Arial" w:hAnsi="Arial" w:cs="Arial"/>
          <w:sz w:val="24"/>
          <w:szCs w:val="24"/>
        </w:rPr>
        <w:t xml:space="preserve"> </w:t>
      </w:r>
      <w:r w:rsidRPr="005A2A35">
        <w:rPr>
          <w:rFonts w:ascii="Arial" w:hAnsi="Arial" w:cs="Arial"/>
          <w:sz w:val="24"/>
          <w:szCs w:val="24"/>
        </w:rPr>
        <w:t>for public comment</w:t>
      </w:r>
      <w:r w:rsidR="00364348" w:rsidRPr="005A2A35">
        <w:rPr>
          <w:rFonts w:ascii="Arial" w:hAnsi="Arial" w:cs="Arial"/>
          <w:sz w:val="24"/>
          <w:szCs w:val="24"/>
        </w:rPr>
        <w:t>,</w:t>
      </w:r>
      <w:r w:rsidR="00A321FB" w:rsidRPr="005A2A35">
        <w:rPr>
          <w:rFonts w:ascii="Arial" w:hAnsi="Arial" w:cs="Arial"/>
          <w:sz w:val="24"/>
          <w:szCs w:val="24"/>
        </w:rPr>
        <w:t xml:space="preserve"> with comments being due on </w:t>
      </w:r>
      <w:r w:rsidR="007A0DD0" w:rsidRPr="005A2A35">
        <w:rPr>
          <w:rFonts w:ascii="Arial" w:hAnsi="Arial" w:cs="Arial"/>
          <w:sz w:val="24"/>
          <w:szCs w:val="24"/>
        </w:rPr>
        <w:t>2</w:t>
      </w:r>
      <w:r w:rsidR="0004470C" w:rsidRPr="005A2A35">
        <w:rPr>
          <w:rFonts w:ascii="Arial" w:hAnsi="Arial" w:cs="Arial"/>
          <w:sz w:val="24"/>
          <w:szCs w:val="24"/>
        </w:rPr>
        <w:t>0</w:t>
      </w:r>
      <w:r w:rsidR="007A0DD0" w:rsidRPr="005A2A35">
        <w:rPr>
          <w:rFonts w:ascii="Arial" w:hAnsi="Arial" w:cs="Arial"/>
          <w:sz w:val="24"/>
          <w:szCs w:val="24"/>
        </w:rPr>
        <w:t xml:space="preserve"> </w:t>
      </w:r>
      <w:r w:rsidR="0004470C" w:rsidRPr="005A2A35">
        <w:rPr>
          <w:rFonts w:ascii="Arial" w:hAnsi="Arial" w:cs="Arial"/>
          <w:sz w:val="24"/>
          <w:szCs w:val="24"/>
        </w:rPr>
        <w:t>December 2022</w:t>
      </w:r>
      <w:r w:rsidRPr="005A2A35">
        <w:rPr>
          <w:rFonts w:ascii="Arial" w:hAnsi="Arial" w:cs="Arial"/>
          <w:sz w:val="24"/>
          <w:szCs w:val="24"/>
        </w:rPr>
        <w:t>:</w:t>
      </w:r>
    </w:p>
    <w:p w14:paraId="1826FFDB" w14:textId="10BADADB" w:rsidR="00B779BD" w:rsidRPr="005A2A35" w:rsidRDefault="00973D5E" w:rsidP="004B610F">
      <w:pPr>
        <w:pStyle w:val="ListParagraph"/>
        <w:numPr>
          <w:ilvl w:val="0"/>
          <w:numId w:val="3"/>
        </w:numPr>
        <w:ind w:left="1440" w:hanging="720"/>
        <w:jc w:val="both"/>
        <w:rPr>
          <w:rFonts w:ascii="Arial" w:hAnsi="Arial" w:cs="Arial"/>
          <w:sz w:val="24"/>
          <w:szCs w:val="24"/>
        </w:rPr>
      </w:pPr>
      <w:r w:rsidRPr="005A2A35">
        <w:rPr>
          <w:rFonts w:ascii="Arial" w:hAnsi="Arial" w:cs="Arial"/>
          <w:noProof/>
          <w:sz w:val="24"/>
          <w:szCs w:val="24"/>
          <w:lang w:eastAsia="en-ZA"/>
        </w:rPr>
        <w:t>Notice regarding the publication of</w:t>
      </w:r>
      <w:r w:rsidR="00F4511E" w:rsidRPr="005A2A35">
        <w:rPr>
          <w:rFonts w:ascii="Arial" w:hAnsi="Arial" w:cs="Arial"/>
          <w:noProof/>
          <w:sz w:val="24"/>
          <w:szCs w:val="24"/>
          <w:lang w:eastAsia="en-ZA"/>
        </w:rPr>
        <w:t xml:space="preserve"> the </w:t>
      </w:r>
      <w:r w:rsidRPr="005A2A35">
        <w:rPr>
          <w:rFonts w:ascii="Arial" w:hAnsi="Arial" w:cs="Arial"/>
          <w:noProof/>
          <w:sz w:val="24"/>
          <w:szCs w:val="24"/>
          <w:lang w:eastAsia="en-ZA"/>
        </w:rPr>
        <w:t xml:space="preserve">draft </w:t>
      </w:r>
      <w:r w:rsidR="00F4511E" w:rsidRPr="005A2A35">
        <w:rPr>
          <w:rFonts w:ascii="Arial" w:hAnsi="Arial" w:cs="Arial"/>
          <w:noProof/>
          <w:sz w:val="24"/>
          <w:szCs w:val="24"/>
          <w:lang w:eastAsia="en-ZA"/>
        </w:rPr>
        <w:t>Prudential Standard</w:t>
      </w:r>
      <w:r w:rsidR="004F0EE2">
        <w:rPr>
          <w:rFonts w:ascii="Arial" w:hAnsi="Arial" w:cs="Arial"/>
          <w:noProof/>
          <w:sz w:val="24"/>
          <w:szCs w:val="24"/>
          <w:lang w:eastAsia="en-ZA"/>
        </w:rPr>
        <w:t xml:space="preserve"> (“the Standard”)</w:t>
      </w:r>
      <w:r w:rsidR="00F4511E" w:rsidRPr="005A2A35">
        <w:rPr>
          <w:rFonts w:ascii="Arial" w:hAnsi="Arial" w:cs="Arial"/>
          <w:noProof/>
          <w:sz w:val="24"/>
          <w:szCs w:val="24"/>
          <w:lang w:eastAsia="en-ZA"/>
        </w:rPr>
        <w:t xml:space="preserve"> on Transfers</w:t>
      </w:r>
      <w:r w:rsidR="00847D34" w:rsidRPr="005A2A35">
        <w:rPr>
          <w:rFonts w:ascii="Arial" w:hAnsi="Arial" w:cs="Arial"/>
          <w:sz w:val="24"/>
          <w:szCs w:val="24"/>
        </w:rPr>
        <w:t xml:space="preserve"> </w:t>
      </w:r>
      <w:r w:rsidR="006F7FFE">
        <w:rPr>
          <w:rFonts w:ascii="Arial" w:hAnsi="Arial" w:cs="Arial"/>
          <w:sz w:val="24"/>
          <w:szCs w:val="24"/>
        </w:rPr>
        <w:t xml:space="preserve">of assets and liabilities of a designated institution in resolution </w:t>
      </w:r>
      <w:r w:rsidR="00847D34" w:rsidRPr="005A2A35">
        <w:rPr>
          <w:rFonts w:ascii="Arial" w:hAnsi="Arial" w:cs="Arial"/>
          <w:sz w:val="24"/>
          <w:szCs w:val="24"/>
        </w:rPr>
        <w:t xml:space="preserve">inviting comments on </w:t>
      </w:r>
      <w:r w:rsidR="009960FB" w:rsidRPr="005A2A35">
        <w:rPr>
          <w:rFonts w:ascii="Arial" w:hAnsi="Arial" w:cs="Arial"/>
          <w:sz w:val="24"/>
          <w:szCs w:val="24"/>
        </w:rPr>
        <w:t>the</w:t>
      </w:r>
      <w:r w:rsidR="009960FB">
        <w:rPr>
          <w:rFonts w:ascii="Arial" w:hAnsi="Arial" w:cs="Arial"/>
          <w:sz w:val="24"/>
          <w:szCs w:val="24"/>
        </w:rPr>
        <w:t xml:space="preserve"> </w:t>
      </w:r>
      <w:proofErr w:type="gramStart"/>
      <w:r w:rsidR="009960FB" w:rsidRPr="005A2A35">
        <w:rPr>
          <w:rFonts w:ascii="Arial" w:hAnsi="Arial" w:cs="Arial"/>
          <w:sz w:val="24"/>
          <w:szCs w:val="24"/>
        </w:rPr>
        <w:t>Standard</w:t>
      </w:r>
      <w:r w:rsidRPr="005A2A35">
        <w:rPr>
          <w:rFonts w:ascii="Arial" w:hAnsi="Arial" w:cs="Arial"/>
          <w:sz w:val="24"/>
          <w:szCs w:val="24"/>
        </w:rPr>
        <w:t>;</w:t>
      </w:r>
      <w:proofErr w:type="gramEnd"/>
    </w:p>
    <w:p w14:paraId="1D6691C0" w14:textId="37AC6251" w:rsidR="00973D5E" w:rsidRPr="005A2A35" w:rsidRDefault="00B779BD" w:rsidP="004B610F">
      <w:pPr>
        <w:pStyle w:val="ListParagraph"/>
        <w:numPr>
          <w:ilvl w:val="0"/>
          <w:numId w:val="3"/>
        </w:numPr>
        <w:ind w:left="1440" w:hanging="720"/>
        <w:jc w:val="both"/>
        <w:rPr>
          <w:rFonts w:ascii="Arial" w:hAnsi="Arial" w:cs="Arial"/>
          <w:sz w:val="24"/>
          <w:szCs w:val="24"/>
        </w:rPr>
      </w:pPr>
      <w:r w:rsidRPr="005A2A35">
        <w:rPr>
          <w:rFonts w:ascii="Arial" w:hAnsi="Arial" w:cs="Arial"/>
          <w:sz w:val="24"/>
          <w:szCs w:val="24"/>
        </w:rPr>
        <w:t xml:space="preserve">The </w:t>
      </w:r>
      <w:proofErr w:type="gramStart"/>
      <w:r w:rsidR="003019E1" w:rsidRPr="005A2A35">
        <w:rPr>
          <w:rFonts w:ascii="Arial" w:hAnsi="Arial" w:cs="Arial"/>
          <w:sz w:val="24"/>
          <w:szCs w:val="24"/>
        </w:rPr>
        <w:t>Standard</w:t>
      </w:r>
      <w:r w:rsidR="006D0E64" w:rsidRPr="005A2A35">
        <w:rPr>
          <w:rFonts w:ascii="Arial" w:hAnsi="Arial" w:cs="Arial"/>
          <w:sz w:val="24"/>
          <w:szCs w:val="24"/>
        </w:rPr>
        <w:t>;</w:t>
      </w:r>
      <w:proofErr w:type="gramEnd"/>
    </w:p>
    <w:p w14:paraId="56A94722" w14:textId="4367896A" w:rsidR="006D0E64" w:rsidRPr="005A2A35" w:rsidRDefault="00973D5E" w:rsidP="004B610F">
      <w:pPr>
        <w:pStyle w:val="ListParagraph"/>
        <w:numPr>
          <w:ilvl w:val="0"/>
          <w:numId w:val="3"/>
        </w:numPr>
        <w:ind w:left="1440" w:hanging="720"/>
        <w:jc w:val="both"/>
        <w:rPr>
          <w:rFonts w:ascii="Arial" w:hAnsi="Arial" w:cs="Arial"/>
          <w:bCs/>
          <w:noProof/>
          <w:sz w:val="24"/>
          <w:szCs w:val="24"/>
          <w:lang w:eastAsia="en-ZA"/>
        </w:rPr>
      </w:pPr>
      <w:r w:rsidRPr="005A2A35">
        <w:rPr>
          <w:rFonts w:ascii="Arial" w:hAnsi="Arial" w:cs="Arial"/>
          <w:bCs/>
          <w:sz w:val="24"/>
          <w:szCs w:val="24"/>
        </w:rPr>
        <w:t>Statement of the need</w:t>
      </w:r>
      <w:r w:rsidR="006F7FFE">
        <w:rPr>
          <w:rFonts w:ascii="Arial" w:hAnsi="Arial" w:cs="Arial"/>
          <w:bCs/>
          <w:sz w:val="24"/>
          <w:szCs w:val="24"/>
        </w:rPr>
        <w:t xml:space="preserve">, </w:t>
      </w:r>
      <w:r w:rsidRPr="005A2A35">
        <w:rPr>
          <w:rFonts w:ascii="Arial" w:hAnsi="Arial" w:cs="Arial"/>
          <w:bCs/>
          <w:sz w:val="24"/>
          <w:szCs w:val="24"/>
        </w:rPr>
        <w:t>intended operation and expected impact of the Standard</w:t>
      </w:r>
      <w:r w:rsidR="00D0530B">
        <w:rPr>
          <w:rFonts w:ascii="Arial" w:hAnsi="Arial" w:cs="Arial"/>
          <w:bCs/>
          <w:sz w:val="24"/>
          <w:szCs w:val="24"/>
        </w:rPr>
        <w:t xml:space="preserve"> (“the Statement”)</w:t>
      </w:r>
      <w:r w:rsidR="006D0E64" w:rsidRPr="005A2A35">
        <w:rPr>
          <w:rFonts w:ascii="Arial" w:hAnsi="Arial" w:cs="Arial"/>
          <w:bCs/>
          <w:sz w:val="24"/>
          <w:szCs w:val="24"/>
        </w:rPr>
        <w:t>;</w:t>
      </w:r>
      <w:r w:rsidR="00847D34" w:rsidRPr="005A2A35">
        <w:rPr>
          <w:rFonts w:ascii="Arial" w:hAnsi="Arial" w:cs="Arial"/>
          <w:bCs/>
          <w:sz w:val="24"/>
          <w:szCs w:val="24"/>
        </w:rPr>
        <w:t xml:space="preserve"> and</w:t>
      </w:r>
    </w:p>
    <w:p w14:paraId="666E5DE2" w14:textId="355F958E" w:rsidR="00973D5E" w:rsidRPr="005A2A35" w:rsidRDefault="00CE3745" w:rsidP="004B610F">
      <w:pPr>
        <w:pStyle w:val="ListParagraph"/>
        <w:numPr>
          <w:ilvl w:val="0"/>
          <w:numId w:val="3"/>
        </w:numPr>
        <w:ind w:left="1440" w:hanging="720"/>
        <w:jc w:val="both"/>
        <w:rPr>
          <w:rFonts w:ascii="Arial" w:hAnsi="Arial" w:cs="Arial"/>
          <w:bCs/>
          <w:noProof/>
          <w:sz w:val="24"/>
          <w:szCs w:val="24"/>
          <w:lang w:eastAsia="en-ZA"/>
        </w:rPr>
      </w:pPr>
      <w:r w:rsidRPr="005A2A35">
        <w:rPr>
          <w:rFonts w:ascii="Arial" w:hAnsi="Arial" w:cs="Arial"/>
          <w:bCs/>
          <w:sz w:val="24"/>
          <w:szCs w:val="24"/>
        </w:rPr>
        <w:t>Comments</w:t>
      </w:r>
      <w:r w:rsidR="00847D34" w:rsidRPr="005A2A35">
        <w:rPr>
          <w:rFonts w:ascii="Arial" w:hAnsi="Arial" w:cs="Arial"/>
          <w:bCs/>
          <w:sz w:val="24"/>
          <w:szCs w:val="24"/>
        </w:rPr>
        <w:t xml:space="preserve"> template</w:t>
      </w:r>
      <w:r w:rsidR="00973D5E" w:rsidRPr="005A2A35">
        <w:rPr>
          <w:rFonts w:ascii="Arial" w:hAnsi="Arial" w:cs="Arial"/>
          <w:bCs/>
          <w:sz w:val="24"/>
          <w:szCs w:val="24"/>
        </w:rPr>
        <w:t>.</w:t>
      </w:r>
    </w:p>
    <w:p w14:paraId="63DBB0A0" w14:textId="3671A075" w:rsidR="00973D5E" w:rsidRPr="00312F45" w:rsidRDefault="00973D5E" w:rsidP="00364348">
      <w:pPr>
        <w:pStyle w:val="ListParagraph"/>
        <w:jc w:val="both"/>
        <w:rPr>
          <w:rFonts w:ascii="Arial" w:hAnsi="Arial" w:cs="Arial"/>
          <w:color w:val="000000" w:themeColor="text1"/>
          <w:sz w:val="24"/>
          <w:szCs w:val="24"/>
        </w:rPr>
      </w:pPr>
    </w:p>
    <w:p w14:paraId="7DC6A8AD" w14:textId="597474F8" w:rsidR="00973D5E" w:rsidRPr="00312F45" w:rsidRDefault="00973D5E" w:rsidP="00364348">
      <w:pPr>
        <w:spacing w:after="0" w:line="240" w:lineRule="auto"/>
        <w:ind w:left="720" w:hanging="720"/>
        <w:jc w:val="both"/>
        <w:rPr>
          <w:rFonts w:ascii="Arial" w:hAnsi="Arial" w:cs="Arial"/>
          <w:color w:val="000000" w:themeColor="text1"/>
          <w:sz w:val="24"/>
          <w:szCs w:val="24"/>
        </w:rPr>
      </w:pPr>
      <w:r w:rsidRPr="00312F45">
        <w:rPr>
          <w:rFonts w:ascii="Arial" w:hAnsi="Arial" w:cs="Arial"/>
          <w:color w:val="000000" w:themeColor="text1"/>
          <w:sz w:val="24"/>
          <w:szCs w:val="24"/>
        </w:rPr>
        <w:t>2.2</w:t>
      </w:r>
      <w:r w:rsidR="00364348" w:rsidRPr="00312F45">
        <w:rPr>
          <w:rFonts w:ascii="Arial" w:hAnsi="Arial" w:cs="Arial"/>
          <w:color w:val="000000" w:themeColor="text1"/>
          <w:sz w:val="24"/>
          <w:szCs w:val="24"/>
        </w:rPr>
        <w:tab/>
      </w:r>
      <w:r w:rsidR="007A0DD0" w:rsidRPr="00312F45">
        <w:rPr>
          <w:rFonts w:ascii="Arial" w:hAnsi="Arial" w:cs="Arial"/>
          <w:color w:val="000000" w:themeColor="text1"/>
          <w:sz w:val="24"/>
          <w:szCs w:val="24"/>
        </w:rPr>
        <w:t xml:space="preserve">The </w:t>
      </w:r>
      <w:r w:rsidR="006F7FFE" w:rsidRPr="00312F45">
        <w:rPr>
          <w:rFonts w:ascii="Arial" w:hAnsi="Arial" w:cs="Arial"/>
          <w:color w:val="000000" w:themeColor="text1"/>
          <w:sz w:val="24"/>
          <w:szCs w:val="24"/>
        </w:rPr>
        <w:t xml:space="preserve">Prudential Authority </w:t>
      </w:r>
      <w:r w:rsidR="0000291E" w:rsidRPr="00312F45">
        <w:rPr>
          <w:rFonts w:ascii="Arial" w:hAnsi="Arial" w:cs="Arial"/>
          <w:color w:val="000000" w:themeColor="text1"/>
          <w:sz w:val="24"/>
          <w:szCs w:val="24"/>
        </w:rPr>
        <w:t xml:space="preserve">received </w:t>
      </w:r>
      <w:r w:rsidR="006F7FFE" w:rsidRPr="00312F45">
        <w:rPr>
          <w:rFonts w:ascii="Arial" w:hAnsi="Arial" w:cs="Arial"/>
          <w:color w:val="000000" w:themeColor="text1"/>
          <w:sz w:val="24"/>
          <w:szCs w:val="24"/>
        </w:rPr>
        <w:t xml:space="preserve">approximately 162 comments from 8 </w:t>
      </w:r>
      <w:r w:rsidR="000918D0" w:rsidRPr="00312F45">
        <w:rPr>
          <w:rFonts w:ascii="Arial" w:hAnsi="Arial" w:cs="Arial"/>
          <w:color w:val="000000" w:themeColor="text1"/>
          <w:sz w:val="24"/>
          <w:szCs w:val="24"/>
        </w:rPr>
        <w:t xml:space="preserve">respondents. </w:t>
      </w:r>
      <w:r w:rsidRPr="00312F45">
        <w:rPr>
          <w:rFonts w:ascii="Arial" w:hAnsi="Arial" w:cs="Arial"/>
          <w:color w:val="000000" w:themeColor="text1"/>
          <w:sz w:val="24"/>
          <w:szCs w:val="24"/>
        </w:rPr>
        <w:t xml:space="preserve">Following the public consultation </w:t>
      </w:r>
      <w:r w:rsidR="003C1E20" w:rsidRPr="00312F45">
        <w:rPr>
          <w:rFonts w:ascii="Arial" w:hAnsi="Arial" w:cs="Arial"/>
          <w:color w:val="000000" w:themeColor="text1"/>
          <w:sz w:val="24"/>
          <w:szCs w:val="24"/>
        </w:rPr>
        <w:t>process, certain</w:t>
      </w:r>
      <w:r w:rsidR="007A0DD0" w:rsidRPr="00312F45">
        <w:rPr>
          <w:rFonts w:ascii="Arial" w:hAnsi="Arial" w:cs="Arial"/>
          <w:color w:val="000000" w:themeColor="text1"/>
          <w:sz w:val="24"/>
          <w:szCs w:val="24"/>
        </w:rPr>
        <w:t xml:space="preserve"> comments resulted in </w:t>
      </w:r>
      <w:r w:rsidR="00C64059" w:rsidRPr="00312F45">
        <w:rPr>
          <w:rFonts w:ascii="Arial" w:hAnsi="Arial" w:cs="Arial"/>
          <w:color w:val="000000" w:themeColor="text1"/>
          <w:sz w:val="24"/>
          <w:szCs w:val="24"/>
        </w:rPr>
        <w:t xml:space="preserve">amendments </w:t>
      </w:r>
      <w:r w:rsidR="000918D0" w:rsidRPr="00312F45">
        <w:rPr>
          <w:rFonts w:ascii="Arial" w:hAnsi="Arial" w:cs="Arial"/>
          <w:color w:val="000000" w:themeColor="text1"/>
          <w:sz w:val="24"/>
          <w:szCs w:val="24"/>
        </w:rPr>
        <w:t xml:space="preserve">being made </w:t>
      </w:r>
      <w:r w:rsidR="007A0DD0" w:rsidRPr="00312F45">
        <w:rPr>
          <w:rFonts w:ascii="Arial" w:hAnsi="Arial" w:cs="Arial"/>
          <w:color w:val="000000" w:themeColor="text1"/>
          <w:sz w:val="24"/>
          <w:szCs w:val="24"/>
        </w:rPr>
        <w:t>to the Standard</w:t>
      </w:r>
      <w:r w:rsidR="000918D0" w:rsidRPr="00312F45">
        <w:rPr>
          <w:rFonts w:ascii="Arial" w:hAnsi="Arial" w:cs="Arial"/>
          <w:color w:val="000000" w:themeColor="text1"/>
          <w:sz w:val="24"/>
          <w:szCs w:val="24"/>
        </w:rPr>
        <w:t xml:space="preserve"> by the</w:t>
      </w:r>
      <w:r w:rsidR="00F81789">
        <w:rPr>
          <w:rFonts w:ascii="Arial" w:hAnsi="Arial" w:cs="Arial"/>
          <w:color w:val="000000" w:themeColor="text1"/>
          <w:sz w:val="24"/>
          <w:szCs w:val="24"/>
        </w:rPr>
        <w:t xml:space="preserve"> Authorities (the</w:t>
      </w:r>
      <w:r w:rsidR="000918D0" w:rsidRPr="00312F45">
        <w:rPr>
          <w:rFonts w:ascii="Arial" w:hAnsi="Arial" w:cs="Arial"/>
          <w:color w:val="000000" w:themeColor="text1"/>
          <w:sz w:val="24"/>
          <w:szCs w:val="24"/>
        </w:rPr>
        <w:t xml:space="preserve"> </w:t>
      </w:r>
      <w:r w:rsidR="006F7FFE" w:rsidRPr="00312F45">
        <w:rPr>
          <w:rFonts w:ascii="Arial" w:hAnsi="Arial" w:cs="Arial"/>
          <w:color w:val="000000" w:themeColor="text1"/>
          <w:sz w:val="24"/>
          <w:szCs w:val="24"/>
        </w:rPr>
        <w:t xml:space="preserve">Prudential </w:t>
      </w:r>
      <w:r w:rsidR="000918D0" w:rsidRPr="00312F45">
        <w:rPr>
          <w:rFonts w:ascii="Arial" w:hAnsi="Arial" w:cs="Arial"/>
          <w:color w:val="000000" w:themeColor="text1"/>
          <w:sz w:val="24"/>
          <w:szCs w:val="24"/>
        </w:rPr>
        <w:t>Author</w:t>
      </w:r>
      <w:r w:rsidR="006F7FFE" w:rsidRPr="00312F45">
        <w:rPr>
          <w:rFonts w:ascii="Arial" w:hAnsi="Arial" w:cs="Arial"/>
          <w:color w:val="000000" w:themeColor="text1"/>
          <w:sz w:val="24"/>
          <w:szCs w:val="24"/>
        </w:rPr>
        <w:t>i</w:t>
      </w:r>
      <w:r w:rsidR="000918D0" w:rsidRPr="00312F45">
        <w:rPr>
          <w:rFonts w:ascii="Arial" w:hAnsi="Arial" w:cs="Arial"/>
          <w:color w:val="000000" w:themeColor="text1"/>
          <w:sz w:val="24"/>
          <w:szCs w:val="24"/>
        </w:rPr>
        <w:t>t</w:t>
      </w:r>
      <w:r w:rsidR="006F7FFE" w:rsidRPr="00312F45">
        <w:rPr>
          <w:rFonts w:ascii="Arial" w:hAnsi="Arial" w:cs="Arial"/>
          <w:color w:val="000000" w:themeColor="text1"/>
          <w:sz w:val="24"/>
          <w:szCs w:val="24"/>
        </w:rPr>
        <w:t>y</w:t>
      </w:r>
      <w:r w:rsidR="00F81789">
        <w:rPr>
          <w:rFonts w:ascii="Arial" w:hAnsi="Arial" w:cs="Arial"/>
          <w:color w:val="000000" w:themeColor="text1"/>
          <w:sz w:val="24"/>
          <w:szCs w:val="24"/>
        </w:rPr>
        <w:t xml:space="preserve"> as directed by the Reserve Bank)</w:t>
      </w:r>
      <w:r w:rsidR="00E86FE6" w:rsidRPr="00312F45">
        <w:rPr>
          <w:rFonts w:ascii="Arial" w:hAnsi="Arial" w:cs="Arial"/>
          <w:color w:val="000000" w:themeColor="text1"/>
          <w:sz w:val="24"/>
          <w:szCs w:val="24"/>
        </w:rPr>
        <w:t>.</w:t>
      </w:r>
      <w:r w:rsidR="00F97B20" w:rsidRPr="00312F45">
        <w:rPr>
          <w:rFonts w:ascii="Arial" w:hAnsi="Arial" w:cs="Arial"/>
          <w:color w:val="000000" w:themeColor="text1"/>
          <w:sz w:val="24"/>
          <w:szCs w:val="24"/>
        </w:rPr>
        <w:t xml:space="preserve"> </w:t>
      </w:r>
      <w:r w:rsidR="00502930">
        <w:rPr>
          <w:rFonts w:ascii="Arial" w:hAnsi="Arial" w:cs="Arial"/>
          <w:color w:val="000000" w:themeColor="text1"/>
          <w:sz w:val="24"/>
          <w:szCs w:val="24"/>
        </w:rPr>
        <w:t xml:space="preserve">The </w:t>
      </w:r>
      <w:r w:rsidR="00F81789">
        <w:rPr>
          <w:rFonts w:ascii="Arial" w:hAnsi="Arial" w:cs="Arial"/>
          <w:color w:val="000000" w:themeColor="text1"/>
          <w:sz w:val="24"/>
          <w:szCs w:val="24"/>
        </w:rPr>
        <w:t xml:space="preserve">Authorities </w:t>
      </w:r>
      <w:r w:rsidR="00502930">
        <w:rPr>
          <w:rFonts w:ascii="Arial" w:hAnsi="Arial" w:cs="Arial"/>
          <w:color w:val="000000" w:themeColor="text1"/>
          <w:sz w:val="24"/>
          <w:szCs w:val="24"/>
        </w:rPr>
        <w:t xml:space="preserve">also made amendments </w:t>
      </w:r>
      <w:r w:rsidR="0011237A">
        <w:rPr>
          <w:rFonts w:ascii="Arial" w:hAnsi="Arial" w:cs="Arial"/>
          <w:color w:val="000000" w:themeColor="text1"/>
          <w:sz w:val="24"/>
          <w:szCs w:val="24"/>
        </w:rPr>
        <w:t>out of</w:t>
      </w:r>
      <w:r w:rsidR="00502930">
        <w:rPr>
          <w:rFonts w:ascii="Arial" w:hAnsi="Arial" w:cs="Arial"/>
          <w:color w:val="000000" w:themeColor="text1"/>
          <w:sz w:val="24"/>
          <w:szCs w:val="24"/>
        </w:rPr>
        <w:t xml:space="preserve"> </w:t>
      </w:r>
      <w:r w:rsidR="00E02078">
        <w:rPr>
          <w:rFonts w:ascii="Arial" w:hAnsi="Arial" w:cs="Arial"/>
          <w:color w:val="000000" w:themeColor="text1"/>
          <w:sz w:val="24"/>
          <w:szCs w:val="24"/>
        </w:rPr>
        <w:t>their</w:t>
      </w:r>
      <w:r w:rsidR="00502930">
        <w:rPr>
          <w:rFonts w:ascii="Arial" w:hAnsi="Arial" w:cs="Arial"/>
          <w:color w:val="000000" w:themeColor="text1"/>
          <w:sz w:val="24"/>
          <w:szCs w:val="24"/>
        </w:rPr>
        <w:t xml:space="preserve"> own accord </w:t>
      </w:r>
      <w:r w:rsidR="002742F0">
        <w:rPr>
          <w:rFonts w:ascii="Arial" w:hAnsi="Arial" w:cs="Arial"/>
          <w:color w:val="000000" w:themeColor="text1"/>
          <w:sz w:val="24"/>
          <w:szCs w:val="24"/>
        </w:rPr>
        <w:t xml:space="preserve">upon further </w:t>
      </w:r>
      <w:r w:rsidR="00502930">
        <w:rPr>
          <w:rFonts w:ascii="Arial" w:hAnsi="Arial" w:cs="Arial"/>
          <w:color w:val="000000" w:themeColor="text1"/>
          <w:sz w:val="24"/>
          <w:szCs w:val="24"/>
        </w:rPr>
        <w:t>review of the Standard</w:t>
      </w:r>
      <w:r w:rsidR="00092070">
        <w:rPr>
          <w:rFonts w:ascii="Arial" w:hAnsi="Arial" w:cs="Arial"/>
          <w:color w:val="000000" w:themeColor="text1"/>
          <w:sz w:val="24"/>
          <w:szCs w:val="24"/>
        </w:rPr>
        <w:t xml:space="preserve">. None of the </w:t>
      </w:r>
      <w:r w:rsidR="00092070" w:rsidRPr="00312F45">
        <w:rPr>
          <w:rFonts w:ascii="Arial" w:hAnsi="Arial" w:cs="Arial"/>
          <w:color w:val="000000" w:themeColor="text1"/>
          <w:sz w:val="24"/>
          <w:szCs w:val="24"/>
        </w:rPr>
        <w:t>amendments</w:t>
      </w:r>
      <w:r w:rsidR="00F81789">
        <w:rPr>
          <w:rFonts w:ascii="Arial" w:hAnsi="Arial" w:cs="Arial"/>
          <w:color w:val="000000" w:themeColor="text1"/>
          <w:sz w:val="24"/>
          <w:szCs w:val="24"/>
        </w:rPr>
        <w:t xml:space="preserve"> made</w:t>
      </w:r>
      <w:r w:rsidR="00092070" w:rsidRPr="00312F45">
        <w:rPr>
          <w:rFonts w:ascii="Arial" w:hAnsi="Arial" w:cs="Arial"/>
          <w:color w:val="000000" w:themeColor="text1"/>
          <w:sz w:val="24"/>
          <w:szCs w:val="24"/>
        </w:rPr>
        <w:t xml:space="preserve"> were deemed material</w:t>
      </w:r>
      <w:r w:rsidR="004353B7">
        <w:rPr>
          <w:rFonts w:ascii="Arial" w:hAnsi="Arial" w:cs="Arial"/>
          <w:color w:val="000000" w:themeColor="text1"/>
          <w:sz w:val="24"/>
          <w:szCs w:val="24"/>
        </w:rPr>
        <w:t>.</w:t>
      </w:r>
    </w:p>
    <w:p w14:paraId="00465DC9" w14:textId="77777777" w:rsidR="00973D5E" w:rsidRDefault="00973D5E" w:rsidP="00364348">
      <w:pPr>
        <w:spacing w:after="0" w:line="240" w:lineRule="auto"/>
        <w:ind w:left="720" w:hanging="720"/>
        <w:jc w:val="both"/>
        <w:rPr>
          <w:rFonts w:ascii="Arial" w:hAnsi="Arial" w:cs="Arial"/>
          <w:sz w:val="24"/>
          <w:szCs w:val="24"/>
        </w:rPr>
      </w:pPr>
    </w:p>
    <w:p w14:paraId="18DC7F7D" w14:textId="63B8429B" w:rsidR="00EF4FCD" w:rsidRDefault="00364348" w:rsidP="00825BE0">
      <w:pPr>
        <w:spacing w:after="0" w:line="240" w:lineRule="auto"/>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973D5E">
        <w:rPr>
          <w:rFonts w:ascii="Arial" w:hAnsi="Arial" w:cs="Arial"/>
          <w:sz w:val="24"/>
          <w:szCs w:val="24"/>
        </w:rPr>
        <w:t xml:space="preserve">A general account of issues </w:t>
      </w:r>
      <w:r w:rsidR="003B700D">
        <w:rPr>
          <w:rFonts w:ascii="Arial" w:hAnsi="Arial" w:cs="Arial"/>
          <w:sz w:val="24"/>
          <w:szCs w:val="24"/>
        </w:rPr>
        <w:t>raised</w:t>
      </w:r>
      <w:r w:rsidR="00860A17">
        <w:rPr>
          <w:rFonts w:ascii="Arial" w:hAnsi="Arial" w:cs="Arial"/>
          <w:sz w:val="24"/>
          <w:szCs w:val="24"/>
        </w:rPr>
        <w:t xml:space="preserve"> by respondents</w:t>
      </w:r>
      <w:r w:rsidR="003B700D">
        <w:rPr>
          <w:rFonts w:ascii="Arial" w:hAnsi="Arial" w:cs="Arial"/>
          <w:sz w:val="24"/>
          <w:szCs w:val="24"/>
        </w:rPr>
        <w:t xml:space="preserve"> on</w:t>
      </w:r>
      <w:r w:rsidR="00EF4FCD">
        <w:rPr>
          <w:rFonts w:ascii="Arial" w:hAnsi="Arial" w:cs="Arial"/>
          <w:sz w:val="24"/>
          <w:szCs w:val="24"/>
        </w:rPr>
        <w:t xml:space="preserve"> the Standard </w:t>
      </w:r>
      <w:r w:rsidR="00973D5E">
        <w:rPr>
          <w:rFonts w:ascii="Arial" w:hAnsi="Arial" w:cs="Arial"/>
          <w:sz w:val="24"/>
          <w:szCs w:val="24"/>
        </w:rPr>
        <w:t>during</w:t>
      </w:r>
      <w:r w:rsidR="00F97B20" w:rsidRPr="004357CB">
        <w:rPr>
          <w:rFonts w:ascii="Arial" w:hAnsi="Arial" w:cs="Arial"/>
          <w:sz w:val="24"/>
          <w:szCs w:val="24"/>
        </w:rPr>
        <w:t xml:space="preserve"> the consultation process</w:t>
      </w:r>
      <w:r w:rsidR="00025528">
        <w:rPr>
          <w:rFonts w:ascii="Arial" w:hAnsi="Arial" w:cs="Arial"/>
          <w:sz w:val="24"/>
          <w:szCs w:val="24"/>
        </w:rPr>
        <w:t xml:space="preserve"> and the response of the </w:t>
      </w:r>
      <w:r w:rsidR="008E052B">
        <w:rPr>
          <w:rFonts w:ascii="Arial" w:hAnsi="Arial" w:cs="Arial"/>
          <w:sz w:val="24"/>
          <w:szCs w:val="24"/>
        </w:rPr>
        <w:t xml:space="preserve">Authorities </w:t>
      </w:r>
      <w:r w:rsidR="00F97B20" w:rsidRPr="004357CB">
        <w:rPr>
          <w:rFonts w:ascii="Arial" w:hAnsi="Arial" w:cs="Arial"/>
          <w:sz w:val="24"/>
          <w:szCs w:val="24"/>
        </w:rPr>
        <w:t xml:space="preserve">are </w:t>
      </w:r>
      <w:r w:rsidR="009C4710">
        <w:rPr>
          <w:rFonts w:ascii="Arial" w:hAnsi="Arial" w:cs="Arial"/>
          <w:sz w:val="24"/>
          <w:szCs w:val="24"/>
        </w:rPr>
        <w:t xml:space="preserve">summarised </w:t>
      </w:r>
      <w:r w:rsidR="000B5952">
        <w:rPr>
          <w:rFonts w:ascii="Arial" w:hAnsi="Arial" w:cs="Arial"/>
          <w:sz w:val="24"/>
          <w:szCs w:val="24"/>
        </w:rPr>
        <w:t>in</w:t>
      </w:r>
      <w:r w:rsidR="009960FB">
        <w:rPr>
          <w:rFonts w:ascii="Arial" w:hAnsi="Arial" w:cs="Arial"/>
          <w:sz w:val="24"/>
          <w:szCs w:val="24"/>
        </w:rPr>
        <w:t xml:space="preserve"> </w:t>
      </w:r>
      <w:r w:rsidR="000B5952">
        <w:rPr>
          <w:rFonts w:ascii="Arial" w:hAnsi="Arial" w:cs="Arial"/>
          <w:sz w:val="24"/>
          <w:szCs w:val="24"/>
        </w:rPr>
        <w:t xml:space="preserve">Table 1 </w:t>
      </w:r>
      <w:r w:rsidR="00F97B20" w:rsidRPr="004357CB">
        <w:rPr>
          <w:rFonts w:ascii="Arial" w:hAnsi="Arial" w:cs="Arial"/>
          <w:sz w:val="24"/>
          <w:szCs w:val="24"/>
        </w:rPr>
        <w:t>below</w:t>
      </w:r>
      <w:r w:rsidR="00825BE0">
        <w:rPr>
          <w:rFonts w:ascii="Arial" w:hAnsi="Arial" w:cs="Arial"/>
          <w:sz w:val="24"/>
          <w:szCs w:val="24"/>
        </w:rPr>
        <w:t>.</w:t>
      </w:r>
      <w:r w:rsidR="00EC1610">
        <w:rPr>
          <w:rFonts w:ascii="Arial" w:hAnsi="Arial" w:cs="Arial"/>
          <w:sz w:val="24"/>
          <w:szCs w:val="24"/>
        </w:rPr>
        <w:t xml:space="preserve"> </w:t>
      </w:r>
      <w:r w:rsidR="00860A17">
        <w:rPr>
          <w:rFonts w:ascii="Arial" w:hAnsi="Arial" w:cs="Arial"/>
          <w:sz w:val="24"/>
          <w:szCs w:val="24"/>
        </w:rPr>
        <w:t xml:space="preserve">Table </w:t>
      </w:r>
      <w:r w:rsidR="00754BA0">
        <w:rPr>
          <w:rFonts w:ascii="Arial" w:hAnsi="Arial" w:cs="Arial"/>
          <w:sz w:val="24"/>
          <w:szCs w:val="24"/>
        </w:rPr>
        <w:t>2</w:t>
      </w:r>
      <w:r w:rsidR="00860A17">
        <w:rPr>
          <w:rFonts w:ascii="Arial" w:hAnsi="Arial" w:cs="Arial"/>
          <w:sz w:val="24"/>
          <w:szCs w:val="24"/>
        </w:rPr>
        <w:t xml:space="preserve"> contains the amendments initiated by the </w:t>
      </w:r>
      <w:r w:rsidR="00EC1610">
        <w:rPr>
          <w:rFonts w:ascii="Arial" w:hAnsi="Arial" w:cs="Arial"/>
          <w:sz w:val="24"/>
          <w:szCs w:val="24"/>
        </w:rPr>
        <w:t>Authorities</w:t>
      </w:r>
      <w:r w:rsidR="00FF7053">
        <w:rPr>
          <w:rFonts w:ascii="Arial" w:hAnsi="Arial" w:cs="Arial"/>
          <w:sz w:val="24"/>
          <w:szCs w:val="24"/>
        </w:rPr>
        <w:t>.</w:t>
      </w:r>
      <w:r w:rsidR="00FF7053" w:rsidRPr="00825BE0">
        <w:rPr>
          <w:rFonts w:ascii="Arial" w:hAnsi="Arial" w:cs="Arial"/>
          <w:sz w:val="24"/>
          <w:szCs w:val="24"/>
        </w:rPr>
        <w:t xml:space="preserve"> Details</w:t>
      </w:r>
      <w:r w:rsidR="00825BE0" w:rsidRPr="00825BE0">
        <w:rPr>
          <w:rFonts w:ascii="Arial" w:hAnsi="Arial" w:cs="Arial"/>
          <w:sz w:val="24"/>
          <w:szCs w:val="24"/>
        </w:rPr>
        <w:t xml:space="preserve"> of </w:t>
      </w:r>
      <w:r w:rsidR="00E02078">
        <w:rPr>
          <w:rFonts w:ascii="Arial" w:hAnsi="Arial" w:cs="Arial"/>
          <w:sz w:val="24"/>
          <w:szCs w:val="24"/>
        </w:rPr>
        <w:t>the respondents</w:t>
      </w:r>
      <w:r w:rsidR="00825BE0" w:rsidRPr="00825BE0">
        <w:rPr>
          <w:rFonts w:ascii="Arial" w:hAnsi="Arial" w:cs="Arial"/>
          <w:sz w:val="24"/>
          <w:szCs w:val="24"/>
        </w:rPr>
        <w:t xml:space="preserve"> and the full set of comments and responses are detailed in Table </w:t>
      </w:r>
      <w:r w:rsidR="00754BA0">
        <w:rPr>
          <w:rFonts w:ascii="Arial" w:hAnsi="Arial" w:cs="Arial"/>
          <w:sz w:val="24"/>
          <w:szCs w:val="24"/>
        </w:rPr>
        <w:t>3</w:t>
      </w:r>
      <w:r w:rsidR="00825BE0" w:rsidRPr="00825BE0">
        <w:rPr>
          <w:rFonts w:ascii="Arial" w:hAnsi="Arial" w:cs="Arial"/>
          <w:sz w:val="24"/>
          <w:szCs w:val="24"/>
        </w:rPr>
        <w:t xml:space="preserve"> and Table </w:t>
      </w:r>
      <w:r w:rsidR="00754BA0">
        <w:rPr>
          <w:rFonts w:ascii="Arial" w:hAnsi="Arial" w:cs="Arial"/>
          <w:sz w:val="24"/>
          <w:szCs w:val="24"/>
        </w:rPr>
        <w:t>4 respectively</w:t>
      </w:r>
      <w:r w:rsidR="002111AC">
        <w:rPr>
          <w:rFonts w:ascii="Arial" w:hAnsi="Arial" w:cs="Arial"/>
          <w:sz w:val="24"/>
          <w:szCs w:val="24"/>
        </w:rPr>
        <w:t>.</w:t>
      </w:r>
      <w:r w:rsidR="00202606">
        <w:rPr>
          <w:rFonts w:ascii="Arial" w:hAnsi="Arial" w:cs="Arial"/>
          <w:sz w:val="24"/>
          <w:szCs w:val="24"/>
        </w:rPr>
        <w:t xml:space="preserve"> </w:t>
      </w:r>
    </w:p>
    <w:p w14:paraId="146B7F8B" w14:textId="77777777" w:rsidR="009C4710" w:rsidRPr="00825BE0" w:rsidRDefault="009C4710" w:rsidP="00825BE0">
      <w:pPr>
        <w:spacing w:after="0" w:line="240" w:lineRule="auto"/>
        <w:ind w:left="720" w:hanging="720"/>
        <w:jc w:val="both"/>
        <w:rPr>
          <w:rFonts w:ascii="Arial" w:hAnsi="Arial" w:cs="Arial"/>
          <w:sz w:val="24"/>
          <w:szCs w:val="24"/>
        </w:rPr>
      </w:pPr>
    </w:p>
    <w:p w14:paraId="63FC3F6B" w14:textId="51C9662D" w:rsidR="00825BE0" w:rsidRPr="004357CB" w:rsidRDefault="00825BE0" w:rsidP="00825BE0">
      <w:pPr>
        <w:spacing w:after="0" w:line="240" w:lineRule="auto"/>
        <w:ind w:left="720" w:hanging="720"/>
        <w:jc w:val="both"/>
        <w:rPr>
          <w:rFonts w:ascii="Arial" w:hAnsi="Arial" w:cs="Arial"/>
          <w:sz w:val="24"/>
          <w:szCs w:val="24"/>
        </w:rPr>
      </w:pPr>
      <w:r w:rsidRPr="00825BE0">
        <w:rPr>
          <w:rFonts w:ascii="Arial" w:hAnsi="Arial" w:cs="Arial"/>
          <w:sz w:val="24"/>
          <w:szCs w:val="24"/>
        </w:rPr>
        <w:t>2.5</w:t>
      </w:r>
      <w:r w:rsidRPr="00825BE0">
        <w:rPr>
          <w:rFonts w:ascii="Arial" w:hAnsi="Arial" w:cs="Arial"/>
          <w:sz w:val="24"/>
          <w:szCs w:val="24"/>
        </w:rPr>
        <w:tab/>
      </w:r>
      <w:r w:rsidR="00BA138C">
        <w:rPr>
          <w:rFonts w:ascii="Arial" w:hAnsi="Arial" w:cs="Arial"/>
          <w:sz w:val="24"/>
          <w:szCs w:val="24"/>
        </w:rPr>
        <w:t xml:space="preserve">Only one respondent requested a </w:t>
      </w:r>
      <w:r w:rsidR="00EC1610">
        <w:rPr>
          <w:rFonts w:ascii="Arial" w:hAnsi="Arial" w:cs="Arial"/>
          <w:sz w:val="24"/>
          <w:szCs w:val="24"/>
        </w:rPr>
        <w:t xml:space="preserve">bilateral regarding the Standard, which was held on </w:t>
      </w:r>
      <w:r w:rsidR="00BA138C">
        <w:rPr>
          <w:rFonts w:ascii="Arial" w:hAnsi="Arial" w:cs="Arial"/>
          <w:sz w:val="24"/>
          <w:szCs w:val="24"/>
        </w:rPr>
        <w:t>2 February 2023</w:t>
      </w:r>
      <w:r w:rsidR="00EC1610">
        <w:rPr>
          <w:rFonts w:ascii="Arial" w:hAnsi="Arial" w:cs="Arial"/>
          <w:sz w:val="24"/>
          <w:szCs w:val="24"/>
        </w:rPr>
        <w:t>.</w:t>
      </w:r>
      <w:r w:rsidR="00332964">
        <w:rPr>
          <w:rFonts w:ascii="Arial" w:hAnsi="Arial" w:cs="Arial"/>
          <w:sz w:val="24"/>
          <w:szCs w:val="24"/>
        </w:rPr>
        <w:t xml:space="preserve"> </w:t>
      </w:r>
    </w:p>
    <w:p w14:paraId="1780B20C" w14:textId="599B9EAC" w:rsidR="005F7BB6" w:rsidRPr="00EC7ED3" w:rsidRDefault="005F7BB6" w:rsidP="000F5AD3">
      <w:pPr>
        <w:spacing w:after="0" w:line="240" w:lineRule="auto"/>
        <w:rPr>
          <w:sz w:val="24"/>
          <w:szCs w:val="24"/>
        </w:rPr>
      </w:pPr>
    </w:p>
    <w:p w14:paraId="42230221" w14:textId="20405EA3" w:rsidR="00B67471" w:rsidRPr="00532AB8" w:rsidRDefault="00B67471" w:rsidP="000F5AD3">
      <w:pPr>
        <w:spacing w:after="0" w:line="240" w:lineRule="auto"/>
        <w:rPr>
          <w:rFonts w:ascii="Arial" w:hAnsi="Arial" w:cs="Arial"/>
          <w:b/>
          <w:bCs/>
          <w:sz w:val="24"/>
          <w:szCs w:val="24"/>
        </w:rPr>
      </w:pPr>
      <w:r w:rsidRPr="00532AB8">
        <w:rPr>
          <w:rFonts w:ascii="Arial" w:hAnsi="Arial" w:cs="Arial"/>
          <w:b/>
          <w:bCs/>
          <w:sz w:val="24"/>
          <w:szCs w:val="24"/>
        </w:rPr>
        <w:t xml:space="preserve">Table </w:t>
      </w:r>
      <w:r w:rsidR="00EC7ED3" w:rsidRPr="00532AB8">
        <w:rPr>
          <w:rFonts w:ascii="Arial" w:hAnsi="Arial" w:cs="Arial"/>
          <w:b/>
          <w:bCs/>
          <w:sz w:val="24"/>
          <w:szCs w:val="24"/>
        </w:rPr>
        <w:t>1: General account of issues raised</w:t>
      </w:r>
      <w:r w:rsidR="000E2ED6" w:rsidRPr="00532AB8">
        <w:rPr>
          <w:rFonts w:ascii="Arial" w:hAnsi="Arial" w:cs="Arial"/>
          <w:b/>
          <w:bCs/>
          <w:sz w:val="24"/>
          <w:szCs w:val="24"/>
        </w:rPr>
        <w:t xml:space="preserve"> by respondents</w:t>
      </w:r>
    </w:p>
    <w:p w14:paraId="07D35D12" w14:textId="77777777" w:rsidR="00B67471" w:rsidRPr="006C29EF" w:rsidRDefault="00B67471" w:rsidP="000F5AD3">
      <w:pPr>
        <w:spacing w:after="0" w:line="240" w:lineRule="auto"/>
        <w:rPr>
          <w:rFonts w:ascii="Arial" w:hAnsi="Arial" w:cs="Arial"/>
        </w:rPr>
      </w:pPr>
    </w:p>
    <w:tbl>
      <w:tblPr>
        <w:tblStyle w:val="TableGrid"/>
        <w:tblW w:w="0" w:type="auto"/>
        <w:tblLook w:val="04A0" w:firstRow="1" w:lastRow="0" w:firstColumn="1" w:lastColumn="0" w:noHBand="0" w:noVBand="1"/>
      </w:tblPr>
      <w:tblGrid>
        <w:gridCol w:w="2980"/>
        <w:gridCol w:w="5464"/>
        <w:gridCol w:w="5504"/>
      </w:tblGrid>
      <w:tr w:rsidR="005F7BB6" w:rsidRPr="007A77E1" w14:paraId="054F07AA" w14:textId="77777777" w:rsidTr="00AC1658">
        <w:tc>
          <w:tcPr>
            <w:tcW w:w="2980" w:type="dxa"/>
          </w:tcPr>
          <w:p w14:paraId="7685375F" w14:textId="5A5F3E4C" w:rsidR="005F7BB6" w:rsidRPr="00025528" w:rsidRDefault="00EB56CF" w:rsidP="000F5AD3">
            <w:pPr>
              <w:spacing w:after="0" w:line="240" w:lineRule="auto"/>
              <w:rPr>
                <w:rFonts w:ascii="Arial" w:hAnsi="Arial" w:cs="Arial"/>
                <w:b/>
                <w:bCs/>
              </w:rPr>
            </w:pPr>
            <w:r w:rsidRPr="00025528">
              <w:rPr>
                <w:rFonts w:ascii="Arial" w:hAnsi="Arial" w:cs="Arial"/>
                <w:b/>
                <w:bCs/>
              </w:rPr>
              <w:t>Area</w:t>
            </w:r>
          </w:p>
        </w:tc>
        <w:tc>
          <w:tcPr>
            <w:tcW w:w="5464" w:type="dxa"/>
          </w:tcPr>
          <w:p w14:paraId="6FAA39A9" w14:textId="7CB6F7EE" w:rsidR="005F7BB6" w:rsidRPr="00025528" w:rsidRDefault="00E942FB" w:rsidP="000F5AD3">
            <w:pPr>
              <w:spacing w:after="0" w:line="240" w:lineRule="auto"/>
              <w:rPr>
                <w:rFonts w:ascii="Arial" w:hAnsi="Arial" w:cs="Arial"/>
                <w:b/>
                <w:bCs/>
              </w:rPr>
            </w:pPr>
            <w:r w:rsidRPr="00025528">
              <w:rPr>
                <w:rFonts w:ascii="Arial" w:hAnsi="Arial" w:cs="Arial"/>
                <w:b/>
                <w:bCs/>
              </w:rPr>
              <w:t>Summary of c</w:t>
            </w:r>
            <w:r w:rsidR="00EB56CF" w:rsidRPr="00025528">
              <w:rPr>
                <w:rFonts w:ascii="Arial" w:hAnsi="Arial" w:cs="Arial"/>
                <w:b/>
                <w:bCs/>
              </w:rPr>
              <w:t>omment</w:t>
            </w:r>
            <w:r w:rsidR="00AC1658">
              <w:rPr>
                <w:rFonts w:ascii="Arial" w:hAnsi="Arial" w:cs="Arial"/>
                <w:b/>
                <w:bCs/>
              </w:rPr>
              <w:t>s</w:t>
            </w:r>
            <w:r w:rsidR="00EB56CF" w:rsidRPr="00025528">
              <w:rPr>
                <w:rFonts w:ascii="Arial" w:hAnsi="Arial" w:cs="Arial"/>
                <w:b/>
                <w:bCs/>
              </w:rPr>
              <w:t xml:space="preserve"> </w:t>
            </w:r>
          </w:p>
        </w:tc>
        <w:tc>
          <w:tcPr>
            <w:tcW w:w="5504" w:type="dxa"/>
          </w:tcPr>
          <w:p w14:paraId="7072F5DD" w14:textId="000F98D2" w:rsidR="005F7BB6" w:rsidRPr="00025528" w:rsidRDefault="00EB56CF" w:rsidP="000F5AD3">
            <w:pPr>
              <w:spacing w:after="0" w:line="240" w:lineRule="auto"/>
              <w:rPr>
                <w:rFonts w:ascii="Arial" w:hAnsi="Arial" w:cs="Arial"/>
                <w:b/>
                <w:bCs/>
              </w:rPr>
            </w:pPr>
            <w:r w:rsidRPr="00025528">
              <w:rPr>
                <w:rFonts w:ascii="Arial" w:hAnsi="Arial" w:cs="Arial"/>
                <w:b/>
                <w:bCs/>
              </w:rPr>
              <w:t xml:space="preserve">Response from the </w:t>
            </w:r>
            <w:r w:rsidR="008C35CA">
              <w:rPr>
                <w:rFonts w:ascii="Arial" w:hAnsi="Arial" w:cs="Arial"/>
                <w:b/>
                <w:bCs/>
              </w:rPr>
              <w:t>Authorities</w:t>
            </w:r>
            <w:r w:rsidRPr="00025528">
              <w:rPr>
                <w:rFonts w:ascii="Arial" w:hAnsi="Arial" w:cs="Arial"/>
                <w:b/>
                <w:bCs/>
              </w:rPr>
              <w:t xml:space="preserve"> </w:t>
            </w:r>
          </w:p>
        </w:tc>
      </w:tr>
      <w:tr w:rsidR="005F7BB6" w14:paraId="7939179C" w14:textId="77777777" w:rsidTr="00A070CF">
        <w:trPr>
          <w:trHeight w:val="349"/>
        </w:trPr>
        <w:tc>
          <w:tcPr>
            <w:tcW w:w="2980" w:type="dxa"/>
          </w:tcPr>
          <w:p w14:paraId="43E5B948" w14:textId="5E0E924B" w:rsidR="005F7BB6" w:rsidRPr="00AC1658" w:rsidRDefault="006D0594" w:rsidP="000F5AD3">
            <w:pPr>
              <w:spacing w:after="0" w:line="240" w:lineRule="auto"/>
              <w:rPr>
                <w:rFonts w:ascii="Arial" w:hAnsi="Arial" w:cs="Arial"/>
              </w:rPr>
            </w:pPr>
            <w:r w:rsidRPr="00AC1658">
              <w:rPr>
                <w:rFonts w:ascii="Arial" w:hAnsi="Arial" w:cs="Arial"/>
              </w:rPr>
              <w:t>Commencement</w:t>
            </w:r>
          </w:p>
        </w:tc>
        <w:tc>
          <w:tcPr>
            <w:tcW w:w="5464" w:type="dxa"/>
            <w:shd w:val="clear" w:color="auto" w:fill="D0CECE" w:themeFill="background2" w:themeFillShade="E6"/>
          </w:tcPr>
          <w:p w14:paraId="5F01E5A8" w14:textId="70FE698F" w:rsidR="005F7BB6" w:rsidRPr="009D21F1" w:rsidRDefault="00D25AC5" w:rsidP="000F5AD3">
            <w:pPr>
              <w:spacing w:after="0" w:line="240" w:lineRule="auto"/>
              <w:rPr>
                <w:rFonts w:ascii="Arial" w:hAnsi="Arial" w:cs="Arial"/>
              </w:rPr>
            </w:pPr>
            <w:r w:rsidRPr="009D21F1">
              <w:rPr>
                <w:rFonts w:ascii="Arial" w:hAnsi="Arial" w:cs="Arial"/>
              </w:rPr>
              <w:t>No comments from</w:t>
            </w:r>
            <w:r w:rsidR="003418A7" w:rsidRPr="009D21F1">
              <w:rPr>
                <w:rFonts w:ascii="Arial" w:hAnsi="Arial" w:cs="Arial"/>
              </w:rPr>
              <w:t xml:space="preserve"> any of</w:t>
            </w:r>
            <w:r w:rsidRPr="009D21F1">
              <w:rPr>
                <w:rFonts w:ascii="Arial" w:hAnsi="Arial" w:cs="Arial"/>
              </w:rPr>
              <w:t xml:space="preserve"> the </w:t>
            </w:r>
            <w:r w:rsidR="009D21F1">
              <w:rPr>
                <w:rFonts w:ascii="Arial" w:hAnsi="Arial" w:cs="Arial"/>
              </w:rPr>
              <w:t>respondents</w:t>
            </w:r>
            <w:r w:rsidRPr="009D21F1">
              <w:rPr>
                <w:rFonts w:ascii="Arial" w:hAnsi="Arial" w:cs="Arial"/>
              </w:rPr>
              <w:t>.</w:t>
            </w:r>
          </w:p>
        </w:tc>
        <w:tc>
          <w:tcPr>
            <w:tcW w:w="5504" w:type="dxa"/>
            <w:shd w:val="clear" w:color="auto" w:fill="D0CECE" w:themeFill="background2" w:themeFillShade="E6"/>
          </w:tcPr>
          <w:p w14:paraId="66D44A73" w14:textId="37F25FBF" w:rsidR="005F7BB6" w:rsidRPr="009D21F1" w:rsidRDefault="00A925E6" w:rsidP="000F5AD3">
            <w:pPr>
              <w:spacing w:after="0" w:line="240" w:lineRule="auto"/>
              <w:rPr>
                <w:rFonts w:ascii="Arial" w:hAnsi="Arial" w:cs="Arial"/>
              </w:rPr>
            </w:pPr>
            <w:r w:rsidRPr="009D21F1">
              <w:rPr>
                <w:rFonts w:ascii="Arial" w:hAnsi="Arial" w:cs="Arial"/>
              </w:rPr>
              <w:t>N/A</w:t>
            </w:r>
          </w:p>
        </w:tc>
      </w:tr>
      <w:tr w:rsidR="005F7BB6" w14:paraId="12C4AD25" w14:textId="77777777" w:rsidTr="00A070CF">
        <w:trPr>
          <w:trHeight w:val="410"/>
        </w:trPr>
        <w:tc>
          <w:tcPr>
            <w:tcW w:w="2980" w:type="dxa"/>
          </w:tcPr>
          <w:p w14:paraId="1E4BA2DA" w14:textId="1B2088CD" w:rsidR="005F7BB6" w:rsidRPr="00AC1658" w:rsidRDefault="006D0594" w:rsidP="000F5AD3">
            <w:pPr>
              <w:spacing w:after="0" w:line="240" w:lineRule="auto"/>
              <w:rPr>
                <w:rFonts w:ascii="Arial" w:hAnsi="Arial" w:cs="Arial"/>
              </w:rPr>
            </w:pPr>
            <w:r w:rsidRPr="00AC1658">
              <w:rPr>
                <w:rFonts w:ascii="Arial" w:hAnsi="Arial" w:cs="Arial"/>
              </w:rPr>
              <w:t>Legislative Authority</w:t>
            </w:r>
          </w:p>
        </w:tc>
        <w:tc>
          <w:tcPr>
            <w:tcW w:w="5464" w:type="dxa"/>
            <w:shd w:val="clear" w:color="auto" w:fill="D0CECE" w:themeFill="background2" w:themeFillShade="E6"/>
          </w:tcPr>
          <w:p w14:paraId="56B33D51" w14:textId="722E31B9" w:rsidR="005F7BB6" w:rsidRPr="009D21F1" w:rsidRDefault="003418A7" w:rsidP="000F5AD3">
            <w:pPr>
              <w:spacing w:after="0" w:line="240" w:lineRule="auto"/>
              <w:rPr>
                <w:rFonts w:ascii="Arial" w:hAnsi="Arial" w:cs="Arial"/>
              </w:rPr>
            </w:pPr>
            <w:r w:rsidRPr="009D21F1">
              <w:rPr>
                <w:rFonts w:ascii="Arial" w:hAnsi="Arial" w:cs="Arial"/>
              </w:rPr>
              <w:t xml:space="preserve">No comments from any of the </w:t>
            </w:r>
            <w:r w:rsidR="009D21F1">
              <w:rPr>
                <w:rFonts w:ascii="Arial" w:hAnsi="Arial" w:cs="Arial"/>
              </w:rPr>
              <w:t>respondents</w:t>
            </w:r>
            <w:r w:rsidRPr="009D21F1">
              <w:rPr>
                <w:rFonts w:ascii="Arial" w:hAnsi="Arial" w:cs="Arial"/>
              </w:rPr>
              <w:t>.</w:t>
            </w:r>
          </w:p>
        </w:tc>
        <w:tc>
          <w:tcPr>
            <w:tcW w:w="5504" w:type="dxa"/>
            <w:shd w:val="clear" w:color="auto" w:fill="D0CECE" w:themeFill="background2" w:themeFillShade="E6"/>
          </w:tcPr>
          <w:p w14:paraId="35442824" w14:textId="431A0B67" w:rsidR="005F7BB6" w:rsidRPr="009D21F1" w:rsidRDefault="00A925E6" w:rsidP="000F5AD3">
            <w:pPr>
              <w:spacing w:after="0" w:line="240" w:lineRule="auto"/>
              <w:rPr>
                <w:rFonts w:ascii="Arial" w:hAnsi="Arial" w:cs="Arial"/>
              </w:rPr>
            </w:pPr>
            <w:r w:rsidRPr="009D21F1">
              <w:rPr>
                <w:rFonts w:ascii="Arial" w:hAnsi="Arial" w:cs="Arial"/>
              </w:rPr>
              <w:t>N/A</w:t>
            </w:r>
          </w:p>
        </w:tc>
      </w:tr>
      <w:tr w:rsidR="005F7BB6" w14:paraId="11C1DA9F" w14:textId="77777777" w:rsidTr="00FC0985">
        <w:trPr>
          <w:trHeight w:val="1782"/>
        </w:trPr>
        <w:tc>
          <w:tcPr>
            <w:tcW w:w="2980" w:type="dxa"/>
          </w:tcPr>
          <w:p w14:paraId="1E332389" w14:textId="0A21F2A0" w:rsidR="005F7BB6" w:rsidRPr="00AC1658" w:rsidRDefault="006D0594" w:rsidP="000F5AD3">
            <w:pPr>
              <w:spacing w:after="0" w:line="240" w:lineRule="auto"/>
              <w:rPr>
                <w:rFonts w:ascii="Arial" w:hAnsi="Arial" w:cs="Arial"/>
              </w:rPr>
            </w:pPr>
            <w:r w:rsidRPr="00AC1658">
              <w:rPr>
                <w:rFonts w:ascii="Arial" w:hAnsi="Arial" w:cs="Arial"/>
              </w:rPr>
              <w:t>Definitions and Interpretation</w:t>
            </w:r>
          </w:p>
        </w:tc>
        <w:tc>
          <w:tcPr>
            <w:tcW w:w="5464" w:type="dxa"/>
            <w:shd w:val="clear" w:color="auto" w:fill="D0CECE" w:themeFill="background2" w:themeFillShade="E6"/>
          </w:tcPr>
          <w:p w14:paraId="1190B58F" w14:textId="476CF055" w:rsidR="00012F3B" w:rsidRPr="009D21F1" w:rsidRDefault="00CC5A1C" w:rsidP="000F5AD3">
            <w:pPr>
              <w:spacing w:after="0" w:line="240" w:lineRule="auto"/>
              <w:rPr>
                <w:rFonts w:ascii="Arial" w:hAnsi="Arial" w:cs="Arial"/>
              </w:rPr>
            </w:pPr>
            <w:r w:rsidRPr="009D21F1">
              <w:rPr>
                <w:rFonts w:ascii="Arial" w:hAnsi="Arial" w:cs="Arial"/>
              </w:rPr>
              <w:t>O</w:t>
            </w:r>
            <w:r w:rsidR="006C41B1" w:rsidRPr="009D21F1">
              <w:rPr>
                <w:rFonts w:ascii="Arial" w:hAnsi="Arial" w:cs="Arial"/>
              </w:rPr>
              <w:t>ne respondent requested that the definition for designated settlement systems be included in the definitions</w:t>
            </w:r>
            <w:r w:rsidRPr="009D21F1">
              <w:rPr>
                <w:rFonts w:ascii="Arial" w:hAnsi="Arial" w:cs="Arial"/>
              </w:rPr>
              <w:t xml:space="preserve"> and interpretation</w:t>
            </w:r>
            <w:r w:rsidR="006C41B1" w:rsidRPr="009D21F1">
              <w:rPr>
                <w:rFonts w:ascii="Arial" w:hAnsi="Arial" w:cs="Arial"/>
              </w:rPr>
              <w:t xml:space="preserve"> section.</w:t>
            </w:r>
            <w:r w:rsidR="00012F3B" w:rsidRPr="009D21F1">
              <w:rPr>
                <w:rFonts w:ascii="Arial" w:hAnsi="Arial" w:cs="Arial"/>
              </w:rPr>
              <w:t xml:space="preserve"> </w:t>
            </w:r>
          </w:p>
          <w:p w14:paraId="325D84A2" w14:textId="77777777" w:rsidR="00012F3B" w:rsidRPr="009D21F1" w:rsidRDefault="00012F3B" w:rsidP="000F5AD3">
            <w:pPr>
              <w:spacing w:after="0" w:line="240" w:lineRule="auto"/>
              <w:rPr>
                <w:rFonts w:ascii="Arial" w:hAnsi="Arial" w:cs="Arial"/>
              </w:rPr>
            </w:pPr>
          </w:p>
          <w:p w14:paraId="15CAC045" w14:textId="5CDC3EAB" w:rsidR="0081125D" w:rsidRPr="009D21F1" w:rsidRDefault="00012F3B" w:rsidP="000F5AD3">
            <w:pPr>
              <w:spacing w:after="0" w:line="240" w:lineRule="auto"/>
              <w:rPr>
                <w:rFonts w:ascii="Arial" w:hAnsi="Arial" w:cs="Arial"/>
              </w:rPr>
            </w:pPr>
            <w:r w:rsidRPr="009D21F1">
              <w:rPr>
                <w:rFonts w:ascii="Arial" w:hAnsi="Arial" w:cs="Arial"/>
              </w:rPr>
              <w:t xml:space="preserve">The </w:t>
            </w:r>
            <w:r w:rsidR="006C41B1" w:rsidRPr="009D21F1">
              <w:rPr>
                <w:rFonts w:ascii="Arial" w:hAnsi="Arial" w:cs="Arial"/>
              </w:rPr>
              <w:t>other comments</w:t>
            </w:r>
            <w:r w:rsidR="007E642A">
              <w:rPr>
                <w:rFonts w:ascii="Arial" w:hAnsi="Arial" w:cs="Arial"/>
              </w:rPr>
              <w:t xml:space="preserve"> on th</w:t>
            </w:r>
            <w:r w:rsidR="0099182C">
              <w:rPr>
                <w:rFonts w:ascii="Arial" w:hAnsi="Arial" w:cs="Arial"/>
              </w:rPr>
              <w:t xml:space="preserve">e definitions </w:t>
            </w:r>
            <w:r w:rsidR="006C41B1" w:rsidRPr="009D21F1">
              <w:rPr>
                <w:rFonts w:ascii="Arial" w:hAnsi="Arial" w:cs="Arial"/>
              </w:rPr>
              <w:t xml:space="preserve">were more clarity seeking regarding some of the </w:t>
            </w:r>
            <w:r w:rsidR="001A79D9" w:rsidRPr="009D21F1">
              <w:rPr>
                <w:rFonts w:ascii="Arial" w:hAnsi="Arial" w:cs="Arial"/>
              </w:rPr>
              <w:t>definitions in the Standard</w:t>
            </w:r>
            <w:r w:rsidR="007E642A">
              <w:rPr>
                <w:rFonts w:ascii="Arial" w:hAnsi="Arial" w:cs="Arial"/>
              </w:rPr>
              <w:t>.</w:t>
            </w:r>
          </w:p>
          <w:p w14:paraId="2AE6F000" w14:textId="32E55C91" w:rsidR="005F7BB6" w:rsidRPr="009D21F1" w:rsidRDefault="005F7BB6" w:rsidP="000F5AD3">
            <w:pPr>
              <w:spacing w:after="0" w:line="240" w:lineRule="auto"/>
              <w:rPr>
                <w:rFonts w:ascii="Arial" w:hAnsi="Arial" w:cs="Arial"/>
              </w:rPr>
            </w:pPr>
          </w:p>
        </w:tc>
        <w:tc>
          <w:tcPr>
            <w:tcW w:w="5504" w:type="dxa"/>
            <w:shd w:val="clear" w:color="auto" w:fill="D0CECE" w:themeFill="background2" w:themeFillShade="E6"/>
          </w:tcPr>
          <w:p w14:paraId="5FD72E5A" w14:textId="5611B485" w:rsidR="003E3486" w:rsidRDefault="00154B66" w:rsidP="000F5AD3">
            <w:pPr>
              <w:spacing w:after="0" w:line="240" w:lineRule="auto"/>
              <w:rPr>
                <w:rFonts w:ascii="Arial" w:hAnsi="Arial" w:cs="Arial"/>
              </w:rPr>
            </w:pPr>
            <w:r w:rsidRPr="003E3486">
              <w:rPr>
                <w:rFonts w:ascii="Arial" w:hAnsi="Arial" w:cs="Arial"/>
              </w:rPr>
              <w:t>T</w:t>
            </w:r>
            <w:r w:rsidR="004353B7" w:rsidRPr="003E3486">
              <w:rPr>
                <w:rFonts w:ascii="Arial" w:hAnsi="Arial" w:cs="Arial"/>
              </w:rPr>
              <w:t xml:space="preserve">he </w:t>
            </w:r>
            <w:r w:rsidR="008C35CA" w:rsidRPr="003E3486">
              <w:rPr>
                <w:rFonts w:ascii="Arial" w:hAnsi="Arial" w:cs="Arial"/>
              </w:rPr>
              <w:t>Authorities</w:t>
            </w:r>
            <w:r w:rsidR="009E0F99" w:rsidRPr="003E3486">
              <w:rPr>
                <w:rFonts w:ascii="Arial" w:hAnsi="Arial" w:cs="Arial"/>
              </w:rPr>
              <w:t xml:space="preserve"> </w:t>
            </w:r>
            <w:r w:rsidR="003E3486">
              <w:rPr>
                <w:rFonts w:ascii="Arial" w:hAnsi="Arial" w:cs="Arial"/>
              </w:rPr>
              <w:t xml:space="preserve">agree with the recommendation and as a result </w:t>
            </w:r>
            <w:r w:rsidR="003E3486" w:rsidRPr="003E3486">
              <w:rPr>
                <w:rFonts w:ascii="Arial" w:hAnsi="Arial" w:cs="Arial"/>
              </w:rPr>
              <w:t xml:space="preserve">added </w:t>
            </w:r>
            <w:r w:rsidR="003E3486">
              <w:rPr>
                <w:rFonts w:ascii="Arial" w:hAnsi="Arial" w:cs="Arial"/>
              </w:rPr>
              <w:t>the following definitions</w:t>
            </w:r>
            <w:r w:rsidR="00FC0985">
              <w:rPr>
                <w:rFonts w:ascii="Arial" w:hAnsi="Arial" w:cs="Arial"/>
              </w:rPr>
              <w:t>:</w:t>
            </w:r>
          </w:p>
          <w:p w14:paraId="1CA7AECF" w14:textId="6C2806ED" w:rsidR="003E3486" w:rsidRPr="003E3486" w:rsidRDefault="003E3486" w:rsidP="003E3486">
            <w:pPr>
              <w:pStyle w:val="ListParagraph"/>
              <w:numPr>
                <w:ilvl w:val="0"/>
                <w:numId w:val="30"/>
              </w:numPr>
              <w:ind w:left="376"/>
              <w:rPr>
                <w:rFonts w:ascii="Arial" w:hAnsi="Arial" w:cs="Arial"/>
              </w:rPr>
            </w:pPr>
            <w:r w:rsidRPr="003E3486">
              <w:rPr>
                <w:rFonts w:ascii="Arial" w:hAnsi="Arial" w:cs="Arial"/>
              </w:rPr>
              <w:t>designated settlement systems</w:t>
            </w:r>
            <w:r>
              <w:rPr>
                <w:rFonts w:ascii="Arial" w:hAnsi="Arial" w:cs="Arial"/>
              </w:rPr>
              <w:t>; and</w:t>
            </w:r>
          </w:p>
          <w:p w14:paraId="14ACABA1" w14:textId="42ABC836" w:rsidR="003E3486" w:rsidRPr="003E3486" w:rsidRDefault="003E3486" w:rsidP="003E3486">
            <w:pPr>
              <w:pStyle w:val="ListParagraph"/>
              <w:numPr>
                <w:ilvl w:val="0"/>
                <w:numId w:val="30"/>
              </w:numPr>
              <w:ind w:left="376"/>
              <w:rPr>
                <w:rFonts w:ascii="Arial" w:hAnsi="Arial" w:cs="Arial"/>
              </w:rPr>
            </w:pPr>
            <w:r w:rsidRPr="003E3486">
              <w:rPr>
                <w:rFonts w:ascii="Arial" w:hAnsi="Arial" w:cs="Arial"/>
              </w:rPr>
              <w:t>settlement systems</w:t>
            </w:r>
            <w:r>
              <w:rPr>
                <w:rFonts w:ascii="Arial" w:hAnsi="Arial" w:cs="Arial"/>
              </w:rPr>
              <w:t>.</w:t>
            </w:r>
          </w:p>
          <w:p w14:paraId="6A648E50" w14:textId="77777777" w:rsidR="003E3486" w:rsidRPr="003E3486" w:rsidRDefault="003E3486" w:rsidP="000F5AD3">
            <w:pPr>
              <w:spacing w:after="0" w:line="240" w:lineRule="auto"/>
              <w:rPr>
                <w:rFonts w:ascii="Arial" w:hAnsi="Arial" w:cs="Arial"/>
              </w:rPr>
            </w:pPr>
          </w:p>
          <w:p w14:paraId="3D53689C" w14:textId="77777777" w:rsidR="00172723" w:rsidRDefault="00172723" w:rsidP="000F5AD3">
            <w:pPr>
              <w:spacing w:after="0" w:line="240" w:lineRule="auto"/>
              <w:rPr>
                <w:rFonts w:ascii="Arial" w:hAnsi="Arial" w:cs="Arial"/>
              </w:rPr>
            </w:pPr>
          </w:p>
          <w:p w14:paraId="7891F06F" w14:textId="59F5F092" w:rsidR="005F7BB6" w:rsidRPr="00077F3D" w:rsidRDefault="00C725E2" w:rsidP="00077F3D">
            <w:pPr>
              <w:spacing w:after="0" w:line="240" w:lineRule="auto"/>
              <w:rPr>
                <w:rFonts w:ascii="Arial" w:hAnsi="Arial" w:cs="Arial"/>
              </w:rPr>
            </w:pPr>
            <w:r>
              <w:rPr>
                <w:rFonts w:ascii="Arial" w:hAnsi="Arial" w:cs="Arial"/>
              </w:rPr>
              <w:t>Clarity was provided on the other comments raised.</w:t>
            </w:r>
          </w:p>
        </w:tc>
      </w:tr>
      <w:tr w:rsidR="005F7BB6" w14:paraId="26CCABF8" w14:textId="77777777" w:rsidTr="00A070CF">
        <w:trPr>
          <w:trHeight w:val="430"/>
        </w:trPr>
        <w:tc>
          <w:tcPr>
            <w:tcW w:w="2980" w:type="dxa"/>
          </w:tcPr>
          <w:p w14:paraId="54ECC8D2" w14:textId="1904144E" w:rsidR="005F7BB6" w:rsidRPr="00AC1658" w:rsidRDefault="006D0594" w:rsidP="000F5AD3">
            <w:pPr>
              <w:spacing w:after="0" w:line="240" w:lineRule="auto"/>
              <w:rPr>
                <w:rFonts w:ascii="Arial" w:hAnsi="Arial" w:cs="Arial"/>
              </w:rPr>
            </w:pPr>
            <w:r w:rsidRPr="00AC1658">
              <w:rPr>
                <w:rFonts w:ascii="Arial" w:hAnsi="Arial" w:cs="Arial"/>
              </w:rPr>
              <w:t>Roles and Responsibilities</w:t>
            </w:r>
          </w:p>
        </w:tc>
        <w:tc>
          <w:tcPr>
            <w:tcW w:w="5464" w:type="dxa"/>
            <w:shd w:val="clear" w:color="auto" w:fill="D0CECE" w:themeFill="background2" w:themeFillShade="E6"/>
          </w:tcPr>
          <w:p w14:paraId="1AE10FEF" w14:textId="3059E57F" w:rsidR="00302544" w:rsidRPr="00E4517A" w:rsidRDefault="00B14CAA" w:rsidP="000F5AD3">
            <w:pPr>
              <w:spacing w:after="0" w:line="240" w:lineRule="auto"/>
              <w:rPr>
                <w:rFonts w:ascii="Arial" w:hAnsi="Arial" w:cs="Arial"/>
              </w:rPr>
            </w:pPr>
            <w:r w:rsidRPr="00E4517A">
              <w:rPr>
                <w:rFonts w:ascii="Arial" w:hAnsi="Arial" w:cs="Arial"/>
              </w:rPr>
              <w:t xml:space="preserve">No comments from any of the </w:t>
            </w:r>
            <w:r w:rsidR="00E4517A">
              <w:rPr>
                <w:rFonts w:ascii="Arial" w:hAnsi="Arial" w:cs="Arial"/>
              </w:rPr>
              <w:t>respondents</w:t>
            </w:r>
            <w:r w:rsidRPr="00E4517A">
              <w:rPr>
                <w:rFonts w:ascii="Arial" w:hAnsi="Arial" w:cs="Arial"/>
              </w:rPr>
              <w:t>.</w:t>
            </w:r>
          </w:p>
        </w:tc>
        <w:tc>
          <w:tcPr>
            <w:tcW w:w="5504" w:type="dxa"/>
            <w:shd w:val="clear" w:color="auto" w:fill="D0CECE" w:themeFill="background2" w:themeFillShade="E6"/>
          </w:tcPr>
          <w:p w14:paraId="472D1007" w14:textId="563B6CA3" w:rsidR="005F7BB6" w:rsidRPr="00E4517A" w:rsidRDefault="00A925E6" w:rsidP="000F5AD3">
            <w:pPr>
              <w:spacing w:after="0" w:line="240" w:lineRule="auto"/>
              <w:rPr>
                <w:rFonts w:ascii="Arial" w:hAnsi="Arial" w:cs="Arial"/>
              </w:rPr>
            </w:pPr>
            <w:r w:rsidRPr="00E4517A">
              <w:rPr>
                <w:rFonts w:ascii="Arial" w:hAnsi="Arial" w:cs="Arial"/>
              </w:rPr>
              <w:t>N/A</w:t>
            </w:r>
          </w:p>
        </w:tc>
      </w:tr>
      <w:tr w:rsidR="005F7BB6" w14:paraId="3EC1B26A" w14:textId="77777777" w:rsidTr="00A070CF">
        <w:trPr>
          <w:trHeight w:val="1691"/>
        </w:trPr>
        <w:tc>
          <w:tcPr>
            <w:tcW w:w="2980" w:type="dxa"/>
          </w:tcPr>
          <w:p w14:paraId="14EE1141" w14:textId="30F26D4E" w:rsidR="005F7BB6" w:rsidRPr="00AC1658" w:rsidRDefault="006D0594" w:rsidP="000F5AD3">
            <w:pPr>
              <w:spacing w:after="0" w:line="240" w:lineRule="auto"/>
              <w:rPr>
                <w:rFonts w:ascii="Arial" w:hAnsi="Arial" w:cs="Arial"/>
              </w:rPr>
            </w:pPr>
            <w:r w:rsidRPr="00AC1658">
              <w:rPr>
                <w:rFonts w:ascii="Arial" w:hAnsi="Arial" w:cs="Arial"/>
              </w:rPr>
              <w:t>Application</w:t>
            </w:r>
          </w:p>
        </w:tc>
        <w:tc>
          <w:tcPr>
            <w:tcW w:w="5464" w:type="dxa"/>
            <w:shd w:val="clear" w:color="auto" w:fill="D0CECE" w:themeFill="background2" w:themeFillShade="E6"/>
          </w:tcPr>
          <w:p w14:paraId="36747EE4" w14:textId="5A2050E2" w:rsidR="00E4517A" w:rsidRDefault="002B5BCC" w:rsidP="00FC0985">
            <w:pPr>
              <w:spacing w:after="0" w:line="240" w:lineRule="auto"/>
              <w:rPr>
                <w:rFonts w:ascii="Arial" w:hAnsi="Arial" w:cs="Arial"/>
              </w:rPr>
            </w:pPr>
            <w:r w:rsidRPr="00117246">
              <w:rPr>
                <w:rFonts w:ascii="Arial" w:hAnsi="Arial" w:cs="Arial"/>
                <w:b/>
                <w:bCs/>
                <w:i/>
                <w:iCs/>
              </w:rPr>
              <w:t>Part 1:</w:t>
            </w:r>
            <w:r>
              <w:rPr>
                <w:rFonts w:ascii="Arial" w:hAnsi="Arial" w:cs="Arial"/>
              </w:rPr>
              <w:t xml:space="preserve"> </w:t>
            </w:r>
            <w:r w:rsidR="00981DDA">
              <w:rPr>
                <w:rFonts w:ascii="Arial" w:hAnsi="Arial" w:cs="Arial"/>
              </w:rPr>
              <w:t>Respondents</w:t>
            </w:r>
            <w:r w:rsidR="00AB5B29">
              <w:rPr>
                <w:rFonts w:ascii="Arial" w:hAnsi="Arial" w:cs="Arial"/>
              </w:rPr>
              <w:t xml:space="preserve"> </w:t>
            </w:r>
            <w:r w:rsidR="00486EB1">
              <w:rPr>
                <w:rFonts w:ascii="Arial" w:hAnsi="Arial" w:cs="Arial"/>
              </w:rPr>
              <w:t>raised</w:t>
            </w:r>
            <w:r w:rsidR="00AB5B29">
              <w:rPr>
                <w:rFonts w:ascii="Arial" w:hAnsi="Arial" w:cs="Arial"/>
              </w:rPr>
              <w:t xml:space="preserve"> comments on whether the Standard applies </w:t>
            </w:r>
            <w:r w:rsidR="00486EB1">
              <w:rPr>
                <w:rFonts w:ascii="Arial" w:hAnsi="Arial" w:cs="Arial"/>
              </w:rPr>
              <w:t>to banks with open-bank strategies</w:t>
            </w:r>
            <w:r w:rsidR="00534337">
              <w:rPr>
                <w:rFonts w:ascii="Arial" w:hAnsi="Arial" w:cs="Arial"/>
              </w:rPr>
              <w:t xml:space="preserve"> (</w:t>
            </w:r>
            <w:r w:rsidR="00A05AE5">
              <w:rPr>
                <w:rFonts w:ascii="Arial" w:hAnsi="Arial" w:cs="Arial"/>
              </w:rPr>
              <w:t>i.e.,</w:t>
            </w:r>
            <w:r w:rsidR="00534337">
              <w:rPr>
                <w:rFonts w:ascii="Arial" w:hAnsi="Arial" w:cs="Arial"/>
              </w:rPr>
              <w:t xml:space="preserve"> DSIBs)</w:t>
            </w:r>
            <w:r w:rsidR="00486EB1">
              <w:rPr>
                <w:rFonts w:ascii="Arial" w:hAnsi="Arial" w:cs="Arial"/>
              </w:rPr>
              <w:t xml:space="preserve"> and what the impact </w:t>
            </w:r>
            <w:r w:rsidR="00534337">
              <w:rPr>
                <w:rFonts w:ascii="Arial" w:hAnsi="Arial" w:cs="Arial"/>
              </w:rPr>
              <w:t>on</w:t>
            </w:r>
            <w:r w:rsidR="00486EB1">
              <w:rPr>
                <w:rFonts w:ascii="Arial" w:hAnsi="Arial" w:cs="Arial"/>
              </w:rPr>
              <w:t xml:space="preserve"> </w:t>
            </w:r>
            <w:proofErr w:type="spellStart"/>
            <w:r w:rsidR="00486EB1">
              <w:rPr>
                <w:rFonts w:ascii="Arial" w:hAnsi="Arial" w:cs="Arial"/>
              </w:rPr>
              <w:t>Flac</w:t>
            </w:r>
            <w:proofErr w:type="spellEnd"/>
            <w:r w:rsidR="00486EB1">
              <w:rPr>
                <w:rFonts w:ascii="Arial" w:hAnsi="Arial" w:cs="Arial"/>
              </w:rPr>
              <w:t xml:space="preserve"> would be if </w:t>
            </w:r>
            <w:r w:rsidR="00534337">
              <w:rPr>
                <w:rFonts w:ascii="Arial" w:hAnsi="Arial" w:cs="Arial"/>
              </w:rPr>
              <w:t>some</w:t>
            </w:r>
            <w:r w:rsidR="00486EB1">
              <w:rPr>
                <w:rFonts w:ascii="Arial" w:hAnsi="Arial" w:cs="Arial"/>
              </w:rPr>
              <w:t xml:space="preserve"> assets and </w:t>
            </w:r>
            <w:r w:rsidR="00534337">
              <w:rPr>
                <w:rFonts w:ascii="Arial" w:hAnsi="Arial" w:cs="Arial"/>
              </w:rPr>
              <w:t>labilities</w:t>
            </w:r>
            <w:r w:rsidR="00486EB1">
              <w:rPr>
                <w:rFonts w:ascii="Arial" w:hAnsi="Arial" w:cs="Arial"/>
              </w:rPr>
              <w:t xml:space="preserve"> were </w:t>
            </w:r>
            <w:r w:rsidR="00534337">
              <w:rPr>
                <w:rFonts w:ascii="Arial" w:hAnsi="Arial" w:cs="Arial"/>
              </w:rPr>
              <w:t>transferred.</w:t>
            </w:r>
          </w:p>
          <w:p w14:paraId="37983317" w14:textId="77777777" w:rsidR="00CF0547" w:rsidRDefault="00CF0547" w:rsidP="00403309">
            <w:pPr>
              <w:spacing w:after="0" w:line="240" w:lineRule="auto"/>
              <w:jc w:val="both"/>
              <w:rPr>
                <w:rFonts w:ascii="Arial" w:hAnsi="Arial" w:cs="Arial"/>
              </w:rPr>
            </w:pPr>
          </w:p>
          <w:p w14:paraId="48CD0345" w14:textId="461904D9" w:rsidR="00370A5C" w:rsidRDefault="002B5BCC" w:rsidP="007135FB">
            <w:pPr>
              <w:spacing w:after="0" w:line="240" w:lineRule="auto"/>
              <w:rPr>
                <w:rFonts w:ascii="Arial" w:hAnsi="Arial" w:cs="Arial"/>
              </w:rPr>
            </w:pPr>
            <w:r w:rsidRPr="00117246">
              <w:rPr>
                <w:rFonts w:ascii="Arial" w:hAnsi="Arial" w:cs="Arial"/>
                <w:b/>
                <w:bCs/>
                <w:i/>
                <w:iCs/>
              </w:rPr>
              <w:t>Part 2:</w:t>
            </w:r>
            <w:r>
              <w:rPr>
                <w:rFonts w:ascii="Arial" w:hAnsi="Arial" w:cs="Arial"/>
              </w:rPr>
              <w:t xml:space="preserve"> </w:t>
            </w:r>
            <w:r w:rsidR="00370A5C">
              <w:rPr>
                <w:rFonts w:ascii="Arial" w:hAnsi="Arial" w:cs="Arial"/>
              </w:rPr>
              <w:t>Respondents also raised clarity seeking comments around the scope of the Standard, specifically</w:t>
            </w:r>
            <w:r w:rsidR="00FC6F7E">
              <w:rPr>
                <w:rFonts w:ascii="Arial" w:hAnsi="Arial" w:cs="Arial"/>
              </w:rPr>
              <w:t>:</w:t>
            </w:r>
          </w:p>
          <w:p w14:paraId="62D5DCC5" w14:textId="35337663" w:rsidR="00FC6F7E" w:rsidRPr="00534C67" w:rsidRDefault="002607EF" w:rsidP="002607EF">
            <w:pPr>
              <w:pStyle w:val="ListParagraph"/>
              <w:numPr>
                <w:ilvl w:val="0"/>
                <w:numId w:val="24"/>
              </w:numPr>
              <w:ind w:left="452"/>
              <w:jc w:val="both"/>
              <w:rPr>
                <w:rFonts w:ascii="Arial" w:hAnsi="Arial" w:cs="Arial"/>
              </w:rPr>
            </w:pPr>
            <w:r>
              <w:rPr>
                <w:rFonts w:ascii="Arial" w:hAnsi="Arial" w:cs="Arial"/>
              </w:rPr>
              <w:t>w</w:t>
            </w:r>
            <w:r w:rsidR="00FC6F7E" w:rsidRPr="00534C67">
              <w:rPr>
                <w:rFonts w:ascii="Arial" w:hAnsi="Arial" w:cs="Arial"/>
              </w:rPr>
              <w:t>hether the</w:t>
            </w:r>
            <w:r w:rsidR="009A3789">
              <w:rPr>
                <w:rFonts w:ascii="Arial" w:hAnsi="Arial" w:cs="Arial"/>
              </w:rPr>
              <w:t xml:space="preserve"> </w:t>
            </w:r>
            <w:r w:rsidR="00534C67">
              <w:rPr>
                <w:rFonts w:ascii="Arial" w:hAnsi="Arial" w:cs="Arial"/>
              </w:rPr>
              <w:t xml:space="preserve">Standard </w:t>
            </w:r>
            <w:r w:rsidR="00FC6F7E" w:rsidRPr="00534C67">
              <w:rPr>
                <w:rFonts w:ascii="Arial" w:hAnsi="Arial" w:cs="Arial"/>
              </w:rPr>
              <w:t xml:space="preserve">applies to non-bank </w:t>
            </w:r>
            <w:r w:rsidR="00534C67" w:rsidRPr="00534C67">
              <w:rPr>
                <w:rFonts w:ascii="Arial" w:hAnsi="Arial" w:cs="Arial"/>
              </w:rPr>
              <w:t>institutions</w:t>
            </w:r>
            <w:r w:rsidR="00FC6F7E" w:rsidRPr="00534C67">
              <w:rPr>
                <w:rFonts w:ascii="Arial" w:hAnsi="Arial" w:cs="Arial"/>
              </w:rPr>
              <w:t>; and</w:t>
            </w:r>
          </w:p>
          <w:p w14:paraId="76422256" w14:textId="721C7464" w:rsidR="00FC6F7E" w:rsidRPr="00534C67" w:rsidRDefault="00981DDA" w:rsidP="002607EF">
            <w:pPr>
              <w:pStyle w:val="ListParagraph"/>
              <w:numPr>
                <w:ilvl w:val="0"/>
                <w:numId w:val="24"/>
              </w:numPr>
              <w:ind w:left="452"/>
              <w:jc w:val="both"/>
              <w:rPr>
                <w:rFonts w:ascii="Arial" w:hAnsi="Arial" w:cs="Arial"/>
              </w:rPr>
            </w:pPr>
            <w:r>
              <w:rPr>
                <w:rFonts w:ascii="Arial" w:hAnsi="Arial" w:cs="Arial"/>
              </w:rPr>
              <w:t>i</w:t>
            </w:r>
            <w:r w:rsidR="00F05FE5">
              <w:rPr>
                <w:rFonts w:ascii="Arial" w:hAnsi="Arial" w:cs="Arial"/>
              </w:rPr>
              <w:t>f a bank or a Systemically Important Fin</w:t>
            </w:r>
            <w:r w:rsidR="00ED7FD9">
              <w:rPr>
                <w:rFonts w:ascii="Arial" w:hAnsi="Arial" w:cs="Arial"/>
              </w:rPr>
              <w:t>ancial Institution (SIFI) is a member of a conglomerate, w</w:t>
            </w:r>
            <w:r w:rsidR="00FC6F7E" w:rsidRPr="00534C67">
              <w:rPr>
                <w:rFonts w:ascii="Arial" w:hAnsi="Arial" w:cs="Arial"/>
              </w:rPr>
              <w:t xml:space="preserve">hether </w:t>
            </w:r>
            <w:r w:rsidR="00ED7FD9">
              <w:rPr>
                <w:rFonts w:ascii="Arial" w:hAnsi="Arial" w:cs="Arial"/>
              </w:rPr>
              <w:t xml:space="preserve">the other </w:t>
            </w:r>
            <w:r w:rsidR="00FC6F7E" w:rsidRPr="00534C67">
              <w:rPr>
                <w:rFonts w:ascii="Arial" w:hAnsi="Arial" w:cs="Arial"/>
              </w:rPr>
              <w:t xml:space="preserve">members </w:t>
            </w:r>
            <w:r w:rsidR="004353B7">
              <w:rPr>
                <w:rFonts w:ascii="Arial" w:hAnsi="Arial" w:cs="Arial"/>
              </w:rPr>
              <w:t xml:space="preserve">of </w:t>
            </w:r>
            <w:r w:rsidR="00ED7FD9">
              <w:rPr>
                <w:rFonts w:ascii="Arial" w:hAnsi="Arial" w:cs="Arial"/>
              </w:rPr>
              <w:t xml:space="preserve">the </w:t>
            </w:r>
            <w:r w:rsidR="00FC6F7E" w:rsidRPr="00534C67">
              <w:rPr>
                <w:rFonts w:ascii="Arial" w:hAnsi="Arial" w:cs="Arial"/>
              </w:rPr>
              <w:t>conglomerate</w:t>
            </w:r>
            <w:r w:rsidR="00ED7FD9">
              <w:rPr>
                <w:rFonts w:ascii="Arial" w:hAnsi="Arial" w:cs="Arial"/>
              </w:rPr>
              <w:t xml:space="preserve"> need to com</w:t>
            </w:r>
            <w:r w:rsidR="00FC6F7E" w:rsidRPr="00534C67">
              <w:rPr>
                <w:rFonts w:ascii="Arial" w:hAnsi="Arial" w:cs="Arial"/>
              </w:rPr>
              <w:t>ply with the requirements of the Standard</w:t>
            </w:r>
            <w:r w:rsidR="004844A6">
              <w:rPr>
                <w:rFonts w:ascii="Arial" w:hAnsi="Arial" w:cs="Arial"/>
              </w:rPr>
              <w:t>. Thi</w:t>
            </w:r>
            <w:r w:rsidR="008131F2">
              <w:rPr>
                <w:rFonts w:ascii="Arial" w:hAnsi="Arial" w:cs="Arial"/>
              </w:rPr>
              <w:t xml:space="preserve">s linked to </w:t>
            </w:r>
            <w:r w:rsidR="004353B7">
              <w:rPr>
                <w:rFonts w:ascii="Arial" w:hAnsi="Arial" w:cs="Arial"/>
              </w:rPr>
              <w:t xml:space="preserve">the </w:t>
            </w:r>
            <w:r w:rsidR="008131F2">
              <w:rPr>
                <w:rFonts w:ascii="Arial" w:hAnsi="Arial" w:cs="Arial"/>
              </w:rPr>
              <w:t>definition of a designated institution per section 29(A)(1)(e)</w:t>
            </w:r>
            <w:r w:rsidR="00D92EFC">
              <w:rPr>
                <w:rFonts w:ascii="Arial" w:hAnsi="Arial" w:cs="Arial"/>
              </w:rPr>
              <w:t xml:space="preserve"> of the Act.</w:t>
            </w:r>
          </w:p>
          <w:p w14:paraId="24748642" w14:textId="77777777" w:rsidR="00370A5C" w:rsidRDefault="00370A5C" w:rsidP="00403309">
            <w:pPr>
              <w:spacing w:after="0" w:line="240" w:lineRule="auto"/>
              <w:jc w:val="both"/>
              <w:rPr>
                <w:rFonts w:ascii="Arial" w:hAnsi="Arial" w:cs="Arial"/>
              </w:rPr>
            </w:pPr>
          </w:p>
          <w:p w14:paraId="6C57F7DE" w14:textId="72644A4A" w:rsidR="00CF0547" w:rsidRDefault="00CF0547" w:rsidP="00403309">
            <w:pPr>
              <w:spacing w:after="0" w:line="240" w:lineRule="auto"/>
              <w:jc w:val="both"/>
              <w:rPr>
                <w:rFonts w:ascii="Arial" w:hAnsi="Arial" w:cs="Arial"/>
              </w:rPr>
            </w:pPr>
          </w:p>
          <w:p w14:paraId="0C189B05" w14:textId="64ECD298" w:rsidR="00CF0547" w:rsidRPr="00E4517A" w:rsidRDefault="00CF0547" w:rsidP="00403309">
            <w:pPr>
              <w:spacing w:after="0" w:line="240" w:lineRule="auto"/>
              <w:jc w:val="both"/>
              <w:rPr>
                <w:rFonts w:ascii="Arial" w:hAnsi="Arial" w:cs="Arial"/>
              </w:rPr>
            </w:pPr>
          </w:p>
        </w:tc>
        <w:tc>
          <w:tcPr>
            <w:tcW w:w="5504" w:type="dxa"/>
            <w:shd w:val="clear" w:color="auto" w:fill="D0CECE" w:themeFill="background2" w:themeFillShade="E6"/>
          </w:tcPr>
          <w:p w14:paraId="15FCA55D" w14:textId="343B0FB3" w:rsidR="0054594D" w:rsidRDefault="007135FB" w:rsidP="00403309">
            <w:pPr>
              <w:spacing w:after="0" w:line="240" w:lineRule="auto"/>
              <w:jc w:val="both"/>
              <w:rPr>
                <w:rFonts w:ascii="Arial" w:hAnsi="Arial" w:cs="Arial"/>
              </w:rPr>
            </w:pPr>
            <w:r w:rsidRPr="00117246">
              <w:rPr>
                <w:rFonts w:ascii="Arial" w:hAnsi="Arial" w:cs="Arial"/>
                <w:b/>
                <w:bCs/>
                <w:i/>
                <w:iCs/>
              </w:rPr>
              <w:t>Part 1:</w:t>
            </w:r>
            <w:r>
              <w:rPr>
                <w:rFonts w:ascii="Arial" w:hAnsi="Arial" w:cs="Arial"/>
              </w:rPr>
              <w:t xml:space="preserve"> </w:t>
            </w:r>
            <w:r w:rsidR="0006406D">
              <w:rPr>
                <w:rFonts w:ascii="Arial" w:hAnsi="Arial" w:cs="Arial"/>
              </w:rPr>
              <w:t xml:space="preserve">The </w:t>
            </w:r>
            <w:r w:rsidR="00B567AD">
              <w:rPr>
                <w:rFonts w:ascii="Arial" w:hAnsi="Arial" w:cs="Arial"/>
              </w:rPr>
              <w:t>Authorities</w:t>
            </w:r>
            <w:r w:rsidR="0006406D">
              <w:rPr>
                <w:rFonts w:ascii="Arial" w:hAnsi="Arial" w:cs="Arial"/>
              </w:rPr>
              <w:t xml:space="preserve"> </w:t>
            </w:r>
            <w:r w:rsidR="001156D6">
              <w:rPr>
                <w:rFonts w:ascii="Arial" w:hAnsi="Arial" w:cs="Arial"/>
              </w:rPr>
              <w:t xml:space="preserve">provided clarity that resolution tools can be used on a stand-alone basis </w:t>
            </w:r>
            <w:r w:rsidR="00D12B55">
              <w:rPr>
                <w:rFonts w:ascii="Arial" w:hAnsi="Arial" w:cs="Arial"/>
              </w:rPr>
              <w:t>or</w:t>
            </w:r>
            <w:r w:rsidR="001156D6">
              <w:rPr>
                <w:rFonts w:ascii="Arial" w:hAnsi="Arial" w:cs="Arial"/>
              </w:rPr>
              <w:t xml:space="preserve"> in conjunction with each other. </w:t>
            </w:r>
            <w:r w:rsidR="00D12B55">
              <w:rPr>
                <w:rFonts w:ascii="Arial" w:hAnsi="Arial" w:cs="Arial"/>
              </w:rPr>
              <w:t>Therefore,</w:t>
            </w:r>
            <w:r w:rsidR="001156D6">
              <w:rPr>
                <w:rFonts w:ascii="Arial" w:hAnsi="Arial" w:cs="Arial"/>
              </w:rPr>
              <w:t xml:space="preserve"> </w:t>
            </w:r>
            <w:r w:rsidR="00855ECD">
              <w:rPr>
                <w:rFonts w:ascii="Arial" w:hAnsi="Arial" w:cs="Arial"/>
              </w:rPr>
              <w:t>the application of resolution tools is not binary (</w:t>
            </w:r>
            <w:r w:rsidR="00A05AE5">
              <w:rPr>
                <w:rFonts w:ascii="Arial" w:hAnsi="Arial" w:cs="Arial"/>
              </w:rPr>
              <w:t>i.e.,</w:t>
            </w:r>
            <w:r w:rsidR="00855ECD">
              <w:rPr>
                <w:rFonts w:ascii="Arial" w:hAnsi="Arial" w:cs="Arial"/>
              </w:rPr>
              <w:t xml:space="preserve"> </w:t>
            </w:r>
            <w:r w:rsidR="004353B7">
              <w:rPr>
                <w:rFonts w:ascii="Arial" w:hAnsi="Arial" w:cs="Arial"/>
              </w:rPr>
              <w:t xml:space="preserve">if </w:t>
            </w:r>
            <w:r w:rsidR="00855ECD">
              <w:rPr>
                <w:rFonts w:ascii="Arial" w:hAnsi="Arial" w:cs="Arial"/>
              </w:rPr>
              <w:t>bail-in is the main resolution tool for the strategy, that does not preclude transfers from being used in conjunction with bail-in).</w:t>
            </w:r>
          </w:p>
          <w:p w14:paraId="79163BDA" w14:textId="77777777" w:rsidR="007135FB" w:rsidRDefault="007135FB" w:rsidP="007135FB">
            <w:pPr>
              <w:spacing w:after="0" w:line="240" w:lineRule="auto"/>
              <w:jc w:val="both"/>
              <w:rPr>
                <w:rFonts w:ascii="Arial" w:hAnsi="Arial" w:cs="Arial"/>
              </w:rPr>
            </w:pPr>
          </w:p>
          <w:p w14:paraId="65031257" w14:textId="11201E05" w:rsidR="007135FB" w:rsidRDefault="007135FB" w:rsidP="007135FB">
            <w:pPr>
              <w:spacing w:after="0" w:line="240" w:lineRule="auto"/>
              <w:jc w:val="both"/>
              <w:rPr>
                <w:rFonts w:ascii="Arial" w:hAnsi="Arial" w:cs="Arial"/>
              </w:rPr>
            </w:pPr>
            <w:r w:rsidRPr="00117246">
              <w:rPr>
                <w:rFonts w:ascii="Arial" w:hAnsi="Arial" w:cs="Arial"/>
                <w:b/>
                <w:bCs/>
                <w:i/>
                <w:iCs/>
              </w:rPr>
              <w:t xml:space="preserve">Part </w:t>
            </w:r>
            <w:r w:rsidR="007915E3" w:rsidRPr="00117246">
              <w:rPr>
                <w:rFonts w:ascii="Arial" w:hAnsi="Arial" w:cs="Arial"/>
                <w:b/>
                <w:bCs/>
                <w:i/>
                <w:iCs/>
              </w:rPr>
              <w:t>2:</w:t>
            </w:r>
            <w:r w:rsidR="007915E3">
              <w:rPr>
                <w:rFonts w:ascii="Arial" w:hAnsi="Arial" w:cs="Arial"/>
              </w:rPr>
              <w:t xml:space="preserve"> Clarity</w:t>
            </w:r>
            <w:r>
              <w:rPr>
                <w:rFonts w:ascii="Arial" w:hAnsi="Arial" w:cs="Arial"/>
              </w:rPr>
              <w:t xml:space="preserve"> was </w:t>
            </w:r>
            <w:r w:rsidR="00A05AE5">
              <w:rPr>
                <w:rFonts w:ascii="Arial" w:hAnsi="Arial" w:cs="Arial"/>
              </w:rPr>
              <w:t>provided</w:t>
            </w:r>
            <w:r>
              <w:rPr>
                <w:rFonts w:ascii="Arial" w:hAnsi="Arial" w:cs="Arial"/>
              </w:rPr>
              <w:t xml:space="preserve"> that the Standard is applicable to </w:t>
            </w:r>
            <w:r w:rsidR="003E3486">
              <w:rPr>
                <w:rFonts w:ascii="Arial" w:hAnsi="Arial" w:cs="Arial"/>
              </w:rPr>
              <w:t>all</w:t>
            </w:r>
            <w:r w:rsidR="004353B7">
              <w:rPr>
                <w:rFonts w:ascii="Arial" w:hAnsi="Arial" w:cs="Arial"/>
              </w:rPr>
              <w:t xml:space="preserve"> </w:t>
            </w:r>
            <w:r>
              <w:rPr>
                <w:rFonts w:ascii="Arial" w:hAnsi="Arial" w:cs="Arial"/>
              </w:rPr>
              <w:t>designated institutions as defined in section 29</w:t>
            </w:r>
            <w:r w:rsidR="00CE3745">
              <w:rPr>
                <w:rFonts w:ascii="Arial" w:hAnsi="Arial" w:cs="Arial"/>
              </w:rPr>
              <w:t>A (</w:t>
            </w:r>
            <w:r>
              <w:rPr>
                <w:rFonts w:ascii="Arial" w:hAnsi="Arial" w:cs="Arial"/>
              </w:rPr>
              <w:t>1) of the</w:t>
            </w:r>
            <w:r w:rsidR="003E3486">
              <w:rPr>
                <w:rFonts w:ascii="Arial" w:hAnsi="Arial" w:cs="Arial"/>
              </w:rPr>
              <w:t xml:space="preserve"> Act (which is the</w:t>
            </w:r>
            <w:r>
              <w:rPr>
                <w:rFonts w:ascii="Arial" w:hAnsi="Arial" w:cs="Arial"/>
              </w:rPr>
              <w:t xml:space="preserve"> FSR Act as amended by the F</w:t>
            </w:r>
            <w:r w:rsidR="003E3486">
              <w:rPr>
                <w:rFonts w:ascii="Arial" w:hAnsi="Arial" w:cs="Arial"/>
              </w:rPr>
              <w:t xml:space="preserve">inancial </w:t>
            </w:r>
            <w:r>
              <w:rPr>
                <w:rFonts w:ascii="Arial" w:hAnsi="Arial" w:cs="Arial"/>
              </w:rPr>
              <w:t>S</w:t>
            </w:r>
            <w:r w:rsidR="003E3486">
              <w:rPr>
                <w:rFonts w:ascii="Arial" w:hAnsi="Arial" w:cs="Arial"/>
              </w:rPr>
              <w:t xml:space="preserve">ector </w:t>
            </w:r>
            <w:r>
              <w:rPr>
                <w:rFonts w:ascii="Arial" w:hAnsi="Arial" w:cs="Arial"/>
              </w:rPr>
              <w:t>L</w:t>
            </w:r>
            <w:r w:rsidR="003E3486">
              <w:rPr>
                <w:rFonts w:ascii="Arial" w:hAnsi="Arial" w:cs="Arial"/>
              </w:rPr>
              <w:t xml:space="preserve">aws </w:t>
            </w:r>
            <w:r>
              <w:rPr>
                <w:rFonts w:ascii="Arial" w:hAnsi="Arial" w:cs="Arial"/>
              </w:rPr>
              <w:t>A</w:t>
            </w:r>
            <w:r w:rsidR="003E3486">
              <w:rPr>
                <w:rFonts w:ascii="Arial" w:hAnsi="Arial" w:cs="Arial"/>
              </w:rPr>
              <w:t>mendment</w:t>
            </w:r>
            <w:r>
              <w:rPr>
                <w:rFonts w:ascii="Arial" w:hAnsi="Arial" w:cs="Arial"/>
              </w:rPr>
              <w:t xml:space="preserve"> Act</w:t>
            </w:r>
            <w:r w:rsidR="003E3486">
              <w:rPr>
                <w:rFonts w:ascii="Arial" w:hAnsi="Arial" w:cs="Arial"/>
              </w:rPr>
              <w:t xml:space="preserve"> No 23 of 2021).</w:t>
            </w:r>
          </w:p>
          <w:p w14:paraId="41E38AAB" w14:textId="77777777" w:rsidR="007135FB" w:rsidRDefault="007135FB" w:rsidP="007135FB">
            <w:pPr>
              <w:spacing w:after="0" w:line="240" w:lineRule="auto"/>
              <w:jc w:val="both"/>
              <w:rPr>
                <w:rFonts w:ascii="Arial" w:hAnsi="Arial" w:cs="Arial"/>
              </w:rPr>
            </w:pPr>
          </w:p>
          <w:p w14:paraId="01D13B80" w14:textId="4C3D4DF4" w:rsidR="00340A56" w:rsidRDefault="007915E3" w:rsidP="007135FB">
            <w:pPr>
              <w:spacing w:after="0" w:line="240" w:lineRule="auto"/>
              <w:jc w:val="both"/>
              <w:rPr>
                <w:rFonts w:ascii="Arial" w:hAnsi="Arial" w:cs="Arial"/>
              </w:rPr>
            </w:pPr>
            <w:r>
              <w:rPr>
                <w:rFonts w:ascii="Arial" w:hAnsi="Arial" w:cs="Arial"/>
              </w:rPr>
              <w:t>In addition, c</w:t>
            </w:r>
            <w:r w:rsidR="007135FB">
              <w:rPr>
                <w:rFonts w:ascii="Arial" w:hAnsi="Arial" w:cs="Arial"/>
              </w:rPr>
              <w:t xml:space="preserve">onfirmation was provided that the </w:t>
            </w:r>
            <w:r w:rsidR="00DA560E">
              <w:rPr>
                <w:rFonts w:ascii="Arial" w:hAnsi="Arial" w:cs="Arial"/>
              </w:rPr>
              <w:t>Authorities</w:t>
            </w:r>
            <w:r w:rsidR="007135FB">
              <w:rPr>
                <w:rFonts w:ascii="Arial" w:hAnsi="Arial" w:cs="Arial"/>
              </w:rPr>
              <w:t xml:space="preserve"> </w:t>
            </w:r>
            <w:r w:rsidR="007135FB">
              <w:rPr>
                <w:rFonts w:ascii="Arial" w:eastAsia="Times New Roman" w:hAnsi="Arial" w:cs="Arial"/>
                <w:lang w:val="en-GB"/>
              </w:rPr>
              <w:t>will follow a process for the Governor to indicate which entities (members) within a conglomerate will be exempted for resolution purposes as per section 29</w:t>
            </w:r>
            <w:r w:rsidR="00CE3745">
              <w:rPr>
                <w:rFonts w:ascii="Arial" w:eastAsia="Times New Roman" w:hAnsi="Arial" w:cs="Arial"/>
                <w:lang w:val="en-GB"/>
              </w:rPr>
              <w:t>A (</w:t>
            </w:r>
            <w:r w:rsidR="007135FB">
              <w:rPr>
                <w:rFonts w:ascii="Arial" w:eastAsia="Times New Roman" w:hAnsi="Arial" w:cs="Arial"/>
                <w:lang w:val="en-GB"/>
              </w:rPr>
              <w:t>2)</w:t>
            </w:r>
            <w:r w:rsidR="003E3486">
              <w:rPr>
                <w:rFonts w:ascii="Arial" w:eastAsia="Times New Roman" w:hAnsi="Arial" w:cs="Arial"/>
                <w:lang w:val="en-GB"/>
              </w:rPr>
              <w:t xml:space="preserve"> of the Act.</w:t>
            </w:r>
          </w:p>
          <w:p w14:paraId="1A17CE9D" w14:textId="1E5E0EDD" w:rsidR="00340A56" w:rsidRDefault="00340A56" w:rsidP="00403309">
            <w:pPr>
              <w:spacing w:after="0" w:line="240" w:lineRule="auto"/>
              <w:jc w:val="both"/>
              <w:rPr>
                <w:rFonts w:ascii="Arial" w:hAnsi="Arial" w:cs="Arial"/>
              </w:rPr>
            </w:pPr>
          </w:p>
          <w:p w14:paraId="3428F96D" w14:textId="517902EE" w:rsidR="007135FB" w:rsidRDefault="007915E3" w:rsidP="00403309">
            <w:pPr>
              <w:spacing w:after="0" w:line="240" w:lineRule="auto"/>
              <w:jc w:val="both"/>
              <w:rPr>
                <w:rFonts w:ascii="Arial" w:hAnsi="Arial" w:cs="Arial"/>
              </w:rPr>
            </w:pPr>
            <w:r>
              <w:rPr>
                <w:rFonts w:ascii="Arial" w:hAnsi="Arial" w:cs="Arial"/>
              </w:rPr>
              <w:t>Overall:</w:t>
            </w:r>
          </w:p>
          <w:p w14:paraId="19DF6DF1" w14:textId="77777777" w:rsidR="007915E3" w:rsidRDefault="007915E3" w:rsidP="00403309">
            <w:pPr>
              <w:spacing w:after="0" w:line="240" w:lineRule="auto"/>
              <w:jc w:val="both"/>
              <w:rPr>
                <w:rFonts w:ascii="Arial" w:hAnsi="Arial" w:cs="Arial"/>
              </w:rPr>
            </w:pPr>
          </w:p>
          <w:p w14:paraId="2562C529" w14:textId="39761B53" w:rsidR="00E63D06" w:rsidRDefault="00340A56" w:rsidP="00403309">
            <w:pPr>
              <w:spacing w:after="0" w:line="240" w:lineRule="auto"/>
              <w:jc w:val="both"/>
              <w:rPr>
                <w:rFonts w:ascii="Arial" w:hAnsi="Arial" w:cs="Arial"/>
              </w:rPr>
            </w:pPr>
            <w:r>
              <w:rPr>
                <w:rFonts w:ascii="Arial" w:hAnsi="Arial" w:cs="Arial"/>
              </w:rPr>
              <w:t xml:space="preserve">The </w:t>
            </w:r>
            <w:r w:rsidR="00DA560E">
              <w:rPr>
                <w:rFonts w:ascii="Arial" w:hAnsi="Arial" w:cs="Arial"/>
              </w:rPr>
              <w:t>Authorities</w:t>
            </w:r>
            <w:r>
              <w:rPr>
                <w:rFonts w:ascii="Arial" w:hAnsi="Arial" w:cs="Arial"/>
              </w:rPr>
              <w:t xml:space="preserve"> perceive</w:t>
            </w:r>
            <w:r w:rsidR="006A6A3F">
              <w:rPr>
                <w:rFonts w:ascii="Arial" w:hAnsi="Arial" w:cs="Arial"/>
              </w:rPr>
              <w:t>d</w:t>
            </w:r>
            <w:r>
              <w:rPr>
                <w:rFonts w:ascii="Arial" w:hAnsi="Arial" w:cs="Arial"/>
              </w:rPr>
              <w:t xml:space="preserve"> that there </w:t>
            </w:r>
            <w:r w:rsidR="00117246">
              <w:rPr>
                <w:rFonts w:ascii="Arial" w:hAnsi="Arial" w:cs="Arial"/>
              </w:rPr>
              <w:t>is a g</w:t>
            </w:r>
            <w:r>
              <w:rPr>
                <w:rFonts w:ascii="Arial" w:hAnsi="Arial" w:cs="Arial"/>
              </w:rPr>
              <w:t xml:space="preserve">eneral </w:t>
            </w:r>
            <w:r w:rsidR="00117246">
              <w:rPr>
                <w:rFonts w:ascii="Arial" w:hAnsi="Arial" w:cs="Arial"/>
              </w:rPr>
              <w:t>misunderstanding</w:t>
            </w:r>
            <w:r>
              <w:rPr>
                <w:rFonts w:ascii="Arial" w:hAnsi="Arial" w:cs="Arial"/>
              </w:rPr>
              <w:t xml:space="preserve"> with regards to the application of the Standard to designated institution</w:t>
            </w:r>
            <w:r w:rsidR="00B20F3E">
              <w:rPr>
                <w:rFonts w:ascii="Arial" w:hAnsi="Arial" w:cs="Arial"/>
              </w:rPr>
              <w:t>s</w:t>
            </w:r>
            <w:r>
              <w:rPr>
                <w:rFonts w:ascii="Arial" w:hAnsi="Arial" w:cs="Arial"/>
              </w:rPr>
              <w:t>.</w:t>
            </w:r>
          </w:p>
          <w:p w14:paraId="1606BEF1" w14:textId="52BA5B20" w:rsidR="00340A56" w:rsidRDefault="00340A56" w:rsidP="00403309">
            <w:pPr>
              <w:spacing w:after="0" w:line="240" w:lineRule="auto"/>
              <w:jc w:val="both"/>
              <w:rPr>
                <w:rFonts w:ascii="Arial" w:hAnsi="Arial" w:cs="Arial"/>
              </w:rPr>
            </w:pPr>
            <w:r>
              <w:rPr>
                <w:rFonts w:ascii="Arial" w:hAnsi="Arial" w:cs="Arial"/>
              </w:rPr>
              <w:t>To avoid future scoping issues and to account for the fact that transfer</w:t>
            </w:r>
            <w:r w:rsidR="002B5BCC">
              <w:rPr>
                <w:rFonts w:ascii="Arial" w:hAnsi="Arial" w:cs="Arial"/>
              </w:rPr>
              <w:t>s</w:t>
            </w:r>
            <w:r w:rsidR="006850D3">
              <w:rPr>
                <w:rFonts w:ascii="Arial" w:hAnsi="Arial" w:cs="Arial"/>
              </w:rPr>
              <w:t xml:space="preserve"> can be used as a stan</w:t>
            </w:r>
            <w:r w:rsidR="006A6A3F">
              <w:rPr>
                <w:rFonts w:ascii="Arial" w:hAnsi="Arial" w:cs="Arial"/>
              </w:rPr>
              <w:t>d</w:t>
            </w:r>
            <w:r w:rsidR="006850D3">
              <w:rPr>
                <w:rFonts w:ascii="Arial" w:hAnsi="Arial" w:cs="Arial"/>
              </w:rPr>
              <w:t xml:space="preserve">-alone resolution </w:t>
            </w:r>
            <w:r w:rsidR="002B5BCC">
              <w:rPr>
                <w:rFonts w:ascii="Arial" w:hAnsi="Arial" w:cs="Arial"/>
              </w:rPr>
              <w:t>tool</w:t>
            </w:r>
            <w:r w:rsidR="006850D3">
              <w:rPr>
                <w:rFonts w:ascii="Arial" w:hAnsi="Arial" w:cs="Arial"/>
              </w:rPr>
              <w:t xml:space="preserve"> </w:t>
            </w:r>
            <w:r w:rsidR="002B5BCC">
              <w:rPr>
                <w:rFonts w:ascii="Arial" w:hAnsi="Arial" w:cs="Arial"/>
              </w:rPr>
              <w:t>or</w:t>
            </w:r>
            <w:r w:rsidR="006850D3">
              <w:rPr>
                <w:rFonts w:ascii="Arial" w:hAnsi="Arial" w:cs="Arial"/>
              </w:rPr>
              <w:t xml:space="preserve"> in conjunction with other tools</w:t>
            </w:r>
            <w:r w:rsidR="002B5BCC">
              <w:rPr>
                <w:rFonts w:ascii="Arial" w:hAnsi="Arial" w:cs="Arial"/>
              </w:rPr>
              <w:t xml:space="preserve"> </w:t>
            </w:r>
            <w:r w:rsidR="00A72EF1">
              <w:rPr>
                <w:rFonts w:ascii="Arial" w:hAnsi="Arial" w:cs="Arial"/>
              </w:rPr>
              <w:t>(</w:t>
            </w:r>
            <w:r w:rsidR="002B5BCC">
              <w:rPr>
                <w:rFonts w:ascii="Arial" w:hAnsi="Arial" w:cs="Arial"/>
              </w:rPr>
              <w:t>depending on the resolution strategy</w:t>
            </w:r>
            <w:r w:rsidR="00A72EF1">
              <w:rPr>
                <w:rFonts w:ascii="Arial" w:hAnsi="Arial" w:cs="Arial"/>
              </w:rPr>
              <w:t>)</w:t>
            </w:r>
            <w:r w:rsidR="006850D3">
              <w:rPr>
                <w:rFonts w:ascii="Arial" w:hAnsi="Arial" w:cs="Arial"/>
              </w:rPr>
              <w:t>, the Standard is applicable to all designated institutions.</w:t>
            </w:r>
          </w:p>
          <w:p w14:paraId="1A8CD1B5" w14:textId="2755D74F" w:rsidR="00855ECD" w:rsidRDefault="00855ECD" w:rsidP="00403309">
            <w:pPr>
              <w:spacing w:after="0" w:line="240" w:lineRule="auto"/>
              <w:jc w:val="both"/>
              <w:rPr>
                <w:rFonts w:ascii="Arial" w:hAnsi="Arial" w:cs="Arial"/>
              </w:rPr>
            </w:pPr>
          </w:p>
          <w:p w14:paraId="2C6C6C31" w14:textId="61227918" w:rsidR="00E74B49" w:rsidRDefault="003E3486" w:rsidP="00E74B49">
            <w:pPr>
              <w:spacing w:after="0" w:line="240" w:lineRule="auto"/>
              <w:jc w:val="both"/>
              <w:rPr>
                <w:rFonts w:ascii="Arial" w:hAnsi="Arial" w:cs="Arial"/>
              </w:rPr>
            </w:pPr>
            <w:r>
              <w:rPr>
                <w:rFonts w:ascii="Arial" w:hAnsi="Arial" w:cs="Arial"/>
              </w:rPr>
              <w:lastRenderedPageBreak/>
              <w:t>To</w:t>
            </w:r>
            <w:r w:rsidR="002B5BCC">
              <w:rPr>
                <w:rFonts w:ascii="Arial" w:hAnsi="Arial" w:cs="Arial"/>
              </w:rPr>
              <w:t xml:space="preserve"> </w:t>
            </w:r>
            <w:r>
              <w:rPr>
                <w:rFonts w:ascii="Arial" w:hAnsi="Arial" w:cs="Arial"/>
              </w:rPr>
              <w:t>overcome</w:t>
            </w:r>
            <w:r w:rsidR="008F791B">
              <w:rPr>
                <w:rFonts w:ascii="Arial" w:hAnsi="Arial" w:cs="Arial"/>
              </w:rPr>
              <w:t xml:space="preserve"> </w:t>
            </w:r>
            <w:r>
              <w:rPr>
                <w:rFonts w:ascii="Arial" w:hAnsi="Arial" w:cs="Arial"/>
              </w:rPr>
              <w:t>misinterpretation of this section</w:t>
            </w:r>
            <w:r w:rsidR="00855ECD">
              <w:rPr>
                <w:rFonts w:ascii="Arial" w:hAnsi="Arial" w:cs="Arial"/>
              </w:rPr>
              <w:t xml:space="preserve">, the </w:t>
            </w:r>
            <w:r>
              <w:rPr>
                <w:rFonts w:ascii="Arial" w:hAnsi="Arial" w:cs="Arial"/>
              </w:rPr>
              <w:t>Authorities fleshed</w:t>
            </w:r>
            <w:r w:rsidR="002F379B" w:rsidRPr="002F379B">
              <w:rPr>
                <w:rFonts w:ascii="Arial" w:hAnsi="Arial" w:cs="Arial"/>
                <w:b/>
                <w:bCs/>
              </w:rPr>
              <w:t xml:space="preserve"> out</w:t>
            </w:r>
            <w:r w:rsidR="002F379B">
              <w:rPr>
                <w:rFonts w:ascii="Arial" w:hAnsi="Arial" w:cs="Arial"/>
              </w:rPr>
              <w:t xml:space="preserve"> </w:t>
            </w:r>
            <w:r w:rsidR="00855ECD">
              <w:rPr>
                <w:rFonts w:ascii="Arial" w:hAnsi="Arial" w:cs="Arial"/>
              </w:rPr>
              <w:t xml:space="preserve">the </w:t>
            </w:r>
            <w:r w:rsidR="00855ECD" w:rsidRPr="002B6E7A">
              <w:rPr>
                <w:rFonts w:ascii="Arial" w:hAnsi="Arial" w:cs="Arial"/>
                <w:b/>
                <w:bCs/>
              </w:rPr>
              <w:t>application section</w:t>
            </w:r>
            <w:r w:rsidR="00C74FC8" w:rsidRPr="002B6E7A">
              <w:rPr>
                <w:rFonts w:ascii="Arial" w:hAnsi="Arial" w:cs="Arial"/>
                <w:b/>
                <w:bCs/>
              </w:rPr>
              <w:t xml:space="preserve"> (section 5)</w:t>
            </w:r>
            <w:r w:rsidR="00855ECD">
              <w:rPr>
                <w:rFonts w:ascii="Arial" w:hAnsi="Arial" w:cs="Arial"/>
              </w:rPr>
              <w:t xml:space="preserve"> </w:t>
            </w:r>
            <w:r>
              <w:rPr>
                <w:rFonts w:ascii="Arial" w:hAnsi="Arial" w:cs="Arial"/>
              </w:rPr>
              <w:t xml:space="preserve">of </w:t>
            </w:r>
            <w:r w:rsidR="00005062">
              <w:rPr>
                <w:rFonts w:ascii="Arial" w:hAnsi="Arial" w:cs="Arial"/>
              </w:rPr>
              <w:t>the Standard</w:t>
            </w:r>
            <w:r w:rsidR="00855ECD">
              <w:rPr>
                <w:rFonts w:ascii="Arial" w:hAnsi="Arial" w:cs="Arial"/>
              </w:rPr>
              <w:t>, to clarify that the Standard is applicable to all designated institutions</w:t>
            </w:r>
            <w:r w:rsidR="004353B7">
              <w:rPr>
                <w:rFonts w:ascii="Arial" w:hAnsi="Arial" w:cs="Arial"/>
              </w:rPr>
              <w:t>.</w:t>
            </w:r>
            <w:r w:rsidR="00855ECD">
              <w:rPr>
                <w:rFonts w:ascii="Arial" w:hAnsi="Arial" w:cs="Arial"/>
              </w:rPr>
              <w:t xml:space="preserve"> </w:t>
            </w:r>
            <w:r w:rsidR="004353B7">
              <w:rPr>
                <w:rFonts w:ascii="Arial" w:hAnsi="Arial" w:cs="Arial"/>
              </w:rPr>
              <w:t>However</w:t>
            </w:r>
            <w:r w:rsidR="00855ECD">
              <w:rPr>
                <w:rFonts w:ascii="Arial" w:hAnsi="Arial" w:cs="Arial"/>
              </w:rPr>
              <w:t xml:space="preserve">, only the designated institutions that have been informed by the Reserve Bank that transfer tools will form part of their resolution strategy </w:t>
            </w:r>
            <w:r w:rsidR="00E74B49">
              <w:rPr>
                <w:rFonts w:ascii="Arial" w:hAnsi="Arial" w:cs="Arial"/>
              </w:rPr>
              <w:t xml:space="preserve">(and the extent thereof) </w:t>
            </w:r>
            <w:r w:rsidR="00855ECD">
              <w:rPr>
                <w:rFonts w:ascii="Arial" w:hAnsi="Arial" w:cs="Arial"/>
              </w:rPr>
              <w:t xml:space="preserve">will have to comply with </w:t>
            </w:r>
            <w:r w:rsidR="004353B7">
              <w:rPr>
                <w:rFonts w:ascii="Arial" w:hAnsi="Arial" w:cs="Arial"/>
              </w:rPr>
              <w:t xml:space="preserve">the </w:t>
            </w:r>
            <w:r w:rsidR="00855ECD">
              <w:rPr>
                <w:rFonts w:ascii="Arial" w:hAnsi="Arial" w:cs="Arial"/>
              </w:rPr>
              <w:t>requirements</w:t>
            </w:r>
            <w:r w:rsidR="00120E78">
              <w:rPr>
                <w:rFonts w:ascii="Arial" w:hAnsi="Arial" w:cs="Arial"/>
              </w:rPr>
              <w:t xml:space="preserve"> contained in the Standard</w:t>
            </w:r>
            <w:r w:rsidR="00E74B49">
              <w:rPr>
                <w:rFonts w:ascii="Arial" w:hAnsi="Arial" w:cs="Arial"/>
              </w:rPr>
              <w:t>.</w:t>
            </w:r>
          </w:p>
          <w:p w14:paraId="26FFCF55" w14:textId="293533F0" w:rsidR="00AE31F0" w:rsidRPr="00E4517A" w:rsidRDefault="00AE31F0" w:rsidP="00E74B49">
            <w:pPr>
              <w:spacing w:after="0" w:line="240" w:lineRule="auto"/>
              <w:jc w:val="both"/>
              <w:rPr>
                <w:rFonts w:ascii="Arial" w:hAnsi="Arial" w:cs="Arial"/>
              </w:rPr>
            </w:pPr>
          </w:p>
        </w:tc>
      </w:tr>
      <w:tr w:rsidR="005F7BB6" w14:paraId="1A4D6229" w14:textId="77777777" w:rsidTr="00A23B75">
        <w:trPr>
          <w:trHeight w:val="934"/>
        </w:trPr>
        <w:tc>
          <w:tcPr>
            <w:tcW w:w="2980" w:type="dxa"/>
          </w:tcPr>
          <w:p w14:paraId="27E671BD" w14:textId="17C911DA" w:rsidR="005F7BB6" w:rsidRPr="00AC1658" w:rsidRDefault="006D0594" w:rsidP="000F5AD3">
            <w:pPr>
              <w:spacing w:after="0" w:line="240" w:lineRule="auto"/>
              <w:rPr>
                <w:rFonts w:ascii="Arial" w:hAnsi="Arial" w:cs="Arial"/>
              </w:rPr>
            </w:pPr>
            <w:r w:rsidRPr="00AC1658">
              <w:rPr>
                <w:rFonts w:ascii="Arial" w:hAnsi="Arial" w:cs="Arial"/>
              </w:rPr>
              <w:lastRenderedPageBreak/>
              <w:t>Statutory transfer powers</w:t>
            </w:r>
          </w:p>
        </w:tc>
        <w:tc>
          <w:tcPr>
            <w:tcW w:w="5464" w:type="dxa"/>
            <w:shd w:val="clear" w:color="auto" w:fill="D0CECE" w:themeFill="background2" w:themeFillShade="E6"/>
          </w:tcPr>
          <w:p w14:paraId="4EA62259" w14:textId="1070D6E3" w:rsidR="00AE660B" w:rsidRPr="00E4517A" w:rsidRDefault="00C4267C" w:rsidP="00403309">
            <w:pPr>
              <w:spacing w:after="0" w:line="240" w:lineRule="auto"/>
              <w:jc w:val="both"/>
              <w:rPr>
                <w:rFonts w:ascii="Arial" w:hAnsi="Arial" w:cs="Arial"/>
              </w:rPr>
            </w:pPr>
            <w:r>
              <w:rPr>
                <w:rFonts w:ascii="Arial" w:hAnsi="Arial" w:cs="Arial"/>
              </w:rPr>
              <w:t xml:space="preserve">The general comments raised by respondents were to refrain from </w:t>
            </w:r>
            <w:r w:rsidR="009A3392">
              <w:rPr>
                <w:rFonts w:ascii="Arial" w:hAnsi="Arial" w:cs="Arial"/>
              </w:rPr>
              <w:t>referring</w:t>
            </w:r>
            <w:r>
              <w:rPr>
                <w:rFonts w:ascii="Arial" w:hAnsi="Arial" w:cs="Arial"/>
              </w:rPr>
              <w:t xml:space="preserve"> to the </w:t>
            </w:r>
            <w:r w:rsidR="009A3392">
              <w:rPr>
                <w:rFonts w:ascii="Arial" w:hAnsi="Arial" w:cs="Arial"/>
              </w:rPr>
              <w:t>“</w:t>
            </w:r>
            <w:r>
              <w:rPr>
                <w:rFonts w:ascii="Arial" w:hAnsi="Arial" w:cs="Arial"/>
              </w:rPr>
              <w:t>FSLA Act</w:t>
            </w:r>
            <w:r w:rsidR="009A3392">
              <w:rPr>
                <w:rFonts w:ascii="Arial" w:hAnsi="Arial" w:cs="Arial"/>
              </w:rPr>
              <w:t>”</w:t>
            </w:r>
            <w:r>
              <w:rPr>
                <w:rFonts w:ascii="Arial" w:hAnsi="Arial" w:cs="Arial"/>
              </w:rPr>
              <w:t>, and rather refer to “the Act” which is the FSR Act, as amended by the FSLA Act.</w:t>
            </w:r>
          </w:p>
        </w:tc>
        <w:tc>
          <w:tcPr>
            <w:tcW w:w="5504" w:type="dxa"/>
            <w:shd w:val="clear" w:color="auto" w:fill="D0CECE" w:themeFill="background2" w:themeFillShade="E6"/>
          </w:tcPr>
          <w:p w14:paraId="2ECCF31C" w14:textId="7E51D17A" w:rsidR="00AE660B" w:rsidRDefault="00C4267C" w:rsidP="007A4CD2">
            <w:pPr>
              <w:spacing w:after="0" w:line="240" w:lineRule="auto"/>
              <w:jc w:val="both"/>
              <w:rPr>
                <w:rFonts w:ascii="Arial" w:hAnsi="Arial" w:cs="Arial"/>
              </w:rPr>
            </w:pPr>
            <w:r>
              <w:rPr>
                <w:rFonts w:ascii="Arial" w:hAnsi="Arial" w:cs="Arial"/>
              </w:rPr>
              <w:t xml:space="preserve">The </w:t>
            </w:r>
            <w:r w:rsidR="00DA560E">
              <w:rPr>
                <w:rFonts w:ascii="Arial" w:hAnsi="Arial" w:cs="Arial"/>
              </w:rPr>
              <w:t>Authorities</w:t>
            </w:r>
            <w:r>
              <w:rPr>
                <w:rFonts w:ascii="Arial" w:hAnsi="Arial" w:cs="Arial"/>
              </w:rPr>
              <w:t xml:space="preserve"> agree with the recommendation and has removed a</w:t>
            </w:r>
            <w:r w:rsidR="00F06361">
              <w:rPr>
                <w:rFonts w:ascii="Arial" w:hAnsi="Arial" w:cs="Arial"/>
              </w:rPr>
              <w:t>ll</w:t>
            </w:r>
            <w:r>
              <w:rPr>
                <w:rFonts w:ascii="Arial" w:hAnsi="Arial" w:cs="Arial"/>
              </w:rPr>
              <w:t xml:space="preserve"> references to the FSLA Act and only refer to “the Act” in the Standard.</w:t>
            </w:r>
          </w:p>
          <w:p w14:paraId="56807D22" w14:textId="5E6962D3" w:rsidR="00DF5406" w:rsidRPr="00E4517A" w:rsidRDefault="00DF5406" w:rsidP="007A4CD2">
            <w:pPr>
              <w:spacing w:after="0" w:line="240" w:lineRule="auto"/>
              <w:jc w:val="both"/>
              <w:rPr>
                <w:rFonts w:ascii="Arial" w:hAnsi="Arial" w:cs="Arial"/>
              </w:rPr>
            </w:pPr>
          </w:p>
        </w:tc>
      </w:tr>
      <w:tr w:rsidR="004961A2" w14:paraId="76D96200" w14:textId="77777777" w:rsidTr="00A23B75">
        <w:trPr>
          <w:trHeight w:val="2924"/>
        </w:trPr>
        <w:tc>
          <w:tcPr>
            <w:tcW w:w="2980" w:type="dxa"/>
            <w:tcBorders>
              <w:bottom w:val="single" w:sz="4" w:space="0" w:color="auto"/>
            </w:tcBorders>
          </w:tcPr>
          <w:p w14:paraId="6637D792" w14:textId="45EB8256" w:rsidR="004961A2" w:rsidRPr="00AC1658" w:rsidRDefault="006D0594" w:rsidP="000F5AD3">
            <w:pPr>
              <w:spacing w:after="0" w:line="240" w:lineRule="auto"/>
              <w:rPr>
                <w:rFonts w:ascii="Arial" w:hAnsi="Arial" w:cs="Arial"/>
              </w:rPr>
            </w:pPr>
            <w:r w:rsidRPr="00AC1658">
              <w:rPr>
                <w:rFonts w:ascii="Arial" w:hAnsi="Arial" w:cs="Arial"/>
              </w:rPr>
              <w:t>Planning and execution of a resolution transfer tool</w:t>
            </w:r>
          </w:p>
        </w:tc>
        <w:tc>
          <w:tcPr>
            <w:tcW w:w="5464" w:type="dxa"/>
            <w:shd w:val="clear" w:color="auto" w:fill="D0CECE" w:themeFill="background2" w:themeFillShade="E6"/>
          </w:tcPr>
          <w:p w14:paraId="6319EE22" w14:textId="2423B96B" w:rsidR="00A504D5" w:rsidRDefault="00740EAB" w:rsidP="000F5AD3">
            <w:pPr>
              <w:spacing w:after="0" w:line="240" w:lineRule="auto"/>
              <w:rPr>
                <w:rFonts w:ascii="Arial" w:hAnsi="Arial" w:cs="Arial"/>
              </w:rPr>
            </w:pPr>
            <w:r>
              <w:rPr>
                <w:rFonts w:ascii="Arial" w:hAnsi="Arial" w:cs="Arial"/>
              </w:rPr>
              <w:t xml:space="preserve">One respondent raised </w:t>
            </w:r>
            <w:r w:rsidR="00B9569C">
              <w:rPr>
                <w:rFonts w:ascii="Arial" w:hAnsi="Arial" w:cs="Arial"/>
              </w:rPr>
              <w:t xml:space="preserve">comments around </w:t>
            </w:r>
            <w:r w:rsidR="00632DB6">
              <w:rPr>
                <w:rFonts w:ascii="Arial" w:hAnsi="Arial" w:cs="Arial"/>
              </w:rPr>
              <w:t xml:space="preserve">the business </w:t>
            </w:r>
            <w:r w:rsidR="004B2E2A">
              <w:rPr>
                <w:rFonts w:ascii="Arial" w:hAnsi="Arial" w:cs="Arial"/>
              </w:rPr>
              <w:t xml:space="preserve">plan </w:t>
            </w:r>
            <w:r w:rsidR="00632DB6">
              <w:rPr>
                <w:rFonts w:ascii="Arial" w:hAnsi="Arial" w:cs="Arial"/>
              </w:rPr>
              <w:t xml:space="preserve">requirements, specifically </w:t>
            </w:r>
            <w:r w:rsidR="00A504D5">
              <w:rPr>
                <w:rFonts w:ascii="Arial" w:hAnsi="Arial" w:cs="Arial"/>
              </w:rPr>
              <w:t>relating to their interpretation of what a business plan entails and the drivers thereof.</w:t>
            </w:r>
          </w:p>
          <w:p w14:paraId="38227F20" w14:textId="1E73CF5C" w:rsidR="00A504D5" w:rsidRDefault="00A504D5" w:rsidP="000F5AD3">
            <w:pPr>
              <w:spacing w:after="0" w:line="240" w:lineRule="auto"/>
              <w:rPr>
                <w:rFonts w:ascii="Arial" w:hAnsi="Arial" w:cs="Arial"/>
              </w:rPr>
            </w:pPr>
          </w:p>
          <w:p w14:paraId="0755D6EE" w14:textId="0FF08C88" w:rsidR="00B9569C" w:rsidRPr="00E4517A" w:rsidRDefault="0059336F" w:rsidP="000F5AD3">
            <w:pPr>
              <w:spacing w:after="0" w:line="240" w:lineRule="auto"/>
              <w:rPr>
                <w:rFonts w:ascii="Arial" w:hAnsi="Arial" w:cs="Arial"/>
              </w:rPr>
            </w:pPr>
            <w:r>
              <w:rPr>
                <w:rFonts w:ascii="Arial" w:hAnsi="Arial" w:cs="Arial"/>
              </w:rPr>
              <w:t>Respondents also raised concerns around the</w:t>
            </w:r>
            <w:r w:rsidR="00E01DAE">
              <w:rPr>
                <w:rFonts w:ascii="Arial" w:hAnsi="Arial" w:cs="Arial"/>
              </w:rPr>
              <w:t xml:space="preserve"> perceived</w:t>
            </w:r>
            <w:r>
              <w:rPr>
                <w:rFonts w:ascii="Arial" w:hAnsi="Arial" w:cs="Arial"/>
              </w:rPr>
              <w:t xml:space="preserve"> onerous requirements of producing a Transfer </w:t>
            </w:r>
            <w:r w:rsidR="004353B7">
              <w:rPr>
                <w:rFonts w:ascii="Arial" w:hAnsi="Arial" w:cs="Arial"/>
              </w:rPr>
              <w:t xml:space="preserve">Playbook </w:t>
            </w:r>
            <w:r>
              <w:rPr>
                <w:rFonts w:ascii="Arial" w:hAnsi="Arial" w:cs="Arial"/>
              </w:rPr>
              <w:t xml:space="preserve">as well as </w:t>
            </w:r>
            <w:r w:rsidR="00943761">
              <w:rPr>
                <w:rFonts w:ascii="Arial" w:hAnsi="Arial" w:cs="Arial"/>
              </w:rPr>
              <w:t xml:space="preserve">the possibility </w:t>
            </w:r>
            <w:r w:rsidR="00A02438">
              <w:rPr>
                <w:rFonts w:ascii="Arial" w:hAnsi="Arial" w:cs="Arial"/>
              </w:rPr>
              <w:t>of complying</w:t>
            </w:r>
            <w:r w:rsidR="00B346C9">
              <w:rPr>
                <w:rFonts w:ascii="Arial" w:hAnsi="Arial" w:cs="Arial"/>
              </w:rPr>
              <w:t xml:space="preserve"> to the same requirements in </w:t>
            </w:r>
            <w:r w:rsidR="00A02438">
              <w:rPr>
                <w:rFonts w:ascii="Arial" w:hAnsi="Arial" w:cs="Arial"/>
              </w:rPr>
              <w:t xml:space="preserve">other Standards </w:t>
            </w:r>
            <w:r w:rsidR="008B5020">
              <w:rPr>
                <w:rFonts w:ascii="Arial" w:hAnsi="Arial" w:cs="Arial"/>
              </w:rPr>
              <w:t xml:space="preserve">such as </w:t>
            </w:r>
            <w:r w:rsidR="00A02438">
              <w:rPr>
                <w:rFonts w:ascii="Arial" w:hAnsi="Arial" w:cs="Arial"/>
              </w:rPr>
              <w:t xml:space="preserve">the </w:t>
            </w:r>
            <w:r w:rsidR="00A02438">
              <w:rPr>
                <w:rFonts w:ascii="Arial" w:eastAsia="Times New Roman" w:hAnsi="Arial" w:cs="Arial"/>
                <w:lang w:val="en-GB"/>
              </w:rPr>
              <w:t>Operational Continuity in Resolution (OCIR</w:t>
            </w:r>
            <w:r w:rsidR="008B5020">
              <w:rPr>
                <w:rFonts w:ascii="Arial" w:eastAsia="Times New Roman" w:hAnsi="Arial" w:cs="Arial"/>
                <w:lang w:val="en-GB"/>
              </w:rPr>
              <w:t>)</w:t>
            </w:r>
            <w:r w:rsidR="00E01DAE">
              <w:rPr>
                <w:rFonts w:ascii="Arial" w:eastAsia="Times New Roman" w:hAnsi="Arial" w:cs="Arial"/>
                <w:lang w:val="en-GB"/>
              </w:rPr>
              <w:t>.</w:t>
            </w:r>
          </w:p>
        </w:tc>
        <w:tc>
          <w:tcPr>
            <w:tcW w:w="5504" w:type="dxa"/>
            <w:shd w:val="clear" w:color="auto" w:fill="D0CECE" w:themeFill="background2" w:themeFillShade="E6"/>
          </w:tcPr>
          <w:p w14:paraId="5B0BCB62" w14:textId="3F1EA6EF" w:rsidR="00280C5D" w:rsidRDefault="00A504D5" w:rsidP="00DC6F6F">
            <w:pPr>
              <w:spacing w:after="0" w:line="240" w:lineRule="auto"/>
              <w:rPr>
                <w:rFonts w:ascii="Arial" w:hAnsi="Arial" w:cs="Arial"/>
              </w:rPr>
            </w:pPr>
            <w:r>
              <w:rPr>
                <w:rFonts w:ascii="Arial" w:hAnsi="Arial" w:cs="Arial"/>
              </w:rPr>
              <w:t xml:space="preserve">The </w:t>
            </w:r>
            <w:r w:rsidR="00DA560E">
              <w:rPr>
                <w:rFonts w:ascii="Arial" w:hAnsi="Arial" w:cs="Arial"/>
              </w:rPr>
              <w:t>Authorities</w:t>
            </w:r>
            <w:r>
              <w:rPr>
                <w:rFonts w:ascii="Arial" w:hAnsi="Arial" w:cs="Arial"/>
              </w:rPr>
              <w:t xml:space="preserve"> provided clarif</w:t>
            </w:r>
            <w:r w:rsidR="004B2E2A">
              <w:rPr>
                <w:rFonts w:ascii="Arial" w:hAnsi="Arial" w:cs="Arial"/>
              </w:rPr>
              <w:t xml:space="preserve">ication </w:t>
            </w:r>
            <w:r w:rsidR="00385AA1">
              <w:rPr>
                <w:rFonts w:ascii="Arial" w:hAnsi="Arial" w:cs="Arial"/>
              </w:rPr>
              <w:t xml:space="preserve">on </w:t>
            </w:r>
            <w:r>
              <w:rPr>
                <w:rFonts w:ascii="Arial" w:hAnsi="Arial" w:cs="Arial"/>
              </w:rPr>
              <w:t xml:space="preserve">the purpose of a business plan and provided </w:t>
            </w:r>
            <w:r w:rsidR="005A4083">
              <w:rPr>
                <w:rFonts w:ascii="Arial" w:hAnsi="Arial" w:cs="Arial"/>
              </w:rPr>
              <w:t xml:space="preserve">further </w:t>
            </w:r>
            <w:r>
              <w:rPr>
                <w:rFonts w:ascii="Arial" w:hAnsi="Arial" w:cs="Arial"/>
              </w:rPr>
              <w:t xml:space="preserve">clarity on </w:t>
            </w:r>
            <w:r w:rsidR="00AC458E">
              <w:rPr>
                <w:rFonts w:ascii="Arial" w:hAnsi="Arial" w:cs="Arial"/>
              </w:rPr>
              <w:t>what determines the inputs to the business plan</w:t>
            </w:r>
            <w:r>
              <w:rPr>
                <w:rFonts w:ascii="Arial" w:hAnsi="Arial" w:cs="Arial"/>
              </w:rPr>
              <w:t>.</w:t>
            </w:r>
          </w:p>
          <w:p w14:paraId="568DDCDD" w14:textId="77777777" w:rsidR="00943761" w:rsidRDefault="00943761" w:rsidP="00DC6F6F">
            <w:pPr>
              <w:spacing w:after="0" w:line="240" w:lineRule="auto"/>
              <w:rPr>
                <w:rFonts w:ascii="Arial" w:hAnsi="Arial" w:cs="Arial"/>
              </w:rPr>
            </w:pPr>
          </w:p>
          <w:p w14:paraId="4502D04F" w14:textId="042D03DF" w:rsidR="00943761" w:rsidRDefault="00943761" w:rsidP="00DC6F6F">
            <w:pPr>
              <w:spacing w:after="0" w:line="240" w:lineRule="auto"/>
              <w:rPr>
                <w:rFonts w:ascii="Arial" w:eastAsia="Times New Roman" w:hAnsi="Arial" w:cs="Arial"/>
                <w:lang w:val="en-GB"/>
              </w:rPr>
            </w:pPr>
            <w:r>
              <w:rPr>
                <w:rFonts w:ascii="Arial" w:hAnsi="Arial" w:cs="Arial"/>
              </w:rPr>
              <w:t xml:space="preserve">The </w:t>
            </w:r>
            <w:r w:rsidR="00DA560E">
              <w:rPr>
                <w:rFonts w:ascii="Arial" w:hAnsi="Arial" w:cs="Arial"/>
              </w:rPr>
              <w:t>Authorities</w:t>
            </w:r>
            <w:r>
              <w:rPr>
                <w:rFonts w:ascii="Arial" w:hAnsi="Arial" w:cs="Arial"/>
              </w:rPr>
              <w:t xml:space="preserve"> assured the respondents that </w:t>
            </w:r>
            <w:r w:rsidR="00B346C9">
              <w:rPr>
                <w:rFonts w:ascii="Arial" w:hAnsi="Arial" w:cs="Arial"/>
              </w:rPr>
              <w:t xml:space="preserve">where there are </w:t>
            </w:r>
            <w:r w:rsidR="00A56D06">
              <w:rPr>
                <w:rFonts w:ascii="Arial" w:eastAsia="Times New Roman" w:hAnsi="Arial" w:cs="Arial"/>
                <w:lang w:val="en-GB"/>
              </w:rPr>
              <w:t xml:space="preserve">similar requirements </w:t>
            </w:r>
            <w:r w:rsidR="007C6FA4">
              <w:rPr>
                <w:rFonts w:ascii="Arial" w:eastAsia="Times New Roman" w:hAnsi="Arial" w:cs="Arial"/>
                <w:lang w:val="en-GB"/>
              </w:rPr>
              <w:t>among</w:t>
            </w:r>
            <w:r w:rsidR="00F65DCB">
              <w:rPr>
                <w:rFonts w:ascii="Arial" w:eastAsia="Times New Roman" w:hAnsi="Arial" w:cs="Arial"/>
                <w:lang w:val="en-GB"/>
              </w:rPr>
              <w:t>st</w:t>
            </w:r>
            <w:r w:rsidR="007C6FA4">
              <w:rPr>
                <w:rFonts w:ascii="Arial" w:eastAsia="Times New Roman" w:hAnsi="Arial" w:cs="Arial"/>
                <w:lang w:val="en-GB"/>
              </w:rPr>
              <w:t xml:space="preserve"> resolution</w:t>
            </w:r>
            <w:r w:rsidR="00A56D06">
              <w:rPr>
                <w:rFonts w:ascii="Arial" w:eastAsia="Times New Roman" w:hAnsi="Arial" w:cs="Arial"/>
                <w:lang w:val="en-GB"/>
              </w:rPr>
              <w:t xml:space="preserve"> Standard</w:t>
            </w:r>
            <w:r w:rsidR="007C6FA4">
              <w:rPr>
                <w:rFonts w:ascii="Arial" w:eastAsia="Times New Roman" w:hAnsi="Arial" w:cs="Arial"/>
                <w:lang w:val="en-GB"/>
              </w:rPr>
              <w:t>s</w:t>
            </w:r>
            <w:r w:rsidR="00BF53DC">
              <w:rPr>
                <w:rFonts w:ascii="Arial" w:eastAsia="Times New Roman" w:hAnsi="Arial" w:cs="Arial"/>
                <w:lang w:val="en-GB"/>
              </w:rPr>
              <w:t xml:space="preserve">, </w:t>
            </w:r>
            <w:r w:rsidR="00A56D06">
              <w:rPr>
                <w:rFonts w:ascii="Arial" w:eastAsia="Times New Roman" w:hAnsi="Arial" w:cs="Arial"/>
                <w:lang w:val="en-GB"/>
              </w:rPr>
              <w:t>designated institutions will not be expected to duplicate efforts.</w:t>
            </w:r>
          </w:p>
          <w:p w14:paraId="0323289B" w14:textId="7063F033" w:rsidR="00B346C9" w:rsidRPr="00E4517A" w:rsidRDefault="00B346C9" w:rsidP="00DC6F6F">
            <w:pPr>
              <w:spacing w:after="0" w:line="240" w:lineRule="auto"/>
              <w:rPr>
                <w:rFonts w:ascii="Arial" w:hAnsi="Arial" w:cs="Arial"/>
              </w:rPr>
            </w:pPr>
          </w:p>
        </w:tc>
      </w:tr>
      <w:tr w:rsidR="004961A2" w14:paraId="7D83C931" w14:textId="77777777" w:rsidTr="00393771">
        <w:trPr>
          <w:trHeight w:val="7698"/>
        </w:trPr>
        <w:tc>
          <w:tcPr>
            <w:tcW w:w="2980" w:type="dxa"/>
            <w:tcBorders>
              <w:bottom w:val="single" w:sz="4" w:space="0" w:color="auto"/>
            </w:tcBorders>
            <w:shd w:val="clear" w:color="auto" w:fill="auto"/>
          </w:tcPr>
          <w:p w14:paraId="72BAA3B4" w14:textId="688B5294" w:rsidR="004961A2" w:rsidRPr="00AC1658" w:rsidRDefault="00C54341" w:rsidP="000F5AD3">
            <w:pPr>
              <w:spacing w:after="0" w:line="240" w:lineRule="auto"/>
              <w:rPr>
                <w:rFonts w:ascii="Arial" w:hAnsi="Arial" w:cs="Arial"/>
              </w:rPr>
            </w:pPr>
            <w:r w:rsidRPr="004D156A">
              <w:rPr>
                <w:rFonts w:ascii="Arial" w:hAnsi="Arial" w:cs="Arial"/>
              </w:rPr>
              <w:t>Requirements</w:t>
            </w:r>
          </w:p>
        </w:tc>
        <w:tc>
          <w:tcPr>
            <w:tcW w:w="5464" w:type="dxa"/>
            <w:shd w:val="clear" w:color="auto" w:fill="D0CECE" w:themeFill="background2" w:themeFillShade="E6"/>
          </w:tcPr>
          <w:p w14:paraId="0440EAD7" w14:textId="1A0D7F00" w:rsidR="004961A2" w:rsidRDefault="00656EEF" w:rsidP="000F5AD3">
            <w:pPr>
              <w:spacing w:after="0" w:line="240" w:lineRule="auto"/>
              <w:rPr>
                <w:rFonts w:ascii="Arial" w:hAnsi="Arial" w:cs="Arial"/>
              </w:rPr>
            </w:pPr>
            <w:r w:rsidRPr="00656EEF">
              <w:rPr>
                <w:rFonts w:ascii="Arial" w:hAnsi="Arial" w:cs="Arial"/>
                <w:b/>
                <w:bCs/>
              </w:rPr>
              <w:t>Part 1:</w:t>
            </w:r>
            <w:r>
              <w:rPr>
                <w:rFonts w:ascii="Arial" w:hAnsi="Arial" w:cs="Arial"/>
              </w:rPr>
              <w:t xml:space="preserve"> </w:t>
            </w:r>
            <w:r w:rsidR="008331FC">
              <w:rPr>
                <w:rFonts w:ascii="Arial" w:hAnsi="Arial" w:cs="Arial"/>
              </w:rPr>
              <w:t>One responde</w:t>
            </w:r>
            <w:r w:rsidR="00385AA1">
              <w:rPr>
                <w:rFonts w:ascii="Arial" w:hAnsi="Arial" w:cs="Arial"/>
              </w:rPr>
              <w:t>nt</w:t>
            </w:r>
            <w:r w:rsidR="008331FC">
              <w:rPr>
                <w:rFonts w:ascii="Arial" w:hAnsi="Arial" w:cs="Arial"/>
              </w:rPr>
              <w:t xml:space="preserve"> recommended that </w:t>
            </w:r>
            <w:r w:rsidR="007B7F24">
              <w:rPr>
                <w:rFonts w:ascii="Arial" w:hAnsi="Arial" w:cs="Arial"/>
              </w:rPr>
              <w:t>a requirement be added to the financial interconnections which would pose an obligation to the designated institution to also identify any transactions within a settlement system and obligations owed to a designated settlement system.</w:t>
            </w:r>
          </w:p>
          <w:p w14:paraId="016623E8" w14:textId="77777777" w:rsidR="008331FC" w:rsidRDefault="008331FC" w:rsidP="000F5AD3">
            <w:pPr>
              <w:spacing w:after="0" w:line="240" w:lineRule="auto"/>
              <w:rPr>
                <w:rFonts w:ascii="Arial" w:hAnsi="Arial" w:cs="Arial"/>
              </w:rPr>
            </w:pPr>
          </w:p>
          <w:p w14:paraId="7BF3CBE2" w14:textId="620F32E8" w:rsidR="00570BC1" w:rsidRDefault="00570BC1" w:rsidP="000F5AD3">
            <w:pPr>
              <w:spacing w:after="0" w:line="240" w:lineRule="auto"/>
              <w:rPr>
                <w:rFonts w:ascii="Arial" w:hAnsi="Arial" w:cs="Arial"/>
              </w:rPr>
            </w:pPr>
            <w:r w:rsidRPr="00F37A44">
              <w:rPr>
                <w:rFonts w:ascii="Arial" w:hAnsi="Arial" w:cs="Arial"/>
                <w:b/>
                <w:bCs/>
              </w:rPr>
              <w:t>Part 2</w:t>
            </w:r>
            <w:r>
              <w:rPr>
                <w:rFonts w:ascii="Arial" w:hAnsi="Arial" w:cs="Arial"/>
              </w:rPr>
              <w:t>:</w:t>
            </w:r>
            <w:r w:rsidR="00224A75">
              <w:rPr>
                <w:rFonts w:ascii="Arial" w:hAnsi="Arial" w:cs="Arial"/>
              </w:rPr>
              <w:t xml:space="preserve"> </w:t>
            </w:r>
            <w:r w:rsidR="00432282">
              <w:rPr>
                <w:rFonts w:ascii="Arial" w:hAnsi="Arial" w:cs="Arial"/>
              </w:rPr>
              <w:t xml:space="preserve">One respondent </w:t>
            </w:r>
            <w:r w:rsidR="00224A75">
              <w:rPr>
                <w:rFonts w:ascii="Arial" w:hAnsi="Arial" w:cs="Arial"/>
              </w:rPr>
              <w:t>enquired</w:t>
            </w:r>
            <w:r w:rsidR="00432282">
              <w:rPr>
                <w:rFonts w:ascii="Arial" w:hAnsi="Arial" w:cs="Arial"/>
              </w:rPr>
              <w:t xml:space="preserve"> whether the interconnections required in the Standard </w:t>
            </w:r>
            <w:r w:rsidR="00385AA1">
              <w:rPr>
                <w:rFonts w:ascii="Arial" w:hAnsi="Arial" w:cs="Arial"/>
              </w:rPr>
              <w:t xml:space="preserve">are </w:t>
            </w:r>
            <w:r w:rsidR="00224A75">
              <w:rPr>
                <w:rFonts w:ascii="Arial" w:hAnsi="Arial" w:cs="Arial"/>
              </w:rPr>
              <w:t>the same as interconnectedness in the Large Exposure Framework (LEX Framework).</w:t>
            </w:r>
          </w:p>
          <w:p w14:paraId="3411CE72" w14:textId="77777777" w:rsidR="00570BC1" w:rsidRDefault="00570BC1" w:rsidP="000F5AD3">
            <w:pPr>
              <w:spacing w:after="0" w:line="240" w:lineRule="auto"/>
              <w:rPr>
                <w:rFonts w:ascii="Arial" w:hAnsi="Arial" w:cs="Arial"/>
              </w:rPr>
            </w:pPr>
          </w:p>
          <w:p w14:paraId="39AFB851" w14:textId="77777777" w:rsidR="00F526D2" w:rsidRDefault="00F526D2" w:rsidP="000F5AD3">
            <w:pPr>
              <w:spacing w:after="0" w:line="240" w:lineRule="auto"/>
              <w:rPr>
                <w:rFonts w:ascii="Arial" w:hAnsi="Arial" w:cs="Arial"/>
                <w:b/>
                <w:bCs/>
              </w:rPr>
            </w:pPr>
          </w:p>
          <w:p w14:paraId="4F64DDE7" w14:textId="05C6E0EE" w:rsidR="000C1B5C" w:rsidRDefault="00656EEF" w:rsidP="000F5AD3">
            <w:pPr>
              <w:spacing w:after="0" w:line="240" w:lineRule="auto"/>
              <w:rPr>
                <w:rFonts w:ascii="Arial" w:hAnsi="Arial" w:cs="Arial"/>
              </w:rPr>
            </w:pPr>
            <w:r w:rsidRPr="00656EEF">
              <w:rPr>
                <w:rFonts w:ascii="Arial" w:hAnsi="Arial" w:cs="Arial"/>
                <w:b/>
                <w:bCs/>
              </w:rPr>
              <w:t xml:space="preserve">Part </w:t>
            </w:r>
            <w:r w:rsidR="00570BC1">
              <w:rPr>
                <w:rFonts w:ascii="Arial" w:hAnsi="Arial" w:cs="Arial"/>
                <w:b/>
                <w:bCs/>
              </w:rPr>
              <w:t>3</w:t>
            </w:r>
            <w:r w:rsidRPr="00656EEF">
              <w:rPr>
                <w:rFonts w:ascii="Arial" w:hAnsi="Arial" w:cs="Arial"/>
                <w:b/>
                <w:bCs/>
              </w:rPr>
              <w:t>:</w:t>
            </w:r>
            <w:r>
              <w:rPr>
                <w:rFonts w:ascii="Arial" w:hAnsi="Arial" w:cs="Arial"/>
              </w:rPr>
              <w:t xml:space="preserve"> </w:t>
            </w:r>
            <w:r w:rsidR="00853721">
              <w:rPr>
                <w:rFonts w:ascii="Arial" w:hAnsi="Arial" w:cs="Arial"/>
              </w:rPr>
              <w:t>Most</w:t>
            </w:r>
            <w:r w:rsidR="00616C41">
              <w:rPr>
                <w:rFonts w:ascii="Arial" w:hAnsi="Arial" w:cs="Arial"/>
              </w:rPr>
              <w:t xml:space="preserve"> of the</w:t>
            </w:r>
            <w:r w:rsidR="0075640B">
              <w:rPr>
                <w:rFonts w:ascii="Arial" w:hAnsi="Arial" w:cs="Arial"/>
              </w:rPr>
              <w:t xml:space="preserve"> remaining </w:t>
            </w:r>
            <w:r w:rsidR="00616C41">
              <w:rPr>
                <w:rFonts w:ascii="Arial" w:hAnsi="Arial" w:cs="Arial"/>
              </w:rPr>
              <w:t xml:space="preserve">comments under </w:t>
            </w:r>
            <w:r w:rsidR="00853721">
              <w:rPr>
                <w:rFonts w:ascii="Arial" w:hAnsi="Arial" w:cs="Arial"/>
              </w:rPr>
              <w:t>requirements</w:t>
            </w:r>
            <w:r w:rsidR="00616C41">
              <w:rPr>
                <w:rFonts w:ascii="Arial" w:hAnsi="Arial" w:cs="Arial"/>
              </w:rPr>
              <w:t xml:space="preserve"> related to the </w:t>
            </w:r>
            <w:r w:rsidR="0009708E">
              <w:rPr>
                <w:rFonts w:ascii="Arial" w:hAnsi="Arial" w:cs="Arial"/>
              </w:rPr>
              <w:t>following:</w:t>
            </w:r>
          </w:p>
          <w:p w14:paraId="1D2F6974" w14:textId="77777777" w:rsidR="00DE3264" w:rsidRDefault="00616C41" w:rsidP="00853721">
            <w:pPr>
              <w:pStyle w:val="ListParagraph"/>
              <w:numPr>
                <w:ilvl w:val="0"/>
                <w:numId w:val="25"/>
              </w:numPr>
              <w:rPr>
                <w:rFonts w:ascii="Arial" w:hAnsi="Arial" w:cs="Arial"/>
              </w:rPr>
            </w:pPr>
            <w:r w:rsidRPr="00853721">
              <w:rPr>
                <w:rFonts w:ascii="Arial" w:hAnsi="Arial" w:cs="Arial"/>
              </w:rPr>
              <w:t>Clarification of</w:t>
            </w:r>
            <w:r w:rsidR="00853721">
              <w:rPr>
                <w:rFonts w:ascii="Arial" w:hAnsi="Arial" w:cs="Arial"/>
              </w:rPr>
              <w:t xml:space="preserve"> certain</w:t>
            </w:r>
            <w:r w:rsidRPr="00853721">
              <w:rPr>
                <w:rFonts w:ascii="Arial" w:hAnsi="Arial" w:cs="Arial"/>
              </w:rPr>
              <w:t xml:space="preserve"> </w:t>
            </w:r>
            <w:r w:rsidR="0075640B" w:rsidRPr="00853721">
              <w:rPr>
                <w:rFonts w:ascii="Arial" w:hAnsi="Arial" w:cs="Arial"/>
              </w:rPr>
              <w:t>terms</w:t>
            </w:r>
            <w:r w:rsidR="00C22316">
              <w:rPr>
                <w:rFonts w:ascii="Arial" w:hAnsi="Arial" w:cs="Arial"/>
              </w:rPr>
              <w:t xml:space="preserve"> under the requirements </w:t>
            </w:r>
            <w:proofErr w:type="gramStart"/>
            <w:r w:rsidR="00C22316">
              <w:rPr>
                <w:rFonts w:ascii="Arial" w:hAnsi="Arial" w:cs="Arial"/>
              </w:rPr>
              <w:t>section</w:t>
            </w:r>
            <w:r w:rsidR="00DE3264">
              <w:rPr>
                <w:rFonts w:ascii="Arial" w:hAnsi="Arial" w:cs="Arial"/>
              </w:rPr>
              <w:t>;</w:t>
            </w:r>
            <w:proofErr w:type="gramEnd"/>
          </w:p>
          <w:p w14:paraId="1B87EC22" w14:textId="0BA84618" w:rsidR="00616C41" w:rsidRPr="00853721" w:rsidRDefault="00DE3264" w:rsidP="00853721">
            <w:pPr>
              <w:pStyle w:val="ListParagraph"/>
              <w:numPr>
                <w:ilvl w:val="0"/>
                <w:numId w:val="25"/>
              </w:numPr>
              <w:rPr>
                <w:rFonts w:ascii="Arial" w:hAnsi="Arial" w:cs="Arial"/>
              </w:rPr>
            </w:pPr>
            <w:r>
              <w:rPr>
                <w:rFonts w:ascii="Arial" w:hAnsi="Arial" w:cs="Arial"/>
              </w:rPr>
              <w:t xml:space="preserve">Questions to gain </w:t>
            </w:r>
            <w:r w:rsidR="007260A3">
              <w:rPr>
                <w:rFonts w:ascii="Arial" w:hAnsi="Arial" w:cs="Arial"/>
              </w:rPr>
              <w:t>a deeper</w:t>
            </w:r>
            <w:r w:rsidR="00893451">
              <w:rPr>
                <w:rFonts w:ascii="Arial" w:hAnsi="Arial" w:cs="Arial"/>
              </w:rPr>
              <w:t xml:space="preserve"> </w:t>
            </w:r>
            <w:r w:rsidR="00E74CAA">
              <w:rPr>
                <w:rFonts w:ascii="Arial" w:hAnsi="Arial" w:cs="Arial"/>
              </w:rPr>
              <w:t>understanding and</w:t>
            </w:r>
            <w:r w:rsidR="009410F2">
              <w:rPr>
                <w:rFonts w:ascii="Arial" w:hAnsi="Arial" w:cs="Arial"/>
              </w:rPr>
              <w:t xml:space="preserve"> clarity regarding some </w:t>
            </w:r>
            <w:r w:rsidR="00893451">
              <w:rPr>
                <w:rFonts w:ascii="Arial" w:hAnsi="Arial" w:cs="Arial"/>
              </w:rPr>
              <w:t>of the requirements</w:t>
            </w:r>
            <w:r>
              <w:rPr>
                <w:rFonts w:ascii="Arial" w:hAnsi="Arial" w:cs="Arial"/>
              </w:rPr>
              <w:t xml:space="preserve"> (</w:t>
            </w:r>
            <w:proofErr w:type="gramStart"/>
            <w:r w:rsidR="00CE3745">
              <w:rPr>
                <w:rFonts w:ascii="Arial" w:hAnsi="Arial" w:cs="Arial"/>
              </w:rPr>
              <w:t>i.e.</w:t>
            </w:r>
            <w:proofErr w:type="gramEnd"/>
            <w:r>
              <w:rPr>
                <w:rFonts w:ascii="Arial" w:hAnsi="Arial" w:cs="Arial"/>
              </w:rPr>
              <w:t xml:space="preserve"> M</w:t>
            </w:r>
            <w:r w:rsidR="00E74CAA">
              <w:rPr>
                <w:rFonts w:ascii="Arial" w:hAnsi="Arial" w:cs="Arial"/>
              </w:rPr>
              <w:t>anagement Information Systems</w:t>
            </w:r>
            <w:r w:rsidR="00614E84">
              <w:rPr>
                <w:rFonts w:ascii="Arial" w:hAnsi="Arial" w:cs="Arial"/>
              </w:rPr>
              <w:t xml:space="preserve">, market capacity, fair market value, cross default-clauses in </w:t>
            </w:r>
            <w:r w:rsidR="009410F2">
              <w:rPr>
                <w:rFonts w:ascii="Arial" w:hAnsi="Arial" w:cs="Arial"/>
              </w:rPr>
              <w:t xml:space="preserve">legal interconnections </w:t>
            </w:r>
            <w:r w:rsidR="00CE3745">
              <w:rPr>
                <w:rFonts w:ascii="Arial" w:hAnsi="Arial" w:cs="Arial"/>
              </w:rPr>
              <w:t>etc.</w:t>
            </w:r>
            <w:r w:rsidR="009410F2">
              <w:rPr>
                <w:rFonts w:ascii="Arial" w:hAnsi="Arial" w:cs="Arial"/>
              </w:rPr>
              <w:t>)</w:t>
            </w:r>
            <w:r w:rsidR="0075640B">
              <w:rPr>
                <w:rFonts w:ascii="Arial" w:hAnsi="Arial" w:cs="Arial"/>
              </w:rPr>
              <w:t>;</w:t>
            </w:r>
            <w:r w:rsidR="00616C41" w:rsidRPr="00853721">
              <w:rPr>
                <w:rFonts w:ascii="Arial" w:hAnsi="Arial" w:cs="Arial"/>
              </w:rPr>
              <w:t xml:space="preserve"> </w:t>
            </w:r>
          </w:p>
          <w:p w14:paraId="26C114F1" w14:textId="1EF2154D" w:rsidR="00C368CA" w:rsidRPr="00853721" w:rsidRDefault="00C368CA" w:rsidP="00853721">
            <w:pPr>
              <w:pStyle w:val="ListParagraph"/>
              <w:numPr>
                <w:ilvl w:val="0"/>
                <w:numId w:val="25"/>
              </w:numPr>
              <w:rPr>
                <w:rFonts w:ascii="Arial" w:hAnsi="Arial" w:cs="Arial"/>
              </w:rPr>
            </w:pPr>
            <w:r w:rsidRPr="00853721">
              <w:rPr>
                <w:rFonts w:ascii="Arial" w:hAnsi="Arial" w:cs="Arial"/>
              </w:rPr>
              <w:t xml:space="preserve">Concerns raised regarding </w:t>
            </w:r>
            <w:r w:rsidR="004A6E09">
              <w:rPr>
                <w:rFonts w:ascii="Arial" w:hAnsi="Arial" w:cs="Arial"/>
              </w:rPr>
              <w:t>the</w:t>
            </w:r>
            <w:r w:rsidRPr="00853721">
              <w:rPr>
                <w:rFonts w:ascii="Arial" w:hAnsi="Arial" w:cs="Arial"/>
              </w:rPr>
              <w:t xml:space="preserve"> </w:t>
            </w:r>
            <w:r w:rsidR="00BD20C9" w:rsidRPr="00853721">
              <w:rPr>
                <w:rFonts w:ascii="Arial" w:hAnsi="Arial" w:cs="Arial"/>
              </w:rPr>
              <w:t>application of the Standard on all designated institutions (concerns</w:t>
            </w:r>
            <w:r w:rsidR="00853721">
              <w:rPr>
                <w:rFonts w:ascii="Arial" w:hAnsi="Arial" w:cs="Arial"/>
              </w:rPr>
              <w:t xml:space="preserve"> regarding the</w:t>
            </w:r>
            <w:r w:rsidR="00BD20C9" w:rsidRPr="00853721">
              <w:rPr>
                <w:rFonts w:ascii="Arial" w:hAnsi="Arial" w:cs="Arial"/>
              </w:rPr>
              <w:t xml:space="preserve"> amount of work that would be required</w:t>
            </w:r>
            <w:proofErr w:type="gramStart"/>
            <w:r w:rsidR="00BD20C9" w:rsidRPr="00853721">
              <w:rPr>
                <w:rFonts w:ascii="Arial" w:hAnsi="Arial" w:cs="Arial"/>
              </w:rPr>
              <w:t>)</w:t>
            </w:r>
            <w:r w:rsidR="00853721">
              <w:rPr>
                <w:rFonts w:ascii="Arial" w:hAnsi="Arial" w:cs="Arial"/>
              </w:rPr>
              <w:t>;</w:t>
            </w:r>
            <w:proofErr w:type="gramEnd"/>
          </w:p>
          <w:p w14:paraId="30F0C1BF" w14:textId="0D632224" w:rsidR="00BD20C9" w:rsidRPr="00853721" w:rsidRDefault="00EE4D77" w:rsidP="00853721">
            <w:pPr>
              <w:pStyle w:val="ListParagraph"/>
              <w:numPr>
                <w:ilvl w:val="0"/>
                <w:numId w:val="25"/>
              </w:numPr>
              <w:rPr>
                <w:rFonts w:ascii="Arial" w:hAnsi="Arial" w:cs="Arial"/>
              </w:rPr>
            </w:pPr>
            <w:r w:rsidRPr="00853721">
              <w:rPr>
                <w:rFonts w:ascii="Arial" w:hAnsi="Arial" w:cs="Arial"/>
              </w:rPr>
              <w:t>Concerns about requirements for the entire designated institution vs applicability of the requirements only as they relate to the transfer perimeter</w:t>
            </w:r>
            <w:r w:rsidR="0075640B">
              <w:rPr>
                <w:rFonts w:ascii="Arial" w:hAnsi="Arial" w:cs="Arial"/>
              </w:rPr>
              <w:t>.</w:t>
            </w:r>
          </w:p>
          <w:p w14:paraId="7D271B3C" w14:textId="4C1B5489" w:rsidR="008331FC" w:rsidRPr="00E4517A" w:rsidRDefault="008331FC" w:rsidP="000F5AD3">
            <w:pPr>
              <w:spacing w:after="0" w:line="240" w:lineRule="auto"/>
              <w:rPr>
                <w:rFonts w:ascii="Arial" w:hAnsi="Arial" w:cs="Arial"/>
              </w:rPr>
            </w:pPr>
          </w:p>
        </w:tc>
        <w:tc>
          <w:tcPr>
            <w:tcW w:w="5504" w:type="dxa"/>
            <w:shd w:val="clear" w:color="auto" w:fill="D0CECE" w:themeFill="background2" w:themeFillShade="E6"/>
          </w:tcPr>
          <w:p w14:paraId="7DCAA5D6" w14:textId="0E2407C4" w:rsidR="00D6503E" w:rsidRDefault="004D156A" w:rsidP="00250043">
            <w:pPr>
              <w:spacing w:after="0" w:line="240" w:lineRule="auto"/>
              <w:rPr>
                <w:rFonts w:ascii="Arial" w:hAnsi="Arial" w:cs="Arial"/>
              </w:rPr>
            </w:pPr>
            <w:r w:rsidRPr="004D156A">
              <w:rPr>
                <w:rFonts w:ascii="Arial" w:hAnsi="Arial" w:cs="Arial"/>
                <w:b/>
                <w:bCs/>
              </w:rPr>
              <w:t>Part 1:</w:t>
            </w:r>
            <w:r>
              <w:rPr>
                <w:rFonts w:ascii="Arial" w:hAnsi="Arial" w:cs="Arial"/>
              </w:rPr>
              <w:t xml:space="preserve"> </w:t>
            </w:r>
            <w:r w:rsidR="00D6503E">
              <w:rPr>
                <w:rFonts w:ascii="Arial" w:hAnsi="Arial" w:cs="Arial"/>
              </w:rPr>
              <w:t>T</w:t>
            </w:r>
            <w:r w:rsidR="007B7F24">
              <w:rPr>
                <w:rFonts w:ascii="Arial" w:hAnsi="Arial" w:cs="Arial"/>
              </w:rPr>
              <w:t xml:space="preserve">he </w:t>
            </w:r>
            <w:r w:rsidR="00DA560E">
              <w:rPr>
                <w:rFonts w:ascii="Arial" w:hAnsi="Arial" w:cs="Arial"/>
              </w:rPr>
              <w:t>Authorities</w:t>
            </w:r>
            <w:r w:rsidR="007B7F24">
              <w:rPr>
                <w:rFonts w:ascii="Arial" w:hAnsi="Arial" w:cs="Arial"/>
              </w:rPr>
              <w:t xml:space="preserve"> agree with the recommendation</w:t>
            </w:r>
            <w:r w:rsidR="005A080C">
              <w:rPr>
                <w:rFonts w:ascii="Arial" w:hAnsi="Arial" w:cs="Arial"/>
              </w:rPr>
              <w:t xml:space="preserve"> and have added</w:t>
            </w:r>
            <w:r w:rsidR="00F43263" w:rsidRPr="00430C12">
              <w:rPr>
                <w:rFonts w:ascii="Arial" w:hAnsi="Arial" w:cs="Arial"/>
              </w:rPr>
              <w:t xml:space="preserve"> a</w:t>
            </w:r>
            <w:r w:rsidR="00B71296" w:rsidRPr="00430C12">
              <w:rPr>
                <w:rFonts w:ascii="Arial" w:hAnsi="Arial" w:cs="Arial"/>
              </w:rPr>
              <w:t xml:space="preserve"> new</w:t>
            </w:r>
            <w:r w:rsidR="00F530A6" w:rsidRPr="00430C12">
              <w:rPr>
                <w:rFonts w:ascii="Arial" w:hAnsi="Arial" w:cs="Arial"/>
              </w:rPr>
              <w:t xml:space="preserve"> </w:t>
            </w:r>
            <w:r w:rsidR="00F43263" w:rsidRPr="00430C12">
              <w:rPr>
                <w:rFonts w:ascii="Arial" w:hAnsi="Arial" w:cs="Arial"/>
              </w:rPr>
              <w:t>requirement</w:t>
            </w:r>
            <w:r w:rsidR="00F43263" w:rsidRPr="00E63D06">
              <w:rPr>
                <w:rFonts w:ascii="Arial" w:hAnsi="Arial" w:cs="Arial"/>
              </w:rPr>
              <w:t xml:space="preserve"> </w:t>
            </w:r>
            <w:r w:rsidR="00F530A6" w:rsidRPr="00430C12">
              <w:rPr>
                <w:rFonts w:ascii="Arial" w:hAnsi="Arial" w:cs="Arial"/>
              </w:rPr>
              <w:t xml:space="preserve">to </w:t>
            </w:r>
            <w:r w:rsidR="00357A85" w:rsidRPr="00430C12">
              <w:rPr>
                <w:rFonts w:ascii="Arial" w:hAnsi="Arial" w:cs="Arial"/>
              </w:rPr>
              <w:t xml:space="preserve">the </w:t>
            </w:r>
            <w:r w:rsidR="00F530A6" w:rsidRPr="00430C12">
              <w:rPr>
                <w:rFonts w:ascii="Arial" w:hAnsi="Arial" w:cs="Arial"/>
              </w:rPr>
              <w:t>financial interconnections</w:t>
            </w:r>
            <w:r w:rsidR="00357A85" w:rsidRPr="00430C12">
              <w:rPr>
                <w:rFonts w:ascii="Arial" w:hAnsi="Arial" w:cs="Arial"/>
              </w:rPr>
              <w:t xml:space="preserve"> section</w:t>
            </w:r>
            <w:r w:rsidR="005A080C">
              <w:rPr>
                <w:rFonts w:ascii="Arial" w:hAnsi="Arial" w:cs="Arial"/>
              </w:rPr>
              <w:t>,</w:t>
            </w:r>
            <w:r w:rsidR="00F530A6" w:rsidRPr="00E63D06">
              <w:rPr>
                <w:rFonts w:ascii="Arial" w:hAnsi="Arial" w:cs="Arial"/>
              </w:rPr>
              <w:t xml:space="preserve"> for designated institutions to identify </w:t>
            </w:r>
            <w:r w:rsidR="006573D7" w:rsidRPr="00E63D06">
              <w:rPr>
                <w:rFonts w:ascii="Arial" w:hAnsi="Arial" w:cs="Arial"/>
              </w:rPr>
              <w:t>any</w:t>
            </w:r>
            <w:r w:rsidR="00A873E6">
              <w:rPr>
                <w:rFonts w:ascii="Arial" w:hAnsi="Arial" w:cs="Arial"/>
              </w:rPr>
              <w:t xml:space="preserve"> settlement </w:t>
            </w:r>
            <w:r w:rsidR="00D6503E">
              <w:rPr>
                <w:rFonts w:ascii="Arial" w:hAnsi="Arial" w:cs="Arial"/>
              </w:rPr>
              <w:t>obligations in a settlement system and any obligations due to a designated settlement system.</w:t>
            </w:r>
          </w:p>
          <w:p w14:paraId="06CC0778" w14:textId="2EEE4050" w:rsidR="00F43263" w:rsidRDefault="00F43263" w:rsidP="00250043">
            <w:pPr>
              <w:spacing w:after="0" w:line="240" w:lineRule="auto"/>
              <w:rPr>
                <w:rFonts w:ascii="Arial" w:hAnsi="Arial" w:cs="Arial"/>
              </w:rPr>
            </w:pPr>
          </w:p>
          <w:p w14:paraId="7DC30FA5" w14:textId="699672B1" w:rsidR="00570BC1" w:rsidRDefault="00570BC1" w:rsidP="00250043">
            <w:pPr>
              <w:spacing w:after="0" w:line="240" w:lineRule="auto"/>
              <w:rPr>
                <w:rFonts w:ascii="Arial" w:hAnsi="Arial" w:cs="Arial"/>
              </w:rPr>
            </w:pPr>
            <w:r w:rsidRPr="00F37A44">
              <w:rPr>
                <w:rFonts w:ascii="Arial" w:hAnsi="Arial" w:cs="Arial"/>
                <w:b/>
                <w:bCs/>
              </w:rPr>
              <w:t xml:space="preserve">Part </w:t>
            </w:r>
            <w:r w:rsidR="00B05A6E" w:rsidRPr="00F37A44">
              <w:rPr>
                <w:rFonts w:ascii="Arial" w:hAnsi="Arial" w:cs="Arial"/>
                <w:b/>
                <w:bCs/>
              </w:rPr>
              <w:t>2:</w:t>
            </w:r>
            <w:r w:rsidR="00B05A6E">
              <w:rPr>
                <w:rFonts w:ascii="Arial" w:hAnsi="Arial" w:cs="Arial"/>
              </w:rPr>
              <w:t xml:space="preserve"> The </w:t>
            </w:r>
            <w:r w:rsidR="00DA560E">
              <w:rPr>
                <w:rFonts w:ascii="Arial" w:hAnsi="Arial" w:cs="Arial"/>
              </w:rPr>
              <w:t>Authorities</w:t>
            </w:r>
            <w:r w:rsidR="00B05A6E">
              <w:rPr>
                <w:rFonts w:ascii="Arial" w:hAnsi="Arial" w:cs="Arial"/>
              </w:rPr>
              <w:t xml:space="preserve"> provided context on the purpose of identifying </w:t>
            </w:r>
            <w:r w:rsidR="007E56F8">
              <w:rPr>
                <w:rFonts w:ascii="Arial" w:hAnsi="Arial" w:cs="Arial"/>
              </w:rPr>
              <w:t>interconnections</w:t>
            </w:r>
            <w:r w:rsidR="00B05A6E">
              <w:rPr>
                <w:rFonts w:ascii="Arial" w:hAnsi="Arial" w:cs="Arial"/>
              </w:rPr>
              <w:t xml:space="preserve"> </w:t>
            </w:r>
            <w:r w:rsidR="007E56F8">
              <w:rPr>
                <w:rFonts w:ascii="Arial" w:hAnsi="Arial" w:cs="Arial"/>
              </w:rPr>
              <w:t>for</w:t>
            </w:r>
            <w:r w:rsidR="00B05A6E">
              <w:rPr>
                <w:rFonts w:ascii="Arial" w:hAnsi="Arial" w:cs="Arial"/>
              </w:rPr>
              <w:t xml:space="preserve"> the </w:t>
            </w:r>
            <w:r w:rsidR="007E56F8">
              <w:rPr>
                <w:rFonts w:ascii="Arial" w:hAnsi="Arial" w:cs="Arial"/>
              </w:rPr>
              <w:t>Standard in comparison to the</w:t>
            </w:r>
            <w:r w:rsidR="00F37A44">
              <w:rPr>
                <w:rFonts w:ascii="Arial" w:hAnsi="Arial" w:cs="Arial"/>
              </w:rPr>
              <w:t xml:space="preserve"> purpose for in</w:t>
            </w:r>
            <w:r w:rsidR="007E56F8">
              <w:rPr>
                <w:rFonts w:ascii="Arial" w:hAnsi="Arial" w:cs="Arial"/>
              </w:rPr>
              <w:t>terconnectedness in the LEX Framework. The</w:t>
            </w:r>
            <w:r w:rsidR="00F37A44">
              <w:rPr>
                <w:rFonts w:ascii="Arial" w:hAnsi="Arial" w:cs="Arial"/>
              </w:rPr>
              <w:t xml:space="preserve"> two serve different purpose</w:t>
            </w:r>
            <w:r w:rsidR="00385AA1">
              <w:rPr>
                <w:rFonts w:ascii="Arial" w:hAnsi="Arial" w:cs="Arial"/>
              </w:rPr>
              <w:t>s</w:t>
            </w:r>
            <w:r w:rsidR="00F37A44">
              <w:rPr>
                <w:rFonts w:ascii="Arial" w:hAnsi="Arial" w:cs="Arial"/>
              </w:rPr>
              <w:t>.</w:t>
            </w:r>
          </w:p>
          <w:p w14:paraId="5D3F4B2B" w14:textId="77777777" w:rsidR="0009708E" w:rsidRDefault="0009708E" w:rsidP="00250043">
            <w:pPr>
              <w:spacing w:after="0" w:line="240" w:lineRule="auto"/>
              <w:rPr>
                <w:rFonts w:ascii="Arial" w:hAnsi="Arial" w:cs="Arial"/>
              </w:rPr>
            </w:pPr>
          </w:p>
          <w:p w14:paraId="6355CE0D" w14:textId="66D55E05" w:rsidR="004C6158" w:rsidRDefault="004D156A" w:rsidP="00250043">
            <w:pPr>
              <w:spacing w:after="0" w:line="240" w:lineRule="auto"/>
              <w:rPr>
                <w:rFonts w:ascii="Arial" w:hAnsi="Arial" w:cs="Arial"/>
              </w:rPr>
            </w:pPr>
            <w:r w:rsidRPr="004D156A">
              <w:rPr>
                <w:rFonts w:ascii="Arial" w:hAnsi="Arial" w:cs="Arial"/>
                <w:b/>
                <w:bCs/>
              </w:rPr>
              <w:t xml:space="preserve">Part </w:t>
            </w:r>
            <w:r w:rsidR="00570BC1">
              <w:rPr>
                <w:rFonts w:ascii="Arial" w:hAnsi="Arial" w:cs="Arial"/>
                <w:b/>
                <w:bCs/>
              </w:rPr>
              <w:t>3</w:t>
            </w:r>
            <w:r w:rsidRPr="004D156A">
              <w:rPr>
                <w:rFonts w:ascii="Arial" w:hAnsi="Arial" w:cs="Arial"/>
                <w:b/>
                <w:bCs/>
              </w:rPr>
              <w:t>:</w:t>
            </w:r>
            <w:r>
              <w:rPr>
                <w:rFonts w:ascii="Arial" w:hAnsi="Arial" w:cs="Arial"/>
              </w:rPr>
              <w:t xml:space="preserve"> </w:t>
            </w:r>
            <w:r w:rsidR="00171B95">
              <w:rPr>
                <w:rFonts w:ascii="Arial" w:hAnsi="Arial" w:cs="Arial"/>
              </w:rPr>
              <w:t xml:space="preserve">The </w:t>
            </w:r>
            <w:r w:rsidR="00DA560E">
              <w:rPr>
                <w:rFonts w:ascii="Arial" w:hAnsi="Arial" w:cs="Arial"/>
              </w:rPr>
              <w:t>Authorities</w:t>
            </w:r>
            <w:r w:rsidR="00171B95">
              <w:rPr>
                <w:rFonts w:ascii="Arial" w:hAnsi="Arial" w:cs="Arial"/>
              </w:rPr>
              <w:t xml:space="preserve"> provided c</w:t>
            </w:r>
            <w:r w:rsidR="006C2FCC">
              <w:rPr>
                <w:rFonts w:ascii="Arial" w:hAnsi="Arial" w:cs="Arial"/>
              </w:rPr>
              <w:t xml:space="preserve">larification on </w:t>
            </w:r>
            <w:r w:rsidR="00E63D06">
              <w:rPr>
                <w:rFonts w:ascii="Arial" w:hAnsi="Arial" w:cs="Arial"/>
              </w:rPr>
              <w:t xml:space="preserve">certain </w:t>
            </w:r>
            <w:r w:rsidR="00C22316">
              <w:rPr>
                <w:rFonts w:ascii="Arial" w:hAnsi="Arial" w:cs="Arial"/>
              </w:rPr>
              <w:t>terms</w:t>
            </w:r>
            <w:r w:rsidR="009410F2">
              <w:rPr>
                <w:rFonts w:ascii="Arial" w:hAnsi="Arial" w:cs="Arial"/>
              </w:rPr>
              <w:t xml:space="preserve"> a</w:t>
            </w:r>
            <w:r w:rsidR="00C47E20">
              <w:rPr>
                <w:rFonts w:ascii="Arial" w:hAnsi="Arial" w:cs="Arial"/>
              </w:rPr>
              <w:t xml:space="preserve">nd requirements </w:t>
            </w:r>
            <w:r w:rsidR="00E63D06">
              <w:rPr>
                <w:rFonts w:ascii="Arial" w:hAnsi="Arial" w:cs="Arial"/>
              </w:rPr>
              <w:t>in the Standard (as per comments received on this section).</w:t>
            </w:r>
          </w:p>
          <w:p w14:paraId="2C6192ED" w14:textId="77777777" w:rsidR="004C6158" w:rsidRDefault="004C6158" w:rsidP="00250043">
            <w:pPr>
              <w:spacing w:after="0" w:line="240" w:lineRule="auto"/>
              <w:rPr>
                <w:rFonts w:ascii="Arial" w:hAnsi="Arial" w:cs="Arial"/>
              </w:rPr>
            </w:pPr>
          </w:p>
          <w:p w14:paraId="3CB4F248" w14:textId="086E8AC0" w:rsidR="008334D6" w:rsidRDefault="00C22316" w:rsidP="00250043">
            <w:pPr>
              <w:spacing w:after="0" w:line="240" w:lineRule="auto"/>
              <w:rPr>
                <w:rFonts w:ascii="Arial" w:hAnsi="Arial" w:cs="Arial"/>
              </w:rPr>
            </w:pPr>
            <w:r>
              <w:rPr>
                <w:rFonts w:ascii="Arial" w:hAnsi="Arial" w:cs="Arial"/>
              </w:rPr>
              <w:t xml:space="preserve">Furthermore, the </w:t>
            </w:r>
            <w:r w:rsidR="00DA560E">
              <w:rPr>
                <w:rFonts w:ascii="Arial" w:hAnsi="Arial" w:cs="Arial"/>
              </w:rPr>
              <w:t>Authorities</w:t>
            </w:r>
            <w:r>
              <w:rPr>
                <w:rFonts w:ascii="Arial" w:hAnsi="Arial" w:cs="Arial"/>
              </w:rPr>
              <w:t xml:space="preserve"> </w:t>
            </w:r>
            <w:r w:rsidR="008334D6">
              <w:rPr>
                <w:rFonts w:ascii="Arial" w:hAnsi="Arial" w:cs="Arial"/>
              </w:rPr>
              <w:t>re-emphasised the a</w:t>
            </w:r>
            <w:r w:rsidR="00E63D06">
              <w:rPr>
                <w:rFonts w:ascii="Arial" w:hAnsi="Arial" w:cs="Arial"/>
              </w:rPr>
              <w:t xml:space="preserve">mendment </w:t>
            </w:r>
            <w:r w:rsidR="008334D6">
              <w:rPr>
                <w:rFonts w:ascii="Arial" w:hAnsi="Arial" w:cs="Arial"/>
              </w:rPr>
              <w:t xml:space="preserve">to the </w:t>
            </w:r>
            <w:r w:rsidR="00430C12">
              <w:rPr>
                <w:rFonts w:ascii="Arial" w:hAnsi="Arial" w:cs="Arial"/>
              </w:rPr>
              <w:t>s</w:t>
            </w:r>
            <w:r w:rsidR="008334D6">
              <w:rPr>
                <w:rFonts w:ascii="Arial" w:hAnsi="Arial" w:cs="Arial"/>
              </w:rPr>
              <w:t>ection 5 to clarify which designated institutions would be required to comply with the requirements</w:t>
            </w:r>
            <w:r w:rsidR="00430C12">
              <w:rPr>
                <w:rFonts w:ascii="Arial" w:hAnsi="Arial" w:cs="Arial"/>
              </w:rPr>
              <w:t xml:space="preserve"> in the Standard and that the requirements relate to the</w:t>
            </w:r>
            <w:r w:rsidR="00A54390">
              <w:rPr>
                <w:rFonts w:ascii="Arial" w:hAnsi="Arial" w:cs="Arial"/>
              </w:rPr>
              <w:t xml:space="preserve"> transfer perimeter and not necessarily to the entre institution</w:t>
            </w:r>
            <w:r w:rsidR="008334D6">
              <w:rPr>
                <w:rFonts w:ascii="Arial" w:hAnsi="Arial" w:cs="Arial"/>
              </w:rPr>
              <w:t>.</w:t>
            </w:r>
            <w:r w:rsidR="004C6158">
              <w:rPr>
                <w:rFonts w:ascii="Arial" w:hAnsi="Arial" w:cs="Arial"/>
              </w:rPr>
              <w:t xml:space="preserve"> </w:t>
            </w:r>
          </w:p>
          <w:p w14:paraId="783FA749" w14:textId="12EA2C5F" w:rsidR="00C22316" w:rsidRDefault="00C22316" w:rsidP="00250043">
            <w:pPr>
              <w:spacing w:after="0" w:line="240" w:lineRule="auto"/>
              <w:rPr>
                <w:rFonts w:ascii="Arial" w:hAnsi="Arial" w:cs="Arial"/>
              </w:rPr>
            </w:pPr>
            <w:r>
              <w:rPr>
                <w:rFonts w:ascii="Arial" w:hAnsi="Arial" w:cs="Arial"/>
              </w:rPr>
              <w:t xml:space="preserve"> </w:t>
            </w:r>
          </w:p>
          <w:p w14:paraId="40284E82" w14:textId="0D0AC198" w:rsidR="00A3246C" w:rsidRDefault="00A3246C" w:rsidP="00A3246C">
            <w:pPr>
              <w:spacing w:after="0" w:line="240" w:lineRule="auto"/>
              <w:jc w:val="both"/>
              <w:rPr>
                <w:rFonts w:ascii="Arial" w:hAnsi="Arial" w:cs="Arial"/>
              </w:rPr>
            </w:pPr>
          </w:p>
          <w:p w14:paraId="604CCDE6" w14:textId="080E3E62" w:rsidR="00A3246C" w:rsidRPr="00E4517A" w:rsidRDefault="00A3246C" w:rsidP="00A12FAA">
            <w:pPr>
              <w:spacing w:after="0" w:line="240" w:lineRule="auto"/>
              <w:jc w:val="both"/>
              <w:rPr>
                <w:rFonts w:ascii="Arial" w:hAnsi="Arial" w:cs="Arial"/>
              </w:rPr>
            </w:pPr>
          </w:p>
        </w:tc>
      </w:tr>
      <w:tr w:rsidR="004961A2" w14:paraId="1086A9BD" w14:textId="77777777" w:rsidTr="005646FA">
        <w:tc>
          <w:tcPr>
            <w:tcW w:w="2980" w:type="dxa"/>
            <w:tcBorders>
              <w:top w:val="single" w:sz="4" w:space="0" w:color="auto"/>
            </w:tcBorders>
          </w:tcPr>
          <w:p w14:paraId="08FA8C09" w14:textId="5130417B" w:rsidR="004961A2" w:rsidRPr="00AC1658" w:rsidRDefault="00C54341" w:rsidP="000F5AD3">
            <w:pPr>
              <w:spacing w:after="0" w:line="240" w:lineRule="auto"/>
              <w:rPr>
                <w:rFonts w:ascii="Arial" w:hAnsi="Arial" w:cs="Arial"/>
              </w:rPr>
            </w:pPr>
            <w:r w:rsidRPr="00AC1658">
              <w:rPr>
                <w:rFonts w:ascii="Arial" w:hAnsi="Arial" w:cs="Arial"/>
              </w:rPr>
              <w:t>Protected arrangements</w:t>
            </w:r>
          </w:p>
        </w:tc>
        <w:tc>
          <w:tcPr>
            <w:tcW w:w="5464" w:type="dxa"/>
            <w:shd w:val="clear" w:color="auto" w:fill="D0CECE" w:themeFill="background2" w:themeFillShade="E6"/>
          </w:tcPr>
          <w:p w14:paraId="22CA15A3" w14:textId="2AD5401D" w:rsidR="00036353" w:rsidRDefault="00385AA1" w:rsidP="00B5332C">
            <w:pPr>
              <w:spacing w:after="0" w:line="240" w:lineRule="auto"/>
              <w:jc w:val="both"/>
              <w:rPr>
                <w:rFonts w:ascii="Arial" w:hAnsi="Arial" w:cs="Arial"/>
              </w:rPr>
            </w:pPr>
            <w:r>
              <w:rPr>
                <w:rFonts w:ascii="Arial" w:hAnsi="Arial" w:cs="Arial"/>
              </w:rPr>
              <w:t>O</w:t>
            </w:r>
            <w:r w:rsidR="00A22FDC">
              <w:rPr>
                <w:rFonts w:ascii="Arial" w:hAnsi="Arial" w:cs="Arial"/>
              </w:rPr>
              <w:t>ne responde</w:t>
            </w:r>
            <w:r w:rsidR="00F60E2A">
              <w:rPr>
                <w:rFonts w:ascii="Arial" w:hAnsi="Arial" w:cs="Arial"/>
              </w:rPr>
              <w:t>nt</w:t>
            </w:r>
            <w:r w:rsidR="00A22FDC">
              <w:rPr>
                <w:rFonts w:ascii="Arial" w:hAnsi="Arial" w:cs="Arial"/>
              </w:rPr>
              <w:t xml:space="preserve"> </w:t>
            </w:r>
            <w:r w:rsidR="00430C12">
              <w:rPr>
                <w:rFonts w:ascii="Arial" w:hAnsi="Arial" w:cs="Arial"/>
              </w:rPr>
              <w:t xml:space="preserve">recommended </w:t>
            </w:r>
            <w:r w:rsidR="0021599B">
              <w:rPr>
                <w:rFonts w:ascii="Arial" w:hAnsi="Arial" w:cs="Arial"/>
              </w:rPr>
              <w:t>that</w:t>
            </w:r>
            <w:r w:rsidR="00171EB2">
              <w:rPr>
                <w:rFonts w:ascii="Arial" w:hAnsi="Arial" w:cs="Arial"/>
              </w:rPr>
              <w:t xml:space="preserve"> </w:t>
            </w:r>
            <w:r w:rsidR="00A22FDC">
              <w:rPr>
                <w:rFonts w:ascii="Arial" w:hAnsi="Arial" w:cs="Arial"/>
              </w:rPr>
              <w:t>protected arrangements be applied to settlement systems and obligations owed to designated settlement systems.</w:t>
            </w:r>
          </w:p>
          <w:p w14:paraId="281C4EA3" w14:textId="77777777" w:rsidR="00A22FDC" w:rsidRDefault="00A22FDC" w:rsidP="00B5332C">
            <w:pPr>
              <w:spacing w:after="0" w:line="240" w:lineRule="auto"/>
              <w:jc w:val="both"/>
              <w:rPr>
                <w:rFonts w:ascii="Arial" w:hAnsi="Arial" w:cs="Arial"/>
              </w:rPr>
            </w:pPr>
          </w:p>
          <w:p w14:paraId="0EDAF26A" w14:textId="3DACC55D" w:rsidR="00A22FDC" w:rsidRPr="00E4517A" w:rsidRDefault="00A22FDC" w:rsidP="00B5332C">
            <w:pPr>
              <w:spacing w:after="0" w:line="240" w:lineRule="auto"/>
              <w:jc w:val="both"/>
              <w:rPr>
                <w:rFonts w:ascii="Arial" w:hAnsi="Arial" w:cs="Arial"/>
              </w:rPr>
            </w:pPr>
          </w:p>
        </w:tc>
        <w:tc>
          <w:tcPr>
            <w:tcW w:w="5504" w:type="dxa"/>
            <w:shd w:val="clear" w:color="auto" w:fill="D0CECE" w:themeFill="background2" w:themeFillShade="E6"/>
          </w:tcPr>
          <w:p w14:paraId="5D18C23D" w14:textId="0C1E58C6" w:rsidR="00430C12" w:rsidRDefault="00A22FDC" w:rsidP="0021599B">
            <w:pPr>
              <w:spacing w:after="0" w:line="240" w:lineRule="auto"/>
              <w:rPr>
                <w:rFonts w:ascii="Arial" w:hAnsi="Arial" w:cs="Arial"/>
              </w:rPr>
            </w:pPr>
            <w:r>
              <w:rPr>
                <w:rFonts w:ascii="Arial" w:hAnsi="Arial" w:cs="Arial"/>
              </w:rPr>
              <w:t xml:space="preserve">The </w:t>
            </w:r>
            <w:r w:rsidR="00DA560E">
              <w:rPr>
                <w:rFonts w:ascii="Arial" w:hAnsi="Arial" w:cs="Arial"/>
              </w:rPr>
              <w:t>Authorities</w:t>
            </w:r>
            <w:r w:rsidR="00E47FBF">
              <w:rPr>
                <w:rFonts w:ascii="Arial" w:hAnsi="Arial" w:cs="Arial"/>
              </w:rPr>
              <w:t xml:space="preserve"> </w:t>
            </w:r>
            <w:r w:rsidR="00430C12">
              <w:rPr>
                <w:rFonts w:ascii="Arial" w:hAnsi="Arial" w:cs="Arial"/>
              </w:rPr>
              <w:t xml:space="preserve">agree that there should be safeguards to transactions in settlement systems, however the </w:t>
            </w:r>
            <w:r w:rsidR="00FC0985">
              <w:rPr>
                <w:rFonts w:ascii="Arial" w:hAnsi="Arial" w:cs="Arial"/>
              </w:rPr>
              <w:t xml:space="preserve">safeguards to be </w:t>
            </w:r>
            <w:r w:rsidR="00430C12">
              <w:rPr>
                <w:rFonts w:ascii="Arial" w:hAnsi="Arial" w:cs="Arial"/>
              </w:rPr>
              <w:t>applied will be as st</w:t>
            </w:r>
            <w:r w:rsidR="00E47FBF">
              <w:rPr>
                <w:rFonts w:ascii="Arial" w:hAnsi="Arial" w:cs="Arial"/>
              </w:rPr>
              <w:t>ipulated in section 5 of the N</w:t>
            </w:r>
            <w:r w:rsidR="00393771">
              <w:rPr>
                <w:rFonts w:ascii="Arial" w:hAnsi="Arial" w:cs="Arial"/>
              </w:rPr>
              <w:t xml:space="preserve">ational </w:t>
            </w:r>
            <w:r w:rsidR="00FC0985">
              <w:rPr>
                <w:rFonts w:ascii="Arial" w:hAnsi="Arial" w:cs="Arial"/>
              </w:rPr>
              <w:t>Payment System</w:t>
            </w:r>
            <w:r w:rsidR="00393771">
              <w:rPr>
                <w:rFonts w:ascii="Arial" w:hAnsi="Arial" w:cs="Arial"/>
              </w:rPr>
              <w:t xml:space="preserve"> </w:t>
            </w:r>
            <w:r w:rsidR="00E47FBF">
              <w:rPr>
                <w:rFonts w:ascii="Arial" w:hAnsi="Arial" w:cs="Arial"/>
              </w:rPr>
              <w:t>Act</w:t>
            </w:r>
            <w:r w:rsidR="00393771">
              <w:rPr>
                <w:rFonts w:ascii="Arial" w:hAnsi="Arial" w:cs="Arial"/>
              </w:rPr>
              <w:t xml:space="preserve"> No. 78 of 1998 (NPS Act)</w:t>
            </w:r>
            <w:r w:rsidR="00430C12">
              <w:rPr>
                <w:rFonts w:ascii="Arial" w:hAnsi="Arial" w:cs="Arial"/>
              </w:rPr>
              <w:t>.</w:t>
            </w:r>
          </w:p>
          <w:p w14:paraId="00928861" w14:textId="7BA10916" w:rsidR="009E5214" w:rsidRPr="0021599B" w:rsidRDefault="009E5214" w:rsidP="008D73F8">
            <w:pPr>
              <w:spacing w:after="0" w:line="240" w:lineRule="auto"/>
              <w:rPr>
                <w:rFonts w:ascii="Arial" w:hAnsi="Arial" w:cs="Arial"/>
              </w:rPr>
            </w:pPr>
          </w:p>
        </w:tc>
      </w:tr>
      <w:tr w:rsidR="004961A2" w14:paraId="7ABCF956" w14:textId="77777777" w:rsidTr="00A070CF">
        <w:trPr>
          <w:trHeight w:val="2608"/>
        </w:trPr>
        <w:tc>
          <w:tcPr>
            <w:tcW w:w="2980" w:type="dxa"/>
          </w:tcPr>
          <w:p w14:paraId="4037450A" w14:textId="3EB1D6D8" w:rsidR="004961A2" w:rsidRPr="00AC1658" w:rsidRDefault="00C54341" w:rsidP="000F5AD3">
            <w:pPr>
              <w:spacing w:after="0" w:line="240" w:lineRule="auto"/>
              <w:rPr>
                <w:rFonts w:ascii="Arial" w:hAnsi="Arial" w:cs="Arial"/>
              </w:rPr>
            </w:pPr>
            <w:r w:rsidRPr="00AC1658">
              <w:rPr>
                <w:rFonts w:ascii="Arial" w:hAnsi="Arial" w:cs="Arial"/>
              </w:rPr>
              <w:t>Requirements to define transfer perimeter</w:t>
            </w:r>
          </w:p>
        </w:tc>
        <w:tc>
          <w:tcPr>
            <w:tcW w:w="5464" w:type="dxa"/>
            <w:shd w:val="clear" w:color="auto" w:fill="D0CECE" w:themeFill="background2" w:themeFillShade="E6"/>
          </w:tcPr>
          <w:p w14:paraId="4ACB909F" w14:textId="46839E01" w:rsidR="00BE38B3" w:rsidRDefault="00567776" w:rsidP="00B5332C">
            <w:pPr>
              <w:spacing w:after="0" w:line="240" w:lineRule="auto"/>
              <w:jc w:val="both"/>
              <w:rPr>
                <w:rFonts w:ascii="Arial" w:hAnsi="Arial" w:cs="Arial"/>
              </w:rPr>
            </w:pPr>
            <w:r>
              <w:rPr>
                <w:rFonts w:ascii="Arial" w:hAnsi="Arial" w:cs="Arial"/>
              </w:rPr>
              <w:t xml:space="preserve">The comments raised by respondents </w:t>
            </w:r>
            <w:r w:rsidR="00BE38B3">
              <w:rPr>
                <w:rFonts w:ascii="Arial" w:hAnsi="Arial" w:cs="Arial"/>
              </w:rPr>
              <w:t>mainly revolved around the following:</w:t>
            </w:r>
          </w:p>
          <w:p w14:paraId="42515FAF" w14:textId="110152B5" w:rsidR="00552C86" w:rsidRPr="002B2FC9" w:rsidRDefault="00702A76" w:rsidP="002B2FC9">
            <w:pPr>
              <w:pStyle w:val="ListParagraph"/>
              <w:numPr>
                <w:ilvl w:val="0"/>
                <w:numId w:val="26"/>
              </w:numPr>
              <w:jc w:val="both"/>
              <w:rPr>
                <w:rFonts w:ascii="Arial" w:hAnsi="Arial" w:cs="Arial"/>
              </w:rPr>
            </w:pPr>
            <w:r w:rsidRPr="002B2FC9">
              <w:rPr>
                <w:rFonts w:ascii="Arial" w:hAnsi="Arial" w:cs="Arial"/>
              </w:rPr>
              <w:t xml:space="preserve">Referencing to “the Act” instead of the FSLA </w:t>
            </w:r>
            <w:proofErr w:type="gramStart"/>
            <w:r w:rsidRPr="002B2FC9">
              <w:rPr>
                <w:rFonts w:ascii="Arial" w:hAnsi="Arial" w:cs="Arial"/>
              </w:rPr>
              <w:t>Act;</w:t>
            </w:r>
            <w:proofErr w:type="gramEnd"/>
          </w:p>
          <w:p w14:paraId="7ACEB4FB" w14:textId="4AD211A3" w:rsidR="00702A76" w:rsidRPr="002B2FC9" w:rsidRDefault="002B2FC9" w:rsidP="002B2FC9">
            <w:pPr>
              <w:pStyle w:val="ListParagraph"/>
              <w:numPr>
                <w:ilvl w:val="0"/>
                <w:numId w:val="26"/>
              </w:numPr>
              <w:jc w:val="both"/>
              <w:rPr>
                <w:rFonts w:ascii="Arial" w:hAnsi="Arial" w:cs="Arial"/>
              </w:rPr>
            </w:pPr>
            <w:r w:rsidRPr="002B2FC9">
              <w:rPr>
                <w:rFonts w:ascii="Arial" w:hAnsi="Arial" w:cs="Arial"/>
              </w:rPr>
              <w:t xml:space="preserve">Clarity around the </w:t>
            </w:r>
            <w:r w:rsidR="000009F4" w:rsidRPr="002B2FC9">
              <w:rPr>
                <w:rFonts w:ascii="Arial" w:hAnsi="Arial" w:cs="Arial"/>
              </w:rPr>
              <w:t>releva</w:t>
            </w:r>
            <w:r w:rsidR="000009F4">
              <w:rPr>
                <w:rFonts w:ascii="Arial" w:hAnsi="Arial" w:cs="Arial"/>
              </w:rPr>
              <w:t>nce</w:t>
            </w:r>
            <w:r w:rsidRPr="002B2FC9">
              <w:rPr>
                <w:rFonts w:ascii="Arial" w:hAnsi="Arial" w:cs="Arial"/>
              </w:rPr>
              <w:t xml:space="preserve"> of core business lines in a transfer</w:t>
            </w:r>
            <w:r w:rsidR="0047043F">
              <w:rPr>
                <w:rFonts w:ascii="Arial" w:hAnsi="Arial" w:cs="Arial"/>
              </w:rPr>
              <w:t xml:space="preserve"> resolution</w:t>
            </w:r>
            <w:r w:rsidRPr="002B2FC9">
              <w:rPr>
                <w:rFonts w:ascii="Arial" w:hAnsi="Arial" w:cs="Arial"/>
              </w:rPr>
              <w:t xml:space="preserve"> </w:t>
            </w:r>
            <w:proofErr w:type="gramStart"/>
            <w:r w:rsidRPr="002B2FC9">
              <w:rPr>
                <w:rFonts w:ascii="Arial" w:hAnsi="Arial" w:cs="Arial"/>
              </w:rPr>
              <w:t>strategy</w:t>
            </w:r>
            <w:r>
              <w:rPr>
                <w:rFonts w:ascii="Arial" w:hAnsi="Arial" w:cs="Arial"/>
              </w:rPr>
              <w:t>;</w:t>
            </w:r>
            <w:proofErr w:type="gramEnd"/>
          </w:p>
          <w:p w14:paraId="433062A8" w14:textId="174A9CA2" w:rsidR="00702A76" w:rsidRPr="00A070CF" w:rsidRDefault="002B2FC9" w:rsidP="00B5332C">
            <w:pPr>
              <w:pStyle w:val="ListParagraph"/>
              <w:numPr>
                <w:ilvl w:val="0"/>
                <w:numId w:val="26"/>
              </w:numPr>
              <w:jc w:val="both"/>
              <w:rPr>
                <w:rFonts w:ascii="Arial" w:hAnsi="Arial" w:cs="Arial"/>
              </w:rPr>
            </w:pPr>
            <w:r w:rsidRPr="002B2FC9">
              <w:rPr>
                <w:rFonts w:ascii="Arial" w:hAnsi="Arial" w:cs="Arial"/>
              </w:rPr>
              <w:t xml:space="preserve">Clarity around including liabilities that might </w:t>
            </w:r>
            <w:r w:rsidR="00E44E04">
              <w:rPr>
                <w:rFonts w:ascii="Arial" w:hAnsi="Arial" w:cs="Arial"/>
              </w:rPr>
              <w:t xml:space="preserve">give </w:t>
            </w:r>
            <w:r w:rsidRPr="002B2FC9">
              <w:rPr>
                <w:rFonts w:ascii="Arial" w:hAnsi="Arial" w:cs="Arial"/>
              </w:rPr>
              <w:t xml:space="preserve">rise </w:t>
            </w:r>
            <w:r w:rsidR="00E44E04">
              <w:rPr>
                <w:rFonts w:ascii="Arial" w:hAnsi="Arial" w:cs="Arial"/>
              </w:rPr>
              <w:t>to</w:t>
            </w:r>
            <w:r w:rsidRPr="002B2FC9">
              <w:rPr>
                <w:rFonts w:ascii="Arial" w:hAnsi="Arial" w:cs="Arial"/>
              </w:rPr>
              <w:t xml:space="preserve"> the No Creditor Worse Off than in </w:t>
            </w:r>
            <w:r w:rsidR="00EA474A" w:rsidRPr="002B2FC9">
              <w:rPr>
                <w:rFonts w:ascii="Arial" w:hAnsi="Arial" w:cs="Arial"/>
              </w:rPr>
              <w:t>Liquidation (</w:t>
            </w:r>
            <w:r w:rsidRPr="002B2FC9">
              <w:rPr>
                <w:rFonts w:ascii="Arial" w:hAnsi="Arial" w:cs="Arial"/>
              </w:rPr>
              <w:t>NCWOL)</w:t>
            </w:r>
            <w:r w:rsidR="005515ED">
              <w:rPr>
                <w:rFonts w:ascii="Arial" w:hAnsi="Arial" w:cs="Arial"/>
              </w:rPr>
              <w:t xml:space="preserve"> principle</w:t>
            </w:r>
            <w:r w:rsidRPr="002B2FC9">
              <w:rPr>
                <w:rFonts w:ascii="Arial" w:hAnsi="Arial" w:cs="Arial"/>
              </w:rPr>
              <w:t xml:space="preserve">. </w:t>
            </w:r>
          </w:p>
          <w:p w14:paraId="23607048" w14:textId="7CF12955" w:rsidR="00BE38B3" w:rsidRPr="00E4517A" w:rsidRDefault="00BE38B3" w:rsidP="00B5332C">
            <w:pPr>
              <w:spacing w:after="0" w:line="240" w:lineRule="auto"/>
              <w:jc w:val="both"/>
              <w:rPr>
                <w:rFonts w:ascii="Arial" w:hAnsi="Arial" w:cs="Arial"/>
              </w:rPr>
            </w:pPr>
          </w:p>
        </w:tc>
        <w:tc>
          <w:tcPr>
            <w:tcW w:w="5504" w:type="dxa"/>
            <w:shd w:val="clear" w:color="auto" w:fill="D0CECE" w:themeFill="background2" w:themeFillShade="E6"/>
          </w:tcPr>
          <w:p w14:paraId="32FCC04B" w14:textId="0CAD6599" w:rsidR="001C7728" w:rsidRPr="00F70F62" w:rsidRDefault="001C7728" w:rsidP="001C7728">
            <w:pPr>
              <w:spacing w:after="0" w:line="240" w:lineRule="auto"/>
              <w:jc w:val="both"/>
              <w:rPr>
                <w:rFonts w:ascii="Arial" w:hAnsi="Arial" w:cs="Arial"/>
              </w:rPr>
            </w:pPr>
            <w:r w:rsidRPr="00F70F62">
              <w:rPr>
                <w:rFonts w:ascii="Arial" w:hAnsi="Arial" w:cs="Arial"/>
              </w:rPr>
              <w:t xml:space="preserve">The </w:t>
            </w:r>
            <w:r w:rsidR="00DA560E" w:rsidRPr="00F70F62">
              <w:rPr>
                <w:rFonts w:ascii="Arial" w:hAnsi="Arial" w:cs="Arial"/>
              </w:rPr>
              <w:t>Authorities</w:t>
            </w:r>
            <w:r w:rsidRPr="00F70F62">
              <w:rPr>
                <w:rFonts w:ascii="Arial" w:hAnsi="Arial" w:cs="Arial"/>
              </w:rPr>
              <w:t xml:space="preserve"> agree with the recommendation </w:t>
            </w:r>
            <w:r w:rsidR="00F70F62" w:rsidRPr="00F70F62">
              <w:rPr>
                <w:rFonts w:ascii="Arial" w:hAnsi="Arial" w:cs="Arial"/>
              </w:rPr>
              <w:t>to r</w:t>
            </w:r>
            <w:r w:rsidRPr="00F70F62">
              <w:rPr>
                <w:rFonts w:ascii="Arial" w:hAnsi="Arial" w:cs="Arial"/>
              </w:rPr>
              <w:t>emove any references to the FSLA Act and only refer to “the Act” in the Standard</w:t>
            </w:r>
            <w:r w:rsidR="00F70F62" w:rsidRPr="00F70F62">
              <w:rPr>
                <w:rFonts w:ascii="Arial" w:hAnsi="Arial" w:cs="Arial"/>
              </w:rPr>
              <w:t xml:space="preserve"> and has amended the Standard accordingly.</w:t>
            </w:r>
          </w:p>
          <w:p w14:paraId="68C374C8" w14:textId="77777777" w:rsidR="004961A2" w:rsidRPr="00916A51" w:rsidRDefault="004961A2" w:rsidP="00DA4D28">
            <w:pPr>
              <w:spacing w:after="0" w:line="240" w:lineRule="auto"/>
              <w:rPr>
                <w:rFonts w:ascii="Arial" w:hAnsi="Arial" w:cs="Arial"/>
              </w:rPr>
            </w:pPr>
          </w:p>
          <w:p w14:paraId="45C03BA5" w14:textId="2467AFB2" w:rsidR="001C7728" w:rsidRPr="00E4517A" w:rsidRDefault="001C7728" w:rsidP="00DA4D28">
            <w:pPr>
              <w:spacing w:after="0" w:line="240" w:lineRule="auto"/>
              <w:rPr>
                <w:rFonts w:ascii="Arial" w:hAnsi="Arial" w:cs="Arial"/>
              </w:rPr>
            </w:pPr>
            <w:r w:rsidRPr="00916A51">
              <w:rPr>
                <w:rFonts w:ascii="Arial" w:hAnsi="Arial" w:cs="Arial"/>
              </w:rPr>
              <w:t xml:space="preserve">The </w:t>
            </w:r>
            <w:r w:rsidR="00DA560E">
              <w:rPr>
                <w:rFonts w:ascii="Arial" w:hAnsi="Arial" w:cs="Arial"/>
              </w:rPr>
              <w:t>Authorities</w:t>
            </w:r>
            <w:r w:rsidRPr="00916A51">
              <w:rPr>
                <w:rFonts w:ascii="Arial" w:hAnsi="Arial" w:cs="Arial"/>
              </w:rPr>
              <w:t xml:space="preserve"> provided clarity</w:t>
            </w:r>
            <w:r w:rsidRPr="00916A51">
              <w:rPr>
                <w:rFonts w:ascii="Arial" w:hAnsi="Arial" w:cs="Arial"/>
                <w:b/>
                <w:bCs/>
              </w:rPr>
              <w:t xml:space="preserve"> </w:t>
            </w:r>
            <w:r>
              <w:rPr>
                <w:rFonts w:ascii="Arial" w:hAnsi="Arial" w:cs="Arial"/>
              </w:rPr>
              <w:t xml:space="preserve">on the relevance </w:t>
            </w:r>
            <w:r w:rsidR="004D0771">
              <w:rPr>
                <w:rFonts w:ascii="Arial" w:hAnsi="Arial" w:cs="Arial"/>
              </w:rPr>
              <w:t>of</w:t>
            </w:r>
            <w:r>
              <w:rPr>
                <w:rFonts w:ascii="Arial" w:hAnsi="Arial" w:cs="Arial"/>
              </w:rPr>
              <w:t xml:space="preserve"> core business lines in a </w:t>
            </w:r>
            <w:r w:rsidR="004D0771">
              <w:rPr>
                <w:rFonts w:ascii="Arial" w:hAnsi="Arial" w:cs="Arial"/>
              </w:rPr>
              <w:t>transfer</w:t>
            </w:r>
            <w:r>
              <w:rPr>
                <w:rFonts w:ascii="Arial" w:hAnsi="Arial" w:cs="Arial"/>
              </w:rPr>
              <w:t xml:space="preserve"> strategy and </w:t>
            </w:r>
            <w:r w:rsidR="00CD7D4E">
              <w:rPr>
                <w:rFonts w:ascii="Arial" w:hAnsi="Arial" w:cs="Arial"/>
              </w:rPr>
              <w:t xml:space="preserve">clarity on </w:t>
            </w:r>
            <w:r>
              <w:rPr>
                <w:rFonts w:ascii="Arial" w:hAnsi="Arial" w:cs="Arial"/>
              </w:rPr>
              <w:t xml:space="preserve">the </w:t>
            </w:r>
            <w:r w:rsidR="004D0771">
              <w:rPr>
                <w:rFonts w:ascii="Arial" w:hAnsi="Arial" w:cs="Arial"/>
              </w:rPr>
              <w:t>purpose of including liabilities that might g</w:t>
            </w:r>
            <w:r w:rsidR="003E7ECB">
              <w:rPr>
                <w:rFonts w:ascii="Arial" w:hAnsi="Arial" w:cs="Arial"/>
              </w:rPr>
              <w:t>i</w:t>
            </w:r>
            <w:r w:rsidR="004D0771">
              <w:rPr>
                <w:rFonts w:ascii="Arial" w:hAnsi="Arial" w:cs="Arial"/>
              </w:rPr>
              <w:t>ve rise to NCWOL if they remained in the residual institution.</w:t>
            </w:r>
          </w:p>
        </w:tc>
      </w:tr>
      <w:tr w:rsidR="004961A2" w14:paraId="2E750DCC" w14:textId="77777777" w:rsidTr="002742F0">
        <w:trPr>
          <w:trHeight w:val="1381"/>
        </w:trPr>
        <w:tc>
          <w:tcPr>
            <w:tcW w:w="2980" w:type="dxa"/>
          </w:tcPr>
          <w:p w14:paraId="1A980BA3" w14:textId="17B4667F" w:rsidR="004961A2" w:rsidRPr="00AC1658" w:rsidRDefault="00AC1658" w:rsidP="000F5AD3">
            <w:pPr>
              <w:spacing w:after="0" w:line="240" w:lineRule="auto"/>
              <w:rPr>
                <w:rFonts w:ascii="Arial" w:hAnsi="Arial" w:cs="Arial"/>
              </w:rPr>
            </w:pPr>
            <w:r w:rsidRPr="00AC1658">
              <w:rPr>
                <w:rFonts w:ascii="Arial" w:hAnsi="Arial" w:cs="Arial"/>
              </w:rPr>
              <w:t>Governance requirements</w:t>
            </w:r>
          </w:p>
        </w:tc>
        <w:tc>
          <w:tcPr>
            <w:tcW w:w="5464" w:type="dxa"/>
            <w:shd w:val="clear" w:color="auto" w:fill="D0CECE" w:themeFill="background2" w:themeFillShade="E6"/>
          </w:tcPr>
          <w:p w14:paraId="560339C4" w14:textId="30B7C44B" w:rsidR="004961A2" w:rsidRPr="00E4517A" w:rsidRDefault="00385AA1" w:rsidP="000F5AD3">
            <w:pPr>
              <w:spacing w:after="0" w:line="240" w:lineRule="auto"/>
              <w:rPr>
                <w:rFonts w:ascii="Arial" w:hAnsi="Arial" w:cs="Arial"/>
              </w:rPr>
            </w:pPr>
            <w:r>
              <w:rPr>
                <w:rFonts w:ascii="Arial" w:hAnsi="Arial" w:cs="Arial"/>
              </w:rPr>
              <w:t>O</w:t>
            </w:r>
            <w:r w:rsidR="009253AF">
              <w:rPr>
                <w:rFonts w:ascii="Arial" w:hAnsi="Arial" w:cs="Arial"/>
              </w:rPr>
              <w:t>ne respondent enquire</w:t>
            </w:r>
            <w:r>
              <w:rPr>
                <w:rFonts w:ascii="Arial" w:hAnsi="Arial" w:cs="Arial"/>
              </w:rPr>
              <w:t>d</w:t>
            </w:r>
            <w:r w:rsidR="009253AF">
              <w:rPr>
                <w:rFonts w:ascii="Arial" w:hAnsi="Arial" w:cs="Arial"/>
              </w:rPr>
              <w:t xml:space="preserve"> whether there would be external audit requirements on the requirements.</w:t>
            </w:r>
          </w:p>
        </w:tc>
        <w:tc>
          <w:tcPr>
            <w:tcW w:w="5504" w:type="dxa"/>
            <w:shd w:val="clear" w:color="auto" w:fill="D0CECE" w:themeFill="background2" w:themeFillShade="E6"/>
          </w:tcPr>
          <w:p w14:paraId="710FDE51" w14:textId="6CE9C1A2" w:rsidR="008F541C" w:rsidRPr="00916A51" w:rsidRDefault="00F005C5" w:rsidP="00916A51">
            <w:pPr>
              <w:spacing w:after="0" w:line="240" w:lineRule="auto"/>
              <w:rPr>
                <w:rFonts w:ascii="Arial" w:hAnsi="Arial" w:cs="Arial"/>
              </w:rPr>
            </w:pPr>
            <w:r w:rsidRPr="00916A51">
              <w:rPr>
                <w:rFonts w:ascii="Arial" w:hAnsi="Arial" w:cs="Arial"/>
              </w:rPr>
              <w:t xml:space="preserve">The </w:t>
            </w:r>
            <w:r w:rsidR="00DA560E">
              <w:rPr>
                <w:rFonts w:ascii="Arial" w:hAnsi="Arial" w:cs="Arial"/>
              </w:rPr>
              <w:t>Authorities</w:t>
            </w:r>
            <w:r w:rsidRPr="00916A51">
              <w:rPr>
                <w:rFonts w:ascii="Arial" w:hAnsi="Arial" w:cs="Arial"/>
              </w:rPr>
              <w:t xml:space="preserve">’ stance is that </w:t>
            </w:r>
            <w:r w:rsidR="00BB3A4D" w:rsidRPr="00916A51">
              <w:rPr>
                <w:rFonts w:ascii="Arial" w:hAnsi="Arial" w:cs="Arial"/>
              </w:rPr>
              <w:t xml:space="preserve">if there are any </w:t>
            </w:r>
            <w:r w:rsidR="00C53175" w:rsidRPr="00916A51">
              <w:rPr>
                <w:rFonts w:ascii="Arial" w:hAnsi="Arial" w:cs="Arial"/>
              </w:rPr>
              <w:t xml:space="preserve">resolution related audit requirements (internal or external) </w:t>
            </w:r>
            <w:r w:rsidR="00BB3A4D" w:rsidRPr="00916A51">
              <w:rPr>
                <w:rFonts w:ascii="Arial" w:hAnsi="Arial" w:cs="Arial"/>
              </w:rPr>
              <w:t xml:space="preserve">they will </w:t>
            </w:r>
            <w:r w:rsidR="00C53175" w:rsidRPr="00916A51">
              <w:rPr>
                <w:rFonts w:ascii="Arial" w:hAnsi="Arial" w:cs="Arial"/>
              </w:rPr>
              <w:t>be dealt with separately</w:t>
            </w:r>
            <w:r w:rsidR="008F541C" w:rsidRPr="00916A51">
              <w:rPr>
                <w:rFonts w:ascii="Arial" w:hAnsi="Arial" w:cs="Arial"/>
              </w:rPr>
              <w:t xml:space="preserve"> and at a later </w:t>
            </w:r>
            <w:r w:rsidR="00BB3A4D" w:rsidRPr="00916A51">
              <w:rPr>
                <w:rFonts w:ascii="Arial" w:hAnsi="Arial" w:cs="Arial"/>
              </w:rPr>
              <w:t>stage.</w:t>
            </w:r>
          </w:p>
          <w:p w14:paraId="54CBEDF7" w14:textId="552C3DAE" w:rsidR="004961A2" w:rsidRPr="00E4517A" w:rsidRDefault="004961A2" w:rsidP="00DA4D28">
            <w:pPr>
              <w:spacing w:after="0" w:line="240" w:lineRule="auto"/>
              <w:rPr>
                <w:rFonts w:ascii="Arial" w:hAnsi="Arial" w:cs="Arial"/>
              </w:rPr>
            </w:pPr>
          </w:p>
        </w:tc>
      </w:tr>
      <w:tr w:rsidR="004961A2" w14:paraId="519ADB8B" w14:textId="77777777" w:rsidTr="00A070CF">
        <w:trPr>
          <w:trHeight w:val="2684"/>
        </w:trPr>
        <w:tc>
          <w:tcPr>
            <w:tcW w:w="2980" w:type="dxa"/>
          </w:tcPr>
          <w:p w14:paraId="6F0B2647" w14:textId="4E426264" w:rsidR="004961A2" w:rsidRPr="00AC1658" w:rsidRDefault="00AC1658" w:rsidP="000F5AD3">
            <w:pPr>
              <w:spacing w:after="0" w:line="240" w:lineRule="auto"/>
              <w:rPr>
                <w:rFonts w:ascii="Arial" w:hAnsi="Arial" w:cs="Arial"/>
              </w:rPr>
            </w:pPr>
            <w:r w:rsidRPr="00AC1658">
              <w:rPr>
                <w:rFonts w:ascii="Arial" w:hAnsi="Arial" w:cs="Arial"/>
              </w:rPr>
              <w:lastRenderedPageBreak/>
              <w:t>General compliance requirements</w:t>
            </w:r>
          </w:p>
        </w:tc>
        <w:tc>
          <w:tcPr>
            <w:tcW w:w="5464" w:type="dxa"/>
            <w:shd w:val="clear" w:color="auto" w:fill="D0CECE" w:themeFill="background2" w:themeFillShade="E6"/>
          </w:tcPr>
          <w:p w14:paraId="395E0319" w14:textId="2712B756" w:rsidR="00D54D19" w:rsidRDefault="00385AA1" w:rsidP="000F5AD3">
            <w:pPr>
              <w:spacing w:after="0" w:line="240" w:lineRule="auto"/>
              <w:rPr>
                <w:rFonts w:ascii="Arial" w:hAnsi="Arial" w:cs="Arial"/>
              </w:rPr>
            </w:pPr>
            <w:r>
              <w:rPr>
                <w:rFonts w:ascii="Arial" w:hAnsi="Arial" w:cs="Arial"/>
              </w:rPr>
              <w:t>One</w:t>
            </w:r>
            <w:r w:rsidR="00363C7A">
              <w:rPr>
                <w:rFonts w:ascii="Arial" w:hAnsi="Arial" w:cs="Arial"/>
              </w:rPr>
              <w:t xml:space="preserve"> respondent </w:t>
            </w:r>
            <w:r w:rsidR="002742F0">
              <w:rPr>
                <w:rFonts w:ascii="Arial" w:hAnsi="Arial" w:cs="Arial"/>
              </w:rPr>
              <w:t>required</w:t>
            </w:r>
            <w:r w:rsidR="00D54D19">
              <w:rPr>
                <w:rFonts w:ascii="Arial" w:hAnsi="Arial" w:cs="Arial"/>
              </w:rPr>
              <w:t xml:space="preserve"> clarity around the frequency of monitoring and the reporting format.</w:t>
            </w:r>
          </w:p>
          <w:p w14:paraId="17899A01" w14:textId="77777777" w:rsidR="00D54D19" w:rsidRDefault="00D54D19" w:rsidP="000F5AD3">
            <w:pPr>
              <w:spacing w:after="0" w:line="240" w:lineRule="auto"/>
              <w:rPr>
                <w:rFonts w:ascii="Arial" w:hAnsi="Arial" w:cs="Arial"/>
              </w:rPr>
            </w:pPr>
          </w:p>
          <w:p w14:paraId="4ED26864" w14:textId="77777777" w:rsidR="00D54D19" w:rsidRDefault="00D54D19" w:rsidP="000F5AD3">
            <w:pPr>
              <w:spacing w:after="0" w:line="240" w:lineRule="auto"/>
              <w:rPr>
                <w:rFonts w:ascii="Arial" w:hAnsi="Arial" w:cs="Arial"/>
              </w:rPr>
            </w:pPr>
          </w:p>
          <w:p w14:paraId="19C8772B" w14:textId="19B8E01A" w:rsidR="004961A2" w:rsidRPr="00E4517A" w:rsidRDefault="004961A2" w:rsidP="000F5AD3">
            <w:pPr>
              <w:spacing w:after="0" w:line="240" w:lineRule="auto"/>
              <w:rPr>
                <w:rFonts w:ascii="Arial" w:hAnsi="Arial" w:cs="Arial"/>
              </w:rPr>
            </w:pPr>
          </w:p>
        </w:tc>
        <w:tc>
          <w:tcPr>
            <w:tcW w:w="5504" w:type="dxa"/>
            <w:shd w:val="clear" w:color="auto" w:fill="D0CECE" w:themeFill="background2" w:themeFillShade="E6"/>
          </w:tcPr>
          <w:p w14:paraId="6FB7D022" w14:textId="18D9C6E1" w:rsidR="00363C7A" w:rsidRDefault="00D54D19" w:rsidP="00363C7A">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DA560E">
              <w:rPr>
                <w:rFonts w:ascii="Arial" w:eastAsia="Times New Roman" w:hAnsi="Arial" w:cs="Arial"/>
                <w:lang w:val="en-GB"/>
              </w:rPr>
              <w:t>Authorities</w:t>
            </w:r>
            <w:r>
              <w:rPr>
                <w:rFonts w:ascii="Arial" w:eastAsia="Times New Roman" w:hAnsi="Arial" w:cs="Arial"/>
                <w:lang w:val="en-GB"/>
              </w:rPr>
              <w:t xml:space="preserve"> pointed </w:t>
            </w:r>
            <w:r w:rsidR="00E029C5">
              <w:rPr>
                <w:rFonts w:ascii="Arial" w:eastAsia="Times New Roman" w:hAnsi="Arial" w:cs="Arial"/>
                <w:lang w:val="en-GB"/>
              </w:rPr>
              <w:t xml:space="preserve">the respondent </w:t>
            </w:r>
            <w:r>
              <w:rPr>
                <w:rFonts w:ascii="Arial" w:eastAsia="Times New Roman" w:hAnsi="Arial" w:cs="Arial"/>
                <w:lang w:val="en-GB"/>
              </w:rPr>
              <w:t>to s</w:t>
            </w:r>
            <w:r w:rsidR="00363C7A">
              <w:rPr>
                <w:rFonts w:ascii="Arial" w:eastAsia="Times New Roman" w:hAnsi="Arial" w:cs="Arial"/>
                <w:lang w:val="en-GB"/>
              </w:rPr>
              <w:t xml:space="preserve">ection 13.2 </w:t>
            </w:r>
            <w:r w:rsidR="001A10B9">
              <w:rPr>
                <w:rFonts w:ascii="Arial" w:eastAsia="Times New Roman" w:hAnsi="Arial" w:cs="Arial"/>
                <w:lang w:val="en-GB"/>
              </w:rPr>
              <w:t xml:space="preserve">(now section 12.2) </w:t>
            </w:r>
            <w:r w:rsidR="00363C7A">
              <w:rPr>
                <w:rFonts w:ascii="Arial" w:eastAsia="Times New Roman" w:hAnsi="Arial" w:cs="Arial"/>
                <w:lang w:val="en-GB"/>
              </w:rPr>
              <w:t xml:space="preserve">of the </w:t>
            </w:r>
            <w:r w:rsidR="00704DA5">
              <w:rPr>
                <w:rFonts w:ascii="Arial" w:eastAsia="Times New Roman" w:hAnsi="Arial" w:cs="Arial"/>
                <w:lang w:val="en-GB"/>
              </w:rPr>
              <w:t>Standard which</w:t>
            </w:r>
            <w:r>
              <w:rPr>
                <w:rFonts w:ascii="Arial" w:eastAsia="Times New Roman" w:hAnsi="Arial" w:cs="Arial"/>
                <w:lang w:val="en-GB"/>
              </w:rPr>
              <w:t xml:space="preserve"> </w:t>
            </w:r>
            <w:r w:rsidR="00363C7A">
              <w:rPr>
                <w:rFonts w:ascii="Arial" w:eastAsia="Times New Roman" w:hAnsi="Arial" w:cs="Arial"/>
                <w:lang w:val="en-GB"/>
              </w:rPr>
              <w:t xml:space="preserve">states “the form, manner </w:t>
            </w:r>
            <w:r w:rsidR="00363C7A" w:rsidRPr="00E029C5">
              <w:rPr>
                <w:rFonts w:ascii="Arial" w:eastAsia="Times New Roman" w:hAnsi="Arial" w:cs="Arial"/>
                <w:lang w:val="en-GB"/>
              </w:rPr>
              <w:t xml:space="preserve">and </w:t>
            </w:r>
            <w:r w:rsidR="00363C7A" w:rsidRPr="00D87C13">
              <w:rPr>
                <w:rFonts w:ascii="Arial" w:eastAsia="Times New Roman" w:hAnsi="Arial" w:cs="Arial"/>
                <w:lang w:val="en-GB"/>
              </w:rPr>
              <w:t>period</w:t>
            </w:r>
            <w:r w:rsidR="00363C7A" w:rsidRPr="00E029C5">
              <w:rPr>
                <w:rFonts w:ascii="Arial" w:eastAsia="Times New Roman" w:hAnsi="Arial" w:cs="Arial"/>
                <w:lang w:val="en-GB"/>
              </w:rPr>
              <w:t xml:space="preserve"> for</w:t>
            </w:r>
            <w:r w:rsidR="00363C7A">
              <w:rPr>
                <w:rFonts w:ascii="Arial" w:eastAsia="Times New Roman" w:hAnsi="Arial" w:cs="Arial"/>
                <w:lang w:val="en-GB"/>
              </w:rPr>
              <w:t xml:space="preserve"> regulatory reporting on this Standard will be determined by the </w:t>
            </w:r>
            <w:r w:rsidR="00DA560E">
              <w:rPr>
                <w:rFonts w:ascii="Arial" w:eastAsia="Times New Roman" w:hAnsi="Arial" w:cs="Arial"/>
                <w:lang w:val="en-GB"/>
              </w:rPr>
              <w:t>Authorities</w:t>
            </w:r>
            <w:r w:rsidR="00363C7A">
              <w:rPr>
                <w:rFonts w:ascii="Arial" w:eastAsia="Times New Roman" w:hAnsi="Arial" w:cs="Arial"/>
                <w:lang w:val="en-GB"/>
              </w:rPr>
              <w:t xml:space="preserve"> and published on the </w:t>
            </w:r>
            <w:r w:rsidR="002919E1">
              <w:rPr>
                <w:rFonts w:ascii="Arial" w:eastAsia="Times New Roman" w:hAnsi="Arial" w:cs="Arial"/>
                <w:lang w:val="en-GB"/>
              </w:rPr>
              <w:t xml:space="preserve">Prudential </w:t>
            </w:r>
            <w:r w:rsidR="007C6BC4">
              <w:rPr>
                <w:rFonts w:ascii="Arial" w:eastAsia="Times New Roman" w:hAnsi="Arial" w:cs="Arial"/>
                <w:lang w:val="en-GB"/>
              </w:rPr>
              <w:t>Authority’s</w:t>
            </w:r>
            <w:r w:rsidR="00363C7A">
              <w:rPr>
                <w:rFonts w:ascii="Arial" w:eastAsia="Times New Roman" w:hAnsi="Arial" w:cs="Arial"/>
                <w:lang w:val="en-GB"/>
              </w:rPr>
              <w:t xml:space="preserve"> website”.</w:t>
            </w:r>
          </w:p>
          <w:p w14:paraId="75B441B7" w14:textId="1F4A1320" w:rsidR="008056A9" w:rsidRDefault="008056A9" w:rsidP="00363C7A">
            <w:pPr>
              <w:spacing w:after="0" w:line="240" w:lineRule="auto"/>
              <w:jc w:val="both"/>
              <w:rPr>
                <w:rFonts w:ascii="Arial" w:eastAsia="Times New Roman" w:hAnsi="Arial" w:cs="Arial"/>
                <w:lang w:val="en-GB"/>
              </w:rPr>
            </w:pPr>
          </w:p>
          <w:p w14:paraId="3A906C63" w14:textId="38CC0606" w:rsidR="004961A2" w:rsidRPr="00E4517A" w:rsidRDefault="008056A9" w:rsidP="008056A9">
            <w:pPr>
              <w:spacing w:after="0" w:line="240" w:lineRule="auto"/>
              <w:jc w:val="both"/>
              <w:rPr>
                <w:rFonts w:ascii="Arial" w:hAnsi="Arial" w:cs="Arial"/>
              </w:rPr>
            </w:pPr>
            <w:r>
              <w:rPr>
                <w:rFonts w:ascii="Arial" w:eastAsia="Times New Roman" w:hAnsi="Arial" w:cs="Arial"/>
                <w:lang w:val="en-GB"/>
              </w:rPr>
              <w:t xml:space="preserve">In addition, the </w:t>
            </w:r>
            <w:r w:rsidR="00DA560E">
              <w:rPr>
                <w:rFonts w:ascii="Arial" w:eastAsia="Times New Roman" w:hAnsi="Arial" w:cs="Arial"/>
                <w:lang w:val="en-GB"/>
              </w:rPr>
              <w:t>Authorities</w:t>
            </w:r>
            <w:r>
              <w:rPr>
                <w:rFonts w:ascii="Arial" w:eastAsia="Times New Roman" w:hAnsi="Arial" w:cs="Arial"/>
                <w:lang w:val="en-GB"/>
              </w:rPr>
              <w:t xml:space="preserve"> clarified that t</w:t>
            </w:r>
            <w:r w:rsidR="00363C7A">
              <w:rPr>
                <w:rFonts w:ascii="Arial" w:eastAsia="Times New Roman" w:hAnsi="Arial" w:cs="Arial"/>
                <w:lang w:val="en-GB"/>
              </w:rPr>
              <w:t>he monitoring, should be ongoing (and not periodic) as per section 1</w:t>
            </w:r>
            <w:r w:rsidR="009404BF">
              <w:rPr>
                <w:rFonts w:ascii="Arial" w:eastAsia="Times New Roman" w:hAnsi="Arial" w:cs="Arial"/>
                <w:lang w:val="en-GB"/>
              </w:rPr>
              <w:t>1</w:t>
            </w:r>
            <w:r w:rsidR="00363C7A">
              <w:rPr>
                <w:rFonts w:ascii="Arial" w:eastAsia="Times New Roman" w:hAnsi="Arial" w:cs="Arial"/>
                <w:lang w:val="en-GB"/>
              </w:rPr>
              <w:t xml:space="preserve"> of the Standard.</w:t>
            </w:r>
          </w:p>
        </w:tc>
      </w:tr>
      <w:tr w:rsidR="004961A2" w14:paraId="1F2082FE" w14:textId="77777777" w:rsidTr="006D13B6">
        <w:trPr>
          <w:trHeight w:val="1347"/>
        </w:trPr>
        <w:tc>
          <w:tcPr>
            <w:tcW w:w="2980" w:type="dxa"/>
          </w:tcPr>
          <w:p w14:paraId="271824CF" w14:textId="7819469D" w:rsidR="004961A2" w:rsidRPr="00AC1658" w:rsidRDefault="00AC1658" w:rsidP="000F5AD3">
            <w:pPr>
              <w:spacing w:after="0" w:line="240" w:lineRule="auto"/>
              <w:rPr>
                <w:rFonts w:ascii="Arial" w:hAnsi="Arial" w:cs="Arial"/>
              </w:rPr>
            </w:pPr>
            <w:r w:rsidRPr="00AC1658">
              <w:rPr>
                <w:rFonts w:ascii="Arial" w:hAnsi="Arial" w:cs="Arial"/>
              </w:rPr>
              <w:t xml:space="preserve">Reporting requirements </w:t>
            </w:r>
          </w:p>
        </w:tc>
        <w:tc>
          <w:tcPr>
            <w:tcW w:w="5464" w:type="dxa"/>
            <w:shd w:val="clear" w:color="auto" w:fill="D0CECE" w:themeFill="background2" w:themeFillShade="E6"/>
          </w:tcPr>
          <w:p w14:paraId="6448D404" w14:textId="7C128DE3" w:rsidR="008D45A1" w:rsidRPr="00E4517A" w:rsidRDefault="005F1A62" w:rsidP="000F5AD3">
            <w:pPr>
              <w:spacing w:after="0" w:line="240" w:lineRule="auto"/>
              <w:rPr>
                <w:rFonts w:ascii="Arial" w:hAnsi="Arial" w:cs="Arial"/>
              </w:rPr>
            </w:pPr>
            <w:r>
              <w:rPr>
                <w:rFonts w:ascii="Arial" w:hAnsi="Arial" w:cs="Arial"/>
              </w:rPr>
              <w:t>One comment request</w:t>
            </w:r>
            <w:r w:rsidR="00D3773F">
              <w:rPr>
                <w:rFonts w:ascii="Arial" w:hAnsi="Arial" w:cs="Arial"/>
              </w:rPr>
              <w:t>ed</w:t>
            </w:r>
            <w:r>
              <w:rPr>
                <w:rFonts w:ascii="Arial" w:hAnsi="Arial" w:cs="Arial"/>
              </w:rPr>
              <w:t xml:space="preserve"> that the </w:t>
            </w:r>
            <w:r w:rsidR="007C6BC4">
              <w:rPr>
                <w:rFonts w:ascii="Arial" w:hAnsi="Arial" w:cs="Arial"/>
              </w:rPr>
              <w:t>Prudential Authority</w:t>
            </w:r>
            <w:r>
              <w:rPr>
                <w:rFonts w:ascii="Arial" w:hAnsi="Arial" w:cs="Arial"/>
              </w:rPr>
              <w:t xml:space="preserve"> consider publishing the format of the requirements for public comments prior to finalisation.</w:t>
            </w:r>
          </w:p>
        </w:tc>
        <w:tc>
          <w:tcPr>
            <w:tcW w:w="5504" w:type="dxa"/>
            <w:shd w:val="clear" w:color="auto" w:fill="D0CECE" w:themeFill="background2" w:themeFillShade="E6"/>
          </w:tcPr>
          <w:p w14:paraId="08831DC8" w14:textId="1DE80E67" w:rsidR="00441F67" w:rsidRDefault="00441F67" w:rsidP="00441F67">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7C6BC4">
              <w:rPr>
                <w:rFonts w:ascii="Arial" w:eastAsia="Times New Roman" w:hAnsi="Arial" w:cs="Arial"/>
                <w:lang w:val="en-GB"/>
              </w:rPr>
              <w:t>Authorities’</w:t>
            </w:r>
            <w:r w:rsidR="00C50834">
              <w:rPr>
                <w:rFonts w:ascii="Arial" w:eastAsia="Times New Roman" w:hAnsi="Arial" w:cs="Arial"/>
                <w:lang w:val="en-GB"/>
              </w:rPr>
              <w:t xml:space="preserve"> </w:t>
            </w:r>
            <w:r>
              <w:rPr>
                <w:rFonts w:ascii="Arial" w:eastAsia="Times New Roman" w:hAnsi="Arial" w:cs="Arial"/>
                <w:lang w:val="en-GB"/>
              </w:rPr>
              <w:t>will consider the respondent</w:t>
            </w:r>
            <w:r w:rsidR="00D3773F">
              <w:rPr>
                <w:rFonts w:ascii="Arial" w:eastAsia="Times New Roman" w:hAnsi="Arial" w:cs="Arial"/>
                <w:lang w:val="en-GB"/>
              </w:rPr>
              <w:t>’</w:t>
            </w:r>
            <w:r>
              <w:rPr>
                <w:rFonts w:ascii="Arial" w:eastAsia="Times New Roman" w:hAnsi="Arial" w:cs="Arial"/>
                <w:lang w:val="en-GB"/>
              </w:rPr>
              <w:t>s request to have a consultation process on the prescribed reporting requirements</w:t>
            </w:r>
            <w:r w:rsidR="004D156A">
              <w:rPr>
                <w:rFonts w:ascii="Arial" w:eastAsia="Times New Roman" w:hAnsi="Arial" w:cs="Arial"/>
                <w:lang w:val="en-GB"/>
              </w:rPr>
              <w:t>, taking other internal factors into consideration,</w:t>
            </w:r>
            <w:r>
              <w:rPr>
                <w:rFonts w:ascii="Arial" w:eastAsia="Times New Roman" w:hAnsi="Arial" w:cs="Arial"/>
                <w:lang w:val="en-GB"/>
              </w:rPr>
              <w:t xml:space="preserve"> before finalisation.</w:t>
            </w:r>
          </w:p>
          <w:p w14:paraId="58FA8DD8" w14:textId="74056AF0" w:rsidR="003F4B12" w:rsidRPr="00E4517A" w:rsidRDefault="003F4B12" w:rsidP="00441F67">
            <w:pPr>
              <w:spacing w:after="0" w:line="240" w:lineRule="auto"/>
              <w:rPr>
                <w:rFonts w:ascii="Arial" w:hAnsi="Arial" w:cs="Arial"/>
              </w:rPr>
            </w:pPr>
          </w:p>
        </w:tc>
      </w:tr>
    </w:tbl>
    <w:p w14:paraId="2F343654" w14:textId="26BF6B21" w:rsidR="00304C48" w:rsidRDefault="00304C48" w:rsidP="00304C48">
      <w:pPr>
        <w:spacing w:after="0" w:line="240" w:lineRule="auto"/>
      </w:pPr>
    </w:p>
    <w:p w14:paraId="7EC5EA9B" w14:textId="77777777" w:rsidR="00E363C5" w:rsidRDefault="00E363C5" w:rsidP="00304C48">
      <w:pPr>
        <w:spacing w:after="0" w:line="240" w:lineRule="auto"/>
        <w:rPr>
          <w:rFonts w:ascii="Arial" w:hAnsi="Arial" w:cs="Arial"/>
          <w:sz w:val="24"/>
          <w:szCs w:val="24"/>
          <w:highlight w:val="cyan"/>
        </w:rPr>
      </w:pPr>
    </w:p>
    <w:p w14:paraId="13EFAC11" w14:textId="66B105AE" w:rsidR="00C65B4D" w:rsidRDefault="00C65B4D" w:rsidP="00C65B4D">
      <w:pPr>
        <w:spacing w:after="0" w:line="240" w:lineRule="auto"/>
        <w:rPr>
          <w:rFonts w:ascii="Arial" w:hAnsi="Arial" w:cs="Arial"/>
          <w:b/>
          <w:bCs/>
          <w:sz w:val="24"/>
          <w:szCs w:val="24"/>
        </w:rPr>
      </w:pPr>
      <w:r w:rsidRPr="00532AB8">
        <w:rPr>
          <w:rFonts w:ascii="Arial" w:hAnsi="Arial" w:cs="Arial"/>
          <w:b/>
          <w:bCs/>
          <w:sz w:val="24"/>
          <w:szCs w:val="24"/>
        </w:rPr>
        <w:t xml:space="preserve">Table </w:t>
      </w:r>
      <w:r w:rsidR="00754BA0" w:rsidRPr="00532AB8">
        <w:rPr>
          <w:rFonts w:ascii="Arial" w:hAnsi="Arial" w:cs="Arial"/>
          <w:b/>
          <w:bCs/>
          <w:sz w:val="24"/>
          <w:szCs w:val="24"/>
        </w:rPr>
        <w:t>2</w:t>
      </w:r>
      <w:r w:rsidRPr="00532AB8">
        <w:rPr>
          <w:rFonts w:ascii="Arial" w:hAnsi="Arial" w:cs="Arial"/>
          <w:b/>
          <w:bCs/>
          <w:sz w:val="24"/>
          <w:szCs w:val="24"/>
        </w:rPr>
        <w:t xml:space="preserve">: General account of amendments to the Standard </w:t>
      </w:r>
      <w:r w:rsidR="009F242E" w:rsidRPr="00532AB8">
        <w:rPr>
          <w:rFonts w:ascii="Arial" w:hAnsi="Arial" w:cs="Arial"/>
          <w:b/>
          <w:bCs/>
          <w:sz w:val="24"/>
          <w:szCs w:val="24"/>
        </w:rPr>
        <w:t xml:space="preserve">initiated by the </w:t>
      </w:r>
      <w:r w:rsidR="00DA560E" w:rsidRPr="00532AB8">
        <w:rPr>
          <w:rFonts w:ascii="Arial" w:hAnsi="Arial" w:cs="Arial"/>
          <w:b/>
          <w:bCs/>
          <w:sz w:val="24"/>
          <w:szCs w:val="24"/>
        </w:rPr>
        <w:t>Authorities</w:t>
      </w:r>
      <w:r w:rsidR="009F242E" w:rsidRPr="00532AB8">
        <w:rPr>
          <w:rFonts w:ascii="Arial" w:hAnsi="Arial" w:cs="Arial"/>
          <w:b/>
          <w:bCs/>
          <w:sz w:val="24"/>
          <w:szCs w:val="24"/>
        </w:rPr>
        <w:t xml:space="preserve"> </w:t>
      </w:r>
    </w:p>
    <w:p w14:paraId="3033C2EC" w14:textId="77777777" w:rsidR="00C77D17" w:rsidRPr="00532AB8" w:rsidRDefault="00C77D17" w:rsidP="00C65B4D">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2980"/>
        <w:gridCol w:w="5464"/>
        <w:gridCol w:w="5504"/>
      </w:tblGrid>
      <w:tr w:rsidR="00C65B4D" w:rsidRPr="007A77E1" w14:paraId="37D1FBB7" w14:textId="77777777" w:rsidTr="00A5578C">
        <w:tc>
          <w:tcPr>
            <w:tcW w:w="2980" w:type="dxa"/>
          </w:tcPr>
          <w:p w14:paraId="0F547E85" w14:textId="77777777" w:rsidR="00C65B4D" w:rsidRPr="00025528" w:rsidRDefault="00C65B4D" w:rsidP="00A5578C">
            <w:pPr>
              <w:spacing w:after="0" w:line="240" w:lineRule="auto"/>
              <w:rPr>
                <w:rFonts w:ascii="Arial" w:hAnsi="Arial" w:cs="Arial"/>
                <w:b/>
                <w:bCs/>
              </w:rPr>
            </w:pPr>
            <w:r w:rsidRPr="00025528">
              <w:rPr>
                <w:rFonts w:ascii="Arial" w:hAnsi="Arial" w:cs="Arial"/>
                <w:b/>
                <w:bCs/>
              </w:rPr>
              <w:t>Area</w:t>
            </w:r>
          </w:p>
        </w:tc>
        <w:tc>
          <w:tcPr>
            <w:tcW w:w="5464" w:type="dxa"/>
          </w:tcPr>
          <w:p w14:paraId="3786682B" w14:textId="20DAD5BB" w:rsidR="00C65B4D" w:rsidRPr="00025528" w:rsidRDefault="008A230C" w:rsidP="00A5578C">
            <w:pPr>
              <w:spacing w:after="0" w:line="240" w:lineRule="auto"/>
              <w:rPr>
                <w:rFonts w:ascii="Arial" w:hAnsi="Arial" w:cs="Arial"/>
                <w:b/>
                <w:bCs/>
              </w:rPr>
            </w:pPr>
            <w:r>
              <w:rPr>
                <w:rFonts w:ascii="Arial" w:hAnsi="Arial" w:cs="Arial"/>
                <w:b/>
                <w:bCs/>
              </w:rPr>
              <w:t>amendment</w:t>
            </w:r>
          </w:p>
        </w:tc>
        <w:tc>
          <w:tcPr>
            <w:tcW w:w="5504" w:type="dxa"/>
          </w:tcPr>
          <w:p w14:paraId="3A5707C6" w14:textId="00651DF6" w:rsidR="00C65B4D" w:rsidRPr="00025528" w:rsidRDefault="00683EF7" w:rsidP="00A5578C">
            <w:pPr>
              <w:spacing w:after="0" w:line="240" w:lineRule="auto"/>
              <w:rPr>
                <w:rFonts w:ascii="Arial" w:hAnsi="Arial" w:cs="Arial"/>
                <w:b/>
                <w:bCs/>
              </w:rPr>
            </w:pPr>
            <w:r>
              <w:rPr>
                <w:rFonts w:ascii="Arial" w:hAnsi="Arial" w:cs="Arial"/>
                <w:b/>
                <w:bCs/>
              </w:rPr>
              <w:t xml:space="preserve">Reason </w:t>
            </w:r>
            <w:r w:rsidR="00C65B4D" w:rsidRPr="00025528">
              <w:rPr>
                <w:rFonts w:ascii="Arial" w:hAnsi="Arial" w:cs="Arial"/>
                <w:b/>
                <w:bCs/>
              </w:rPr>
              <w:t xml:space="preserve"> </w:t>
            </w:r>
          </w:p>
        </w:tc>
      </w:tr>
      <w:tr w:rsidR="00651548" w14:paraId="6426DBD7" w14:textId="77777777" w:rsidTr="00F17DBC">
        <w:trPr>
          <w:trHeight w:val="928"/>
        </w:trPr>
        <w:tc>
          <w:tcPr>
            <w:tcW w:w="2980" w:type="dxa"/>
            <w:vMerge w:val="restart"/>
          </w:tcPr>
          <w:p w14:paraId="02F139BD" w14:textId="77777777" w:rsidR="00651548" w:rsidRPr="00AC1658" w:rsidRDefault="00651548" w:rsidP="00A5578C">
            <w:pPr>
              <w:spacing w:after="0" w:line="240" w:lineRule="auto"/>
              <w:rPr>
                <w:rFonts w:ascii="Arial" w:hAnsi="Arial" w:cs="Arial"/>
              </w:rPr>
            </w:pPr>
            <w:r>
              <w:rPr>
                <w:rFonts w:ascii="Arial" w:hAnsi="Arial" w:cs="Arial"/>
              </w:rPr>
              <w:t>Definitions and Interpretation</w:t>
            </w:r>
          </w:p>
          <w:p w14:paraId="0DB26B95" w14:textId="52A924A0" w:rsidR="00651548" w:rsidRPr="00AC1658" w:rsidRDefault="00651548" w:rsidP="00A5578C">
            <w:pPr>
              <w:spacing w:after="0" w:line="240" w:lineRule="auto"/>
              <w:rPr>
                <w:rFonts w:ascii="Arial" w:hAnsi="Arial" w:cs="Arial"/>
              </w:rPr>
            </w:pPr>
          </w:p>
        </w:tc>
        <w:tc>
          <w:tcPr>
            <w:tcW w:w="5464" w:type="dxa"/>
            <w:shd w:val="clear" w:color="auto" w:fill="D0CECE" w:themeFill="background2" w:themeFillShade="E6"/>
          </w:tcPr>
          <w:p w14:paraId="10D5ED47" w14:textId="7BD05F14" w:rsidR="00651548" w:rsidRPr="00D87C13" w:rsidRDefault="00651548" w:rsidP="00A5578C">
            <w:pPr>
              <w:spacing w:after="0" w:line="240" w:lineRule="auto"/>
              <w:rPr>
                <w:rFonts w:ascii="Arial" w:hAnsi="Arial" w:cs="Arial"/>
              </w:rPr>
            </w:pPr>
            <w:r w:rsidRPr="00E65190">
              <w:rPr>
                <w:rFonts w:ascii="Arial" w:hAnsi="Arial" w:cs="Arial"/>
              </w:rPr>
              <w:t>Addition</w:t>
            </w:r>
            <w:r w:rsidRPr="00D87C13">
              <w:rPr>
                <w:rFonts w:ascii="Arial" w:hAnsi="Arial" w:cs="Arial"/>
              </w:rPr>
              <w:t xml:space="preserve"> of Master Agreement definition</w:t>
            </w:r>
          </w:p>
        </w:tc>
        <w:tc>
          <w:tcPr>
            <w:tcW w:w="5504" w:type="dxa"/>
            <w:shd w:val="clear" w:color="auto" w:fill="D0CECE" w:themeFill="background2" w:themeFillShade="E6"/>
          </w:tcPr>
          <w:p w14:paraId="79FC6E78" w14:textId="3139C4AE" w:rsidR="00651548" w:rsidRPr="00E4517A" w:rsidRDefault="00F17DBC" w:rsidP="00A5578C">
            <w:pPr>
              <w:spacing w:after="0" w:line="240" w:lineRule="auto"/>
              <w:rPr>
                <w:rFonts w:ascii="Arial" w:hAnsi="Arial" w:cs="Arial"/>
              </w:rPr>
            </w:pPr>
            <w:r>
              <w:rPr>
                <w:rFonts w:ascii="Arial" w:hAnsi="Arial" w:cs="Arial"/>
              </w:rPr>
              <w:t>To ensure the definition of Master Agreements is consistent (and can be interpreted the same) across all resolution Standards.</w:t>
            </w:r>
          </w:p>
        </w:tc>
      </w:tr>
      <w:tr w:rsidR="00651548" w14:paraId="3F6AEB89" w14:textId="77777777" w:rsidTr="00E65190">
        <w:trPr>
          <w:trHeight w:val="860"/>
        </w:trPr>
        <w:tc>
          <w:tcPr>
            <w:tcW w:w="2980" w:type="dxa"/>
            <w:vMerge/>
          </w:tcPr>
          <w:p w14:paraId="41CCB6D3" w14:textId="45A04D3B" w:rsidR="00651548" w:rsidRPr="00AC1658" w:rsidRDefault="00651548" w:rsidP="00A5578C">
            <w:pPr>
              <w:spacing w:after="0" w:line="240" w:lineRule="auto"/>
              <w:rPr>
                <w:rFonts w:ascii="Arial" w:hAnsi="Arial" w:cs="Arial"/>
              </w:rPr>
            </w:pPr>
          </w:p>
        </w:tc>
        <w:tc>
          <w:tcPr>
            <w:tcW w:w="5464" w:type="dxa"/>
            <w:shd w:val="clear" w:color="auto" w:fill="D0CECE" w:themeFill="background2" w:themeFillShade="E6"/>
          </w:tcPr>
          <w:p w14:paraId="658E8FD2" w14:textId="0ABCA73E" w:rsidR="00651548" w:rsidRPr="00D87C13" w:rsidRDefault="00651548" w:rsidP="00A5578C">
            <w:pPr>
              <w:spacing w:after="0" w:line="240" w:lineRule="auto"/>
              <w:rPr>
                <w:rFonts w:ascii="Arial" w:hAnsi="Arial" w:cs="Arial"/>
              </w:rPr>
            </w:pPr>
            <w:r w:rsidRPr="00E65190">
              <w:rPr>
                <w:rFonts w:ascii="Arial" w:hAnsi="Arial" w:cs="Arial"/>
              </w:rPr>
              <w:t>Replacing</w:t>
            </w:r>
            <w:r w:rsidRPr="00D87C13">
              <w:rPr>
                <w:rFonts w:ascii="Arial" w:hAnsi="Arial" w:cs="Arial"/>
              </w:rPr>
              <w:t xml:space="preserve"> the abbreviation ‘SARB’ with ‘the Reserve Bank’</w:t>
            </w:r>
          </w:p>
        </w:tc>
        <w:tc>
          <w:tcPr>
            <w:tcW w:w="5504" w:type="dxa"/>
            <w:shd w:val="clear" w:color="auto" w:fill="D0CECE" w:themeFill="background2" w:themeFillShade="E6"/>
          </w:tcPr>
          <w:p w14:paraId="29305CF5" w14:textId="176C2DB0" w:rsidR="00651548" w:rsidRPr="00E4517A" w:rsidRDefault="00F17DBC" w:rsidP="00A5578C">
            <w:pPr>
              <w:spacing w:after="0" w:line="240" w:lineRule="auto"/>
              <w:rPr>
                <w:rFonts w:ascii="Arial" w:hAnsi="Arial" w:cs="Arial"/>
              </w:rPr>
            </w:pPr>
            <w:r>
              <w:rPr>
                <w:rFonts w:ascii="Arial" w:hAnsi="Arial" w:cs="Arial"/>
              </w:rPr>
              <w:t xml:space="preserve">To align </w:t>
            </w:r>
            <w:r w:rsidR="00D87C13">
              <w:rPr>
                <w:rFonts w:ascii="Arial" w:hAnsi="Arial" w:cs="Arial"/>
              </w:rPr>
              <w:t xml:space="preserve">the Standard </w:t>
            </w:r>
            <w:r>
              <w:rPr>
                <w:rFonts w:ascii="Arial" w:hAnsi="Arial" w:cs="Arial"/>
              </w:rPr>
              <w:t xml:space="preserve">with the </w:t>
            </w:r>
            <w:r w:rsidR="00651548" w:rsidRPr="00E4517A">
              <w:rPr>
                <w:rFonts w:ascii="Arial" w:hAnsi="Arial" w:cs="Arial"/>
              </w:rPr>
              <w:t xml:space="preserve">language </w:t>
            </w:r>
            <w:r>
              <w:rPr>
                <w:rFonts w:ascii="Arial" w:hAnsi="Arial" w:cs="Arial"/>
              </w:rPr>
              <w:t xml:space="preserve">used in </w:t>
            </w:r>
            <w:r w:rsidR="00651548" w:rsidRPr="00E4517A">
              <w:rPr>
                <w:rFonts w:ascii="Arial" w:hAnsi="Arial" w:cs="Arial"/>
              </w:rPr>
              <w:t>Chapter 12A of the</w:t>
            </w:r>
            <w:r>
              <w:rPr>
                <w:rFonts w:ascii="Arial" w:hAnsi="Arial" w:cs="Arial"/>
              </w:rPr>
              <w:t xml:space="preserve"> </w:t>
            </w:r>
            <w:r w:rsidR="00D87C13">
              <w:rPr>
                <w:rFonts w:ascii="Arial" w:hAnsi="Arial" w:cs="Arial"/>
              </w:rPr>
              <w:t>Act</w:t>
            </w:r>
            <w:r w:rsidR="000E3567">
              <w:rPr>
                <w:rFonts w:ascii="Arial" w:hAnsi="Arial" w:cs="Arial"/>
              </w:rPr>
              <w:t>.</w:t>
            </w:r>
          </w:p>
        </w:tc>
      </w:tr>
      <w:tr w:rsidR="00C65B4D" w14:paraId="2F8F8457" w14:textId="77777777" w:rsidTr="00E65190">
        <w:trPr>
          <w:trHeight w:val="2076"/>
        </w:trPr>
        <w:tc>
          <w:tcPr>
            <w:tcW w:w="2980" w:type="dxa"/>
          </w:tcPr>
          <w:p w14:paraId="03A32976" w14:textId="3B278F64" w:rsidR="00C65B4D" w:rsidRPr="00AC1658" w:rsidRDefault="005E7EF6" w:rsidP="00A5578C">
            <w:pPr>
              <w:spacing w:after="0" w:line="240" w:lineRule="auto"/>
              <w:rPr>
                <w:rFonts w:ascii="Arial" w:hAnsi="Arial" w:cs="Arial"/>
              </w:rPr>
            </w:pPr>
            <w:r>
              <w:rPr>
                <w:rFonts w:ascii="Arial" w:hAnsi="Arial" w:cs="Arial"/>
              </w:rPr>
              <w:t xml:space="preserve">Statutory Transfer powers and Planning and execution of a resolution transfer </w:t>
            </w:r>
            <w:r w:rsidR="000A16FE">
              <w:rPr>
                <w:rFonts w:ascii="Arial" w:hAnsi="Arial" w:cs="Arial"/>
              </w:rPr>
              <w:t>tool</w:t>
            </w:r>
          </w:p>
        </w:tc>
        <w:tc>
          <w:tcPr>
            <w:tcW w:w="5464" w:type="dxa"/>
            <w:shd w:val="clear" w:color="auto" w:fill="D0CECE" w:themeFill="background2" w:themeFillShade="E6"/>
          </w:tcPr>
          <w:p w14:paraId="01B451EF" w14:textId="701D902F" w:rsidR="00533D9C" w:rsidRPr="00D87C13" w:rsidRDefault="005E7EF6" w:rsidP="00A5578C">
            <w:pPr>
              <w:spacing w:after="0" w:line="240" w:lineRule="auto"/>
              <w:rPr>
                <w:rFonts w:ascii="Arial" w:hAnsi="Arial" w:cs="Arial"/>
              </w:rPr>
            </w:pPr>
            <w:r w:rsidRPr="00D87C13">
              <w:rPr>
                <w:rFonts w:ascii="Arial" w:hAnsi="Arial" w:cs="Arial"/>
              </w:rPr>
              <w:t xml:space="preserve">The </w:t>
            </w:r>
            <w:r w:rsidR="00DA560E" w:rsidRPr="00D87C13">
              <w:rPr>
                <w:rFonts w:ascii="Arial" w:hAnsi="Arial" w:cs="Arial"/>
              </w:rPr>
              <w:t>Authorities</w:t>
            </w:r>
            <w:r w:rsidRPr="00D87C13">
              <w:rPr>
                <w:rFonts w:ascii="Arial" w:hAnsi="Arial" w:cs="Arial"/>
              </w:rPr>
              <w:t xml:space="preserve"> </w:t>
            </w:r>
            <w:r w:rsidRPr="00E65190">
              <w:rPr>
                <w:rFonts w:ascii="Arial" w:hAnsi="Arial" w:cs="Arial"/>
              </w:rPr>
              <w:t>merged</w:t>
            </w:r>
            <w:r w:rsidRPr="00D87C13">
              <w:rPr>
                <w:rFonts w:ascii="Arial" w:hAnsi="Arial" w:cs="Arial"/>
              </w:rPr>
              <w:t xml:space="preserve"> the</w:t>
            </w:r>
            <w:r w:rsidR="00E9613D" w:rsidRPr="00D87C13">
              <w:rPr>
                <w:rFonts w:ascii="Arial" w:hAnsi="Arial" w:cs="Arial"/>
              </w:rPr>
              <w:t xml:space="preserve"> following</w:t>
            </w:r>
            <w:r w:rsidRPr="00D87C13">
              <w:rPr>
                <w:rFonts w:ascii="Arial" w:hAnsi="Arial" w:cs="Arial"/>
              </w:rPr>
              <w:t xml:space="preserve"> two sections</w:t>
            </w:r>
            <w:r w:rsidR="00533D9C" w:rsidRPr="00D87C13">
              <w:rPr>
                <w:rFonts w:ascii="Arial" w:hAnsi="Arial" w:cs="Arial"/>
              </w:rPr>
              <w:t>:</w:t>
            </w:r>
          </w:p>
          <w:p w14:paraId="16857392" w14:textId="77777777" w:rsidR="00533D9C" w:rsidRPr="00D87C13" w:rsidRDefault="00533D9C" w:rsidP="00A5578C">
            <w:pPr>
              <w:spacing w:after="0" w:line="240" w:lineRule="auto"/>
              <w:rPr>
                <w:rFonts w:ascii="Arial" w:hAnsi="Arial" w:cs="Arial"/>
              </w:rPr>
            </w:pPr>
          </w:p>
          <w:p w14:paraId="1AC9A374" w14:textId="01B8BEB2" w:rsidR="00533D9C" w:rsidRPr="00D87C13" w:rsidRDefault="00533D9C" w:rsidP="00981DDA">
            <w:pPr>
              <w:pStyle w:val="ListParagraph"/>
              <w:numPr>
                <w:ilvl w:val="0"/>
                <w:numId w:val="24"/>
              </w:numPr>
              <w:ind w:left="452"/>
              <w:jc w:val="both"/>
              <w:rPr>
                <w:rFonts w:ascii="Arial" w:hAnsi="Arial" w:cs="Arial"/>
              </w:rPr>
            </w:pPr>
            <w:r w:rsidRPr="00D87C13">
              <w:rPr>
                <w:rFonts w:ascii="Arial" w:hAnsi="Arial" w:cs="Arial"/>
              </w:rPr>
              <w:t xml:space="preserve">Statutory transfer powers (the old section </w:t>
            </w:r>
            <w:r w:rsidR="000A16FE" w:rsidRPr="00D87C13">
              <w:rPr>
                <w:rFonts w:ascii="Arial" w:hAnsi="Arial" w:cs="Arial"/>
              </w:rPr>
              <w:t>6</w:t>
            </w:r>
            <w:r w:rsidRPr="00D87C13">
              <w:rPr>
                <w:rFonts w:ascii="Arial" w:hAnsi="Arial" w:cs="Arial"/>
              </w:rPr>
              <w:t>); and</w:t>
            </w:r>
          </w:p>
          <w:p w14:paraId="6E3C2EA6" w14:textId="2C2173FC" w:rsidR="00833192" w:rsidRPr="00D87C13" w:rsidRDefault="00533D9C" w:rsidP="00981DDA">
            <w:pPr>
              <w:pStyle w:val="ListParagraph"/>
              <w:numPr>
                <w:ilvl w:val="0"/>
                <w:numId w:val="24"/>
              </w:numPr>
              <w:ind w:left="452"/>
              <w:jc w:val="both"/>
              <w:rPr>
                <w:rFonts w:ascii="Arial" w:hAnsi="Arial" w:cs="Arial"/>
              </w:rPr>
            </w:pPr>
            <w:r w:rsidRPr="00D87C13">
              <w:rPr>
                <w:rFonts w:ascii="Arial" w:hAnsi="Arial" w:cs="Arial"/>
              </w:rPr>
              <w:t xml:space="preserve">Planning and execution of a resolution </w:t>
            </w:r>
            <w:r w:rsidR="000A16FE" w:rsidRPr="00D87C13">
              <w:rPr>
                <w:rFonts w:ascii="Arial" w:hAnsi="Arial" w:cs="Arial"/>
              </w:rPr>
              <w:t>transfer</w:t>
            </w:r>
            <w:r w:rsidRPr="00D87C13">
              <w:rPr>
                <w:rFonts w:ascii="Arial" w:hAnsi="Arial" w:cs="Arial"/>
              </w:rPr>
              <w:t xml:space="preserve"> tool (the old section </w:t>
            </w:r>
            <w:r w:rsidR="000A16FE" w:rsidRPr="00D87C13">
              <w:rPr>
                <w:rFonts w:ascii="Arial" w:hAnsi="Arial" w:cs="Arial"/>
              </w:rPr>
              <w:t>7</w:t>
            </w:r>
            <w:r w:rsidRPr="00D87C13">
              <w:rPr>
                <w:rFonts w:ascii="Arial" w:hAnsi="Arial" w:cs="Arial"/>
              </w:rPr>
              <w:t xml:space="preserve">). </w:t>
            </w:r>
          </w:p>
          <w:p w14:paraId="405BC6F6" w14:textId="77777777" w:rsidR="00833192" w:rsidRPr="00D87C13" w:rsidRDefault="00833192" w:rsidP="00833192">
            <w:pPr>
              <w:ind w:left="99"/>
              <w:rPr>
                <w:rFonts w:ascii="Arial" w:hAnsi="Arial" w:cs="Arial"/>
              </w:rPr>
            </w:pPr>
          </w:p>
          <w:p w14:paraId="257A3F8D" w14:textId="078D00E6" w:rsidR="00C65B4D" w:rsidRPr="00D87C13" w:rsidRDefault="00533D9C" w:rsidP="00833192">
            <w:pPr>
              <w:ind w:left="99"/>
              <w:rPr>
                <w:rFonts w:ascii="Arial" w:hAnsi="Arial" w:cs="Arial"/>
                <w:highlight w:val="yellow"/>
              </w:rPr>
            </w:pPr>
            <w:r w:rsidRPr="00D87C13">
              <w:rPr>
                <w:rFonts w:ascii="Arial" w:hAnsi="Arial" w:cs="Arial"/>
              </w:rPr>
              <w:t>These two sections are now</w:t>
            </w:r>
            <w:r w:rsidR="000A16FE" w:rsidRPr="00D87C13">
              <w:rPr>
                <w:rFonts w:ascii="Arial" w:hAnsi="Arial" w:cs="Arial"/>
              </w:rPr>
              <w:t xml:space="preserve"> </w:t>
            </w:r>
            <w:r w:rsidR="00833192" w:rsidRPr="00D87C13">
              <w:rPr>
                <w:rFonts w:ascii="Arial" w:hAnsi="Arial" w:cs="Arial"/>
              </w:rPr>
              <w:t xml:space="preserve">the </w:t>
            </w:r>
            <w:r w:rsidR="004D25E5" w:rsidRPr="00D87C13">
              <w:rPr>
                <w:rFonts w:ascii="Arial" w:hAnsi="Arial" w:cs="Arial"/>
              </w:rPr>
              <w:t>new section</w:t>
            </w:r>
            <w:r w:rsidRPr="00D87C13">
              <w:rPr>
                <w:rFonts w:ascii="Arial" w:hAnsi="Arial" w:cs="Arial"/>
              </w:rPr>
              <w:t xml:space="preserve"> 6.</w:t>
            </w:r>
          </w:p>
        </w:tc>
        <w:tc>
          <w:tcPr>
            <w:tcW w:w="5504" w:type="dxa"/>
            <w:shd w:val="clear" w:color="auto" w:fill="D0CECE" w:themeFill="background2" w:themeFillShade="E6"/>
          </w:tcPr>
          <w:p w14:paraId="5DE4DA17" w14:textId="39313DE8" w:rsidR="00C65B4D" w:rsidRPr="00E3429A" w:rsidRDefault="00B779EE" w:rsidP="00A5578C">
            <w:pPr>
              <w:spacing w:after="0" w:line="240" w:lineRule="auto"/>
              <w:rPr>
                <w:rFonts w:ascii="Arial" w:hAnsi="Arial" w:cs="Arial"/>
                <w:highlight w:val="yellow"/>
              </w:rPr>
            </w:pPr>
            <w:r w:rsidRPr="000A16FE">
              <w:rPr>
                <w:rFonts w:ascii="Arial" w:hAnsi="Arial" w:cs="Arial"/>
              </w:rPr>
              <w:t>To simplify the flow of the Standard, post</w:t>
            </w:r>
            <w:r w:rsidR="002742F0">
              <w:rPr>
                <w:rFonts w:ascii="Arial" w:hAnsi="Arial" w:cs="Arial"/>
              </w:rPr>
              <w:t xml:space="preserve"> further review.</w:t>
            </w:r>
            <w:r w:rsidRPr="000A16FE">
              <w:rPr>
                <w:rFonts w:ascii="Arial" w:hAnsi="Arial" w:cs="Arial"/>
              </w:rPr>
              <w:t xml:space="preserve"> </w:t>
            </w:r>
          </w:p>
        </w:tc>
      </w:tr>
      <w:tr w:rsidR="00C65B4D" w14:paraId="5F056FC6" w14:textId="77777777" w:rsidTr="00576504">
        <w:tc>
          <w:tcPr>
            <w:tcW w:w="2980" w:type="dxa"/>
          </w:tcPr>
          <w:p w14:paraId="2FD4CB3C" w14:textId="296A7998" w:rsidR="00C65B4D" w:rsidRPr="00AC1658" w:rsidRDefault="000A16FE" w:rsidP="00A5578C">
            <w:pPr>
              <w:spacing w:after="0" w:line="240" w:lineRule="auto"/>
              <w:rPr>
                <w:rFonts w:ascii="Arial" w:hAnsi="Arial" w:cs="Arial"/>
              </w:rPr>
            </w:pPr>
            <w:r>
              <w:rPr>
                <w:rFonts w:ascii="Arial" w:hAnsi="Arial" w:cs="Arial"/>
              </w:rPr>
              <w:t xml:space="preserve">Protected arrangements </w:t>
            </w:r>
          </w:p>
        </w:tc>
        <w:tc>
          <w:tcPr>
            <w:tcW w:w="5464" w:type="dxa"/>
            <w:shd w:val="clear" w:color="auto" w:fill="D0CECE" w:themeFill="background2" w:themeFillShade="E6"/>
          </w:tcPr>
          <w:p w14:paraId="1185772B" w14:textId="5442DA19" w:rsidR="00C65B4D" w:rsidRPr="00576504" w:rsidRDefault="00576504" w:rsidP="00A5578C">
            <w:pPr>
              <w:spacing w:after="0" w:line="240" w:lineRule="auto"/>
              <w:jc w:val="both"/>
              <w:rPr>
                <w:rFonts w:ascii="Arial" w:hAnsi="Arial" w:cs="Arial"/>
              </w:rPr>
            </w:pPr>
            <w:r w:rsidRPr="00576504">
              <w:rPr>
                <w:rFonts w:ascii="Arial" w:hAnsi="Arial" w:cs="Arial"/>
              </w:rPr>
              <w:t xml:space="preserve">Protected arrangements </w:t>
            </w:r>
            <w:r w:rsidR="00232669" w:rsidRPr="00576504">
              <w:rPr>
                <w:rFonts w:ascii="Arial" w:hAnsi="Arial" w:cs="Arial"/>
              </w:rPr>
              <w:t xml:space="preserve">section </w:t>
            </w:r>
            <w:r w:rsidR="00232669">
              <w:rPr>
                <w:rFonts w:ascii="Arial" w:hAnsi="Arial" w:cs="Arial"/>
              </w:rPr>
              <w:t>(</w:t>
            </w:r>
            <w:r w:rsidR="00F44393">
              <w:rPr>
                <w:rFonts w:ascii="Arial" w:hAnsi="Arial" w:cs="Arial"/>
              </w:rPr>
              <w:t xml:space="preserve">the old section 9) </w:t>
            </w:r>
            <w:r w:rsidRPr="00576504">
              <w:rPr>
                <w:rFonts w:ascii="Arial" w:hAnsi="Arial" w:cs="Arial"/>
              </w:rPr>
              <w:t xml:space="preserve">has </w:t>
            </w:r>
            <w:r w:rsidRPr="00F44393">
              <w:rPr>
                <w:rFonts w:ascii="Arial" w:hAnsi="Arial" w:cs="Arial"/>
              </w:rPr>
              <w:t>now been</w:t>
            </w:r>
            <w:r w:rsidRPr="00576504">
              <w:rPr>
                <w:rFonts w:ascii="Arial" w:hAnsi="Arial" w:cs="Arial"/>
                <w:b/>
                <w:bCs/>
              </w:rPr>
              <w:t xml:space="preserve"> </w:t>
            </w:r>
            <w:r w:rsidRPr="00D33E2A">
              <w:rPr>
                <w:rFonts w:ascii="Arial" w:hAnsi="Arial" w:cs="Arial"/>
              </w:rPr>
              <w:t>moved up</w:t>
            </w:r>
            <w:r w:rsidRPr="00D87C13">
              <w:rPr>
                <w:rFonts w:ascii="Arial" w:hAnsi="Arial" w:cs="Arial"/>
              </w:rPr>
              <w:t xml:space="preserve"> to section</w:t>
            </w:r>
            <w:r w:rsidRPr="00576504">
              <w:rPr>
                <w:rFonts w:ascii="Arial" w:hAnsi="Arial" w:cs="Arial"/>
              </w:rPr>
              <w:t xml:space="preserve"> 7.</w:t>
            </w:r>
          </w:p>
        </w:tc>
        <w:tc>
          <w:tcPr>
            <w:tcW w:w="5504" w:type="dxa"/>
            <w:shd w:val="clear" w:color="auto" w:fill="D0CECE" w:themeFill="background2" w:themeFillShade="E6"/>
          </w:tcPr>
          <w:p w14:paraId="4A23E00D" w14:textId="77777777" w:rsidR="00296519" w:rsidRDefault="00576504" w:rsidP="00A5578C">
            <w:pPr>
              <w:spacing w:after="0" w:line="240" w:lineRule="auto"/>
              <w:jc w:val="both"/>
              <w:rPr>
                <w:rFonts w:ascii="Arial" w:hAnsi="Arial" w:cs="Arial"/>
              </w:rPr>
            </w:pPr>
            <w:r w:rsidRPr="00576504">
              <w:rPr>
                <w:rFonts w:ascii="Arial" w:hAnsi="Arial" w:cs="Arial"/>
              </w:rPr>
              <w:t>This was to simplify the flow of the document and to aggregate al</w:t>
            </w:r>
            <w:r>
              <w:rPr>
                <w:rFonts w:ascii="Arial" w:hAnsi="Arial" w:cs="Arial"/>
              </w:rPr>
              <w:t>l</w:t>
            </w:r>
            <w:r w:rsidRPr="00576504">
              <w:rPr>
                <w:rFonts w:ascii="Arial" w:hAnsi="Arial" w:cs="Arial"/>
              </w:rPr>
              <w:t xml:space="preserve"> the r</w:t>
            </w:r>
            <w:r>
              <w:rPr>
                <w:rFonts w:ascii="Arial" w:hAnsi="Arial" w:cs="Arial"/>
              </w:rPr>
              <w:t>equirements</w:t>
            </w:r>
            <w:r w:rsidRPr="00576504">
              <w:rPr>
                <w:rFonts w:ascii="Arial" w:hAnsi="Arial" w:cs="Arial"/>
              </w:rPr>
              <w:t xml:space="preserve"> sequentially.</w:t>
            </w:r>
          </w:p>
          <w:p w14:paraId="75C8314C" w14:textId="77777777" w:rsidR="00296519" w:rsidRDefault="00296519" w:rsidP="00A5578C">
            <w:pPr>
              <w:spacing w:after="0" w:line="240" w:lineRule="auto"/>
              <w:jc w:val="both"/>
              <w:rPr>
                <w:rFonts w:ascii="Arial" w:hAnsi="Arial" w:cs="Arial"/>
              </w:rPr>
            </w:pPr>
          </w:p>
          <w:p w14:paraId="7E8A7698" w14:textId="20B90A5C" w:rsidR="009047B5" w:rsidRDefault="00576504" w:rsidP="00BC3FFC">
            <w:pPr>
              <w:spacing w:after="0" w:line="240" w:lineRule="auto"/>
              <w:rPr>
                <w:rFonts w:ascii="Arial" w:hAnsi="Arial" w:cs="Arial"/>
              </w:rPr>
            </w:pPr>
            <w:r w:rsidRPr="00576504">
              <w:rPr>
                <w:rFonts w:ascii="Arial" w:hAnsi="Arial" w:cs="Arial"/>
              </w:rPr>
              <w:t>This</w:t>
            </w:r>
            <w:r>
              <w:rPr>
                <w:rFonts w:ascii="Arial" w:hAnsi="Arial" w:cs="Arial"/>
              </w:rPr>
              <w:t xml:space="preserve"> change </w:t>
            </w:r>
            <w:r w:rsidR="00266830">
              <w:rPr>
                <w:rFonts w:ascii="Arial" w:hAnsi="Arial" w:cs="Arial"/>
              </w:rPr>
              <w:t>was</w:t>
            </w:r>
            <w:r>
              <w:rPr>
                <w:rFonts w:ascii="Arial" w:hAnsi="Arial" w:cs="Arial"/>
              </w:rPr>
              <w:t xml:space="preserve"> </w:t>
            </w:r>
            <w:r w:rsidR="00625FC1">
              <w:rPr>
                <w:rFonts w:ascii="Arial" w:hAnsi="Arial" w:cs="Arial"/>
              </w:rPr>
              <w:t xml:space="preserve">important to </w:t>
            </w:r>
            <w:r>
              <w:rPr>
                <w:rFonts w:ascii="Arial" w:hAnsi="Arial" w:cs="Arial"/>
              </w:rPr>
              <w:t xml:space="preserve">facilitate </w:t>
            </w:r>
            <w:r w:rsidRPr="00576504">
              <w:rPr>
                <w:rFonts w:ascii="Arial" w:hAnsi="Arial" w:cs="Arial"/>
              </w:rPr>
              <w:t>the</w:t>
            </w:r>
            <w:r w:rsidR="00266830">
              <w:rPr>
                <w:rFonts w:ascii="Arial" w:hAnsi="Arial" w:cs="Arial"/>
              </w:rPr>
              <w:t xml:space="preserve"> understanding of </w:t>
            </w:r>
            <w:r w:rsidR="009047B5">
              <w:rPr>
                <w:rFonts w:ascii="Arial" w:hAnsi="Arial" w:cs="Arial"/>
              </w:rPr>
              <w:t xml:space="preserve">the </w:t>
            </w:r>
            <w:r w:rsidR="009047B5" w:rsidRPr="00576504">
              <w:rPr>
                <w:rFonts w:ascii="Arial" w:hAnsi="Arial" w:cs="Arial"/>
              </w:rPr>
              <w:t>amendment</w:t>
            </w:r>
            <w:r w:rsidR="00BC3FFC">
              <w:rPr>
                <w:rFonts w:ascii="Arial" w:hAnsi="Arial" w:cs="Arial"/>
              </w:rPr>
              <w:t>(s)</w:t>
            </w:r>
            <w:r w:rsidRPr="00576504">
              <w:rPr>
                <w:rFonts w:ascii="Arial" w:hAnsi="Arial" w:cs="Arial"/>
              </w:rPr>
              <w:t xml:space="preserve"> </w:t>
            </w:r>
            <w:r w:rsidR="00296519">
              <w:rPr>
                <w:rFonts w:ascii="Arial" w:hAnsi="Arial" w:cs="Arial"/>
              </w:rPr>
              <w:t>made</w:t>
            </w:r>
            <w:r w:rsidR="00625FC1">
              <w:rPr>
                <w:rFonts w:ascii="Arial" w:hAnsi="Arial" w:cs="Arial"/>
              </w:rPr>
              <w:t xml:space="preserve"> to section 5</w:t>
            </w:r>
            <w:r w:rsidR="009047B5">
              <w:rPr>
                <w:rFonts w:ascii="Arial" w:hAnsi="Arial" w:cs="Arial"/>
              </w:rPr>
              <w:t xml:space="preserve"> </w:t>
            </w:r>
            <w:r w:rsidR="00BC3FFC">
              <w:rPr>
                <w:rFonts w:ascii="Arial" w:hAnsi="Arial" w:cs="Arial"/>
              </w:rPr>
              <w:t xml:space="preserve">(the </w:t>
            </w:r>
            <w:r w:rsidR="00296519">
              <w:rPr>
                <w:rFonts w:ascii="Arial" w:hAnsi="Arial" w:cs="Arial"/>
              </w:rPr>
              <w:t>“</w:t>
            </w:r>
            <w:r w:rsidRPr="00576504">
              <w:rPr>
                <w:rFonts w:ascii="Arial" w:hAnsi="Arial" w:cs="Arial"/>
              </w:rPr>
              <w:t xml:space="preserve">application </w:t>
            </w:r>
            <w:r w:rsidR="00BC3FFC" w:rsidRPr="00576504">
              <w:rPr>
                <w:rFonts w:ascii="Arial" w:hAnsi="Arial" w:cs="Arial"/>
              </w:rPr>
              <w:t>section</w:t>
            </w:r>
            <w:r w:rsidR="00BC3FFC">
              <w:rPr>
                <w:rFonts w:ascii="Arial" w:hAnsi="Arial" w:cs="Arial"/>
              </w:rPr>
              <w:t xml:space="preserve"> “</w:t>
            </w:r>
            <w:r w:rsidR="009047B5">
              <w:rPr>
                <w:rFonts w:ascii="Arial" w:hAnsi="Arial" w:cs="Arial"/>
              </w:rPr>
              <w:t>)</w:t>
            </w:r>
            <w:r w:rsidR="00266830">
              <w:rPr>
                <w:rFonts w:ascii="Arial" w:hAnsi="Arial" w:cs="Arial"/>
              </w:rPr>
              <w:t xml:space="preserve"> by</w:t>
            </w:r>
            <w:r w:rsidR="009047B5">
              <w:rPr>
                <w:rFonts w:ascii="Arial" w:hAnsi="Arial" w:cs="Arial"/>
              </w:rPr>
              <w:t xml:space="preserve"> </w:t>
            </w:r>
            <w:r w:rsidR="00266830">
              <w:rPr>
                <w:rFonts w:ascii="Arial" w:hAnsi="Arial" w:cs="Arial"/>
              </w:rPr>
              <w:t>separating the requirements</w:t>
            </w:r>
            <w:r w:rsidR="009047B5">
              <w:rPr>
                <w:rFonts w:ascii="Arial" w:hAnsi="Arial" w:cs="Arial"/>
              </w:rPr>
              <w:t xml:space="preserve"> to comply with the Standard</w:t>
            </w:r>
            <w:r w:rsidR="00BC3FFC">
              <w:rPr>
                <w:rFonts w:ascii="Arial" w:hAnsi="Arial" w:cs="Arial"/>
              </w:rPr>
              <w:t xml:space="preserve"> from </w:t>
            </w:r>
            <w:r w:rsidR="00266830">
              <w:rPr>
                <w:rFonts w:ascii="Arial" w:hAnsi="Arial" w:cs="Arial"/>
              </w:rPr>
              <w:t xml:space="preserve">the </w:t>
            </w:r>
            <w:r w:rsidR="009047B5">
              <w:rPr>
                <w:rFonts w:ascii="Arial" w:hAnsi="Arial" w:cs="Arial"/>
              </w:rPr>
              <w:t>rest</w:t>
            </w:r>
            <w:r w:rsidR="001C0959">
              <w:rPr>
                <w:rFonts w:ascii="Arial" w:hAnsi="Arial" w:cs="Arial"/>
              </w:rPr>
              <w:t xml:space="preserve"> of the document</w:t>
            </w:r>
            <w:r w:rsidR="009047B5">
              <w:rPr>
                <w:rFonts w:ascii="Arial" w:hAnsi="Arial" w:cs="Arial"/>
              </w:rPr>
              <w:t>.</w:t>
            </w:r>
          </w:p>
          <w:p w14:paraId="0CDB9837" w14:textId="5F6B2E66" w:rsidR="00BC3FFC" w:rsidRDefault="00BC3FFC" w:rsidP="00BC3FFC">
            <w:pPr>
              <w:spacing w:after="0" w:line="240" w:lineRule="auto"/>
              <w:rPr>
                <w:rFonts w:ascii="Arial" w:hAnsi="Arial" w:cs="Arial"/>
              </w:rPr>
            </w:pPr>
          </w:p>
          <w:p w14:paraId="2DDFF6A4" w14:textId="4F225D5A" w:rsidR="00BC3FFC" w:rsidRDefault="00BC3FFC" w:rsidP="00BC3FFC">
            <w:pPr>
              <w:spacing w:after="0" w:line="240" w:lineRule="auto"/>
              <w:rPr>
                <w:rFonts w:ascii="Arial" w:hAnsi="Arial" w:cs="Arial"/>
              </w:rPr>
            </w:pPr>
            <w:r>
              <w:rPr>
                <w:rFonts w:ascii="Arial" w:hAnsi="Arial" w:cs="Arial"/>
              </w:rPr>
              <w:t xml:space="preserve">As per </w:t>
            </w:r>
            <w:r w:rsidR="0026148A">
              <w:rPr>
                <w:rFonts w:ascii="Arial" w:hAnsi="Arial" w:cs="Arial"/>
              </w:rPr>
              <w:t xml:space="preserve">the </w:t>
            </w:r>
            <w:r>
              <w:rPr>
                <w:rFonts w:ascii="Arial" w:hAnsi="Arial" w:cs="Arial"/>
              </w:rPr>
              <w:t xml:space="preserve">comments in table 1 above, the </w:t>
            </w:r>
            <w:r w:rsidR="00DA560E">
              <w:rPr>
                <w:rFonts w:ascii="Arial" w:hAnsi="Arial" w:cs="Arial"/>
              </w:rPr>
              <w:t>Authorities</w:t>
            </w:r>
            <w:r>
              <w:rPr>
                <w:rFonts w:ascii="Arial" w:hAnsi="Arial" w:cs="Arial"/>
              </w:rPr>
              <w:t xml:space="preserve"> perceived a general confusion with regards to </w:t>
            </w:r>
            <w:r w:rsidR="0026148A">
              <w:rPr>
                <w:rFonts w:ascii="Arial" w:hAnsi="Arial" w:cs="Arial"/>
              </w:rPr>
              <w:t>the application</w:t>
            </w:r>
            <w:r>
              <w:rPr>
                <w:rFonts w:ascii="Arial" w:hAnsi="Arial" w:cs="Arial"/>
              </w:rPr>
              <w:t xml:space="preserve"> of the Standard and extent</w:t>
            </w:r>
            <w:r w:rsidR="0026148A">
              <w:rPr>
                <w:rFonts w:ascii="Arial" w:hAnsi="Arial" w:cs="Arial"/>
              </w:rPr>
              <w:t xml:space="preserve"> of the application for each designated institution.</w:t>
            </w:r>
            <w:r w:rsidR="000B5C8F">
              <w:rPr>
                <w:rFonts w:ascii="Arial" w:hAnsi="Arial" w:cs="Arial"/>
              </w:rPr>
              <w:t xml:space="preserve"> </w:t>
            </w:r>
            <w:r w:rsidR="00AE0526">
              <w:rPr>
                <w:rFonts w:ascii="Arial" w:hAnsi="Arial" w:cs="Arial"/>
              </w:rPr>
              <w:t>Therefore,</w:t>
            </w:r>
            <w:r>
              <w:rPr>
                <w:rFonts w:ascii="Arial" w:hAnsi="Arial" w:cs="Arial"/>
              </w:rPr>
              <w:t xml:space="preserve"> amendments were made to the application section</w:t>
            </w:r>
            <w:r w:rsidR="000D652A">
              <w:rPr>
                <w:rFonts w:ascii="Arial" w:hAnsi="Arial" w:cs="Arial"/>
              </w:rPr>
              <w:t xml:space="preserve"> in the </w:t>
            </w:r>
            <w:r w:rsidR="00527EB6">
              <w:rPr>
                <w:rFonts w:ascii="Arial" w:hAnsi="Arial" w:cs="Arial"/>
              </w:rPr>
              <w:t>Standard (</w:t>
            </w:r>
            <w:r>
              <w:rPr>
                <w:rFonts w:ascii="Arial" w:hAnsi="Arial" w:cs="Arial"/>
              </w:rPr>
              <w:t xml:space="preserve">section 5) to </w:t>
            </w:r>
            <w:r w:rsidR="000B5C8F">
              <w:rPr>
                <w:rFonts w:ascii="Arial" w:hAnsi="Arial" w:cs="Arial"/>
              </w:rPr>
              <w:t>make</w:t>
            </w:r>
            <w:r>
              <w:rPr>
                <w:rFonts w:ascii="Arial" w:hAnsi="Arial" w:cs="Arial"/>
              </w:rPr>
              <w:t xml:space="preserve"> it clear which designated institutions would have to comply with the requirements </w:t>
            </w:r>
            <w:r w:rsidR="007205B8">
              <w:rPr>
                <w:rFonts w:ascii="Arial" w:hAnsi="Arial" w:cs="Arial"/>
              </w:rPr>
              <w:t xml:space="preserve">contained in </w:t>
            </w:r>
            <w:r>
              <w:rPr>
                <w:rFonts w:ascii="Arial" w:hAnsi="Arial" w:cs="Arial"/>
              </w:rPr>
              <w:t>the Standard.</w:t>
            </w:r>
          </w:p>
          <w:p w14:paraId="48397334" w14:textId="4F9B1F1F" w:rsidR="00C65B4D" w:rsidRPr="00576504" w:rsidRDefault="00C65B4D" w:rsidP="00A5578C">
            <w:pPr>
              <w:spacing w:after="0" w:line="240" w:lineRule="auto"/>
              <w:jc w:val="both"/>
              <w:rPr>
                <w:rFonts w:ascii="Arial" w:hAnsi="Arial" w:cs="Arial"/>
              </w:rPr>
            </w:pPr>
          </w:p>
        </w:tc>
      </w:tr>
      <w:tr w:rsidR="00A23B75" w14:paraId="346E9C96" w14:textId="77777777" w:rsidTr="00576504">
        <w:tc>
          <w:tcPr>
            <w:tcW w:w="2980" w:type="dxa"/>
          </w:tcPr>
          <w:p w14:paraId="50044268" w14:textId="4D8292C5" w:rsidR="00A23B75" w:rsidRDefault="00F63EAC" w:rsidP="00A5578C">
            <w:pPr>
              <w:spacing w:after="0" w:line="240" w:lineRule="auto"/>
              <w:rPr>
                <w:rFonts w:ascii="Arial" w:hAnsi="Arial" w:cs="Arial"/>
              </w:rPr>
            </w:pPr>
            <w:r>
              <w:rPr>
                <w:rFonts w:ascii="Arial" w:hAnsi="Arial" w:cs="Arial"/>
              </w:rPr>
              <w:t>Requirements for Management Information Systems</w:t>
            </w:r>
          </w:p>
        </w:tc>
        <w:tc>
          <w:tcPr>
            <w:tcW w:w="5464" w:type="dxa"/>
            <w:shd w:val="clear" w:color="auto" w:fill="D0CECE" w:themeFill="background2" w:themeFillShade="E6"/>
          </w:tcPr>
          <w:p w14:paraId="4E745F6E" w14:textId="29867932" w:rsidR="00A23B75" w:rsidRPr="00576504" w:rsidRDefault="00436AD6" w:rsidP="00A5578C">
            <w:pPr>
              <w:spacing w:after="0" w:line="240" w:lineRule="auto"/>
              <w:jc w:val="both"/>
              <w:rPr>
                <w:rFonts w:ascii="Arial" w:hAnsi="Arial" w:cs="Arial"/>
              </w:rPr>
            </w:pPr>
            <w:r w:rsidRPr="00436AD6">
              <w:rPr>
                <w:rFonts w:ascii="Arial" w:hAnsi="Arial" w:cs="Arial"/>
                <w:b/>
                <w:bCs/>
              </w:rPr>
              <w:t>Changed</w:t>
            </w:r>
            <w:r w:rsidR="00F63EAC">
              <w:rPr>
                <w:rFonts w:ascii="Arial" w:hAnsi="Arial" w:cs="Arial"/>
              </w:rPr>
              <w:t xml:space="preserve"> the word</w:t>
            </w:r>
            <w:r w:rsidR="008B2811">
              <w:rPr>
                <w:rFonts w:ascii="Arial" w:hAnsi="Arial" w:cs="Arial"/>
              </w:rPr>
              <w:t>s</w:t>
            </w:r>
            <w:r w:rsidR="00F63EAC">
              <w:rPr>
                <w:rFonts w:ascii="Arial" w:hAnsi="Arial" w:cs="Arial"/>
              </w:rPr>
              <w:t xml:space="preserve"> “</w:t>
            </w:r>
            <w:r w:rsidR="008B2811">
              <w:rPr>
                <w:rFonts w:ascii="Arial" w:hAnsi="Arial" w:cs="Arial"/>
              </w:rPr>
              <w:t xml:space="preserve">readily available” under section </w:t>
            </w:r>
            <w:r w:rsidR="00FC29A8">
              <w:rPr>
                <w:rFonts w:ascii="Arial" w:hAnsi="Arial" w:cs="Arial"/>
              </w:rPr>
              <w:t>8.5 to</w:t>
            </w:r>
            <w:r>
              <w:rPr>
                <w:rFonts w:ascii="Arial" w:hAnsi="Arial" w:cs="Arial"/>
              </w:rPr>
              <w:t xml:space="preserve"> </w:t>
            </w:r>
            <w:r w:rsidR="007E5368">
              <w:rPr>
                <w:rFonts w:ascii="Arial" w:hAnsi="Arial" w:cs="Arial"/>
              </w:rPr>
              <w:t>“timely</w:t>
            </w:r>
            <w:r w:rsidR="008B2811">
              <w:rPr>
                <w:rFonts w:ascii="Arial" w:hAnsi="Arial" w:cs="Arial"/>
              </w:rPr>
              <w:t xml:space="preserve"> information, upon request by the Reserve Bank”.</w:t>
            </w:r>
          </w:p>
        </w:tc>
        <w:tc>
          <w:tcPr>
            <w:tcW w:w="5504" w:type="dxa"/>
            <w:shd w:val="clear" w:color="auto" w:fill="D0CECE" w:themeFill="background2" w:themeFillShade="E6"/>
          </w:tcPr>
          <w:p w14:paraId="7404B5EE" w14:textId="522ED0E2" w:rsidR="00A23B75" w:rsidRDefault="00002E9E" w:rsidP="00A5578C">
            <w:pPr>
              <w:spacing w:after="0" w:line="240" w:lineRule="auto"/>
              <w:jc w:val="both"/>
              <w:rPr>
                <w:rFonts w:ascii="Arial" w:hAnsi="Arial" w:cs="Arial"/>
              </w:rPr>
            </w:pPr>
            <w:r>
              <w:rPr>
                <w:rFonts w:ascii="Arial" w:hAnsi="Arial" w:cs="Arial"/>
              </w:rPr>
              <w:t xml:space="preserve">The term “readily available” could be interpreted </w:t>
            </w:r>
            <w:r w:rsidR="00567E4B">
              <w:rPr>
                <w:rFonts w:ascii="Arial" w:hAnsi="Arial" w:cs="Arial"/>
              </w:rPr>
              <w:t xml:space="preserve">to mean </w:t>
            </w:r>
            <w:r w:rsidR="00D87C13">
              <w:rPr>
                <w:rFonts w:ascii="Arial" w:hAnsi="Arial" w:cs="Arial"/>
              </w:rPr>
              <w:t xml:space="preserve">that </w:t>
            </w:r>
            <w:r w:rsidR="00567E4B">
              <w:rPr>
                <w:rFonts w:ascii="Arial" w:hAnsi="Arial" w:cs="Arial"/>
              </w:rPr>
              <w:t xml:space="preserve">a separate management information </w:t>
            </w:r>
            <w:r w:rsidR="00D87C13">
              <w:rPr>
                <w:rFonts w:ascii="Arial" w:hAnsi="Arial" w:cs="Arial"/>
              </w:rPr>
              <w:t xml:space="preserve">system </w:t>
            </w:r>
            <w:r w:rsidR="00567E4B">
              <w:rPr>
                <w:rFonts w:ascii="Arial" w:hAnsi="Arial" w:cs="Arial"/>
              </w:rPr>
              <w:t>or</w:t>
            </w:r>
            <w:r w:rsidR="00D87C13">
              <w:rPr>
                <w:rFonts w:ascii="Arial" w:hAnsi="Arial" w:cs="Arial"/>
              </w:rPr>
              <w:t xml:space="preserve"> a technological</w:t>
            </w:r>
            <w:r w:rsidR="00567E4B">
              <w:rPr>
                <w:rFonts w:ascii="Arial" w:hAnsi="Arial" w:cs="Arial"/>
              </w:rPr>
              <w:t xml:space="preserve"> solution needs to be buil</w:t>
            </w:r>
            <w:r w:rsidR="00D87C13">
              <w:rPr>
                <w:rFonts w:ascii="Arial" w:hAnsi="Arial" w:cs="Arial"/>
              </w:rPr>
              <w:t xml:space="preserve">t </w:t>
            </w:r>
            <w:r w:rsidR="00567E4B">
              <w:rPr>
                <w:rFonts w:ascii="Arial" w:hAnsi="Arial" w:cs="Arial"/>
              </w:rPr>
              <w:t>and always be kept on</w:t>
            </w:r>
            <w:r w:rsidR="00D87C13">
              <w:rPr>
                <w:rFonts w:ascii="Arial" w:hAnsi="Arial" w:cs="Arial"/>
              </w:rPr>
              <w:t>,</w:t>
            </w:r>
            <w:r w:rsidR="00567E4B">
              <w:rPr>
                <w:rFonts w:ascii="Arial" w:hAnsi="Arial" w:cs="Arial"/>
              </w:rPr>
              <w:t xml:space="preserve"> </w:t>
            </w:r>
            <w:r w:rsidR="00D87C13">
              <w:rPr>
                <w:rFonts w:ascii="Arial" w:hAnsi="Arial" w:cs="Arial"/>
              </w:rPr>
              <w:t xml:space="preserve">so </w:t>
            </w:r>
            <w:r w:rsidR="00567E4B">
              <w:rPr>
                <w:rFonts w:ascii="Arial" w:hAnsi="Arial" w:cs="Arial"/>
              </w:rPr>
              <w:t>to provide the information required</w:t>
            </w:r>
            <w:r w:rsidR="00880A39">
              <w:rPr>
                <w:rFonts w:ascii="Arial" w:hAnsi="Arial" w:cs="Arial"/>
              </w:rPr>
              <w:t xml:space="preserve"> (this</w:t>
            </w:r>
            <w:r w:rsidR="00D87C13">
              <w:rPr>
                <w:rFonts w:ascii="Arial" w:hAnsi="Arial" w:cs="Arial"/>
              </w:rPr>
              <w:t xml:space="preserve"> automatically </w:t>
            </w:r>
            <w:r w:rsidR="00880A39">
              <w:rPr>
                <w:rFonts w:ascii="Arial" w:hAnsi="Arial" w:cs="Arial"/>
              </w:rPr>
              <w:t xml:space="preserve">implies additional </w:t>
            </w:r>
            <w:r w:rsidR="00436AD6">
              <w:rPr>
                <w:rFonts w:ascii="Arial" w:hAnsi="Arial" w:cs="Arial"/>
              </w:rPr>
              <w:t>resources</w:t>
            </w:r>
            <w:r w:rsidR="00880A39">
              <w:rPr>
                <w:rFonts w:ascii="Arial" w:hAnsi="Arial" w:cs="Arial"/>
              </w:rPr>
              <w:t>).</w:t>
            </w:r>
          </w:p>
          <w:p w14:paraId="0A729757" w14:textId="69105367" w:rsidR="00567E4B" w:rsidRDefault="00436AD6" w:rsidP="00A5578C">
            <w:pPr>
              <w:spacing w:after="0" w:line="240" w:lineRule="auto"/>
              <w:jc w:val="both"/>
              <w:rPr>
                <w:rFonts w:ascii="Arial" w:hAnsi="Arial" w:cs="Arial"/>
              </w:rPr>
            </w:pPr>
            <w:r>
              <w:rPr>
                <w:rFonts w:ascii="Arial" w:hAnsi="Arial" w:cs="Arial"/>
              </w:rPr>
              <w:t>The c</w:t>
            </w:r>
            <w:r w:rsidR="00880A39">
              <w:rPr>
                <w:rFonts w:ascii="Arial" w:hAnsi="Arial" w:cs="Arial"/>
              </w:rPr>
              <w:t>hange</w:t>
            </w:r>
            <w:r w:rsidR="00567E4B">
              <w:rPr>
                <w:rFonts w:ascii="Arial" w:hAnsi="Arial" w:cs="Arial"/>
              </w:rPr>
              <w:t xml:space="preserve"> </w:t>
            </w:r>
            <w:r w:rsidR="00D87C13">
              <w:rPr>
                <w:rFonts w:ascii="Arial" w:hAnsi="Arial" w:cs="Arial"/>
              </w:rPr>
              <w:t>in</w:t>
            </w:r>
            <w:r w:rsidR="00567E4B">
              <w:rPr>
                <w:rFonts w:ascii="Arial" w:hAnsi="Arial" w:cs="Arial"/>
              </w:rPr>
              <w:t xml:space="preserve"> the wording </w:t>
            </w:r>
            <w:r w:rsidR="00507A2A">
              <w:rPr>
                <w:rFonts w:ascii="Arial" w:hAnsi="Arial" w:cs="Arial"/>
              </w:rPr>
              <w:t>c</w:t>
            </w:r>
            <w:r w:rsidR="007D6EA5">
              <w:rPr>
                <w:rFonts w:ascii="Arial" w:hAnsi="Arial" w:cs="Arial"/>
              </w:rPr>
              <w:t>reate</w:t>
            </w:r>
            <w:r w:rsidR="00507A2A">
              <w:rPr>
                <w:rFonts w:ascii="Arial" w:hAnsi="Arial" w:cs="Arial"/>
              </w:rPr>
              <w:t>s</w:t>
            </w:r>
            <w:r w:rsidR="007D6EA5">
              <w:rPr>
                <w:rFonts w:ascii="Arial" w:hAnsi="Arial" w:cs="Arial"/>
              </w:rPr>
              <w:t xml:space="preserve"> flexibility in the requirement and allow</w:t>
            </w:r>
            <w:r w:rsidR="00507A2A">
              <w:rPr>
                <w:rFonts w:ascii="Arial" w:hAnsi="Arial" w:cs="Arial"/>
              </w:rPr>
              <w:t>s</w:t>
            </w:r>
            <w:r w:rsidR="007D6EA5">
              <w:rPr>
                <w:rFonts w:ascii="Arial" w:hAnsi="Arial" w:cs="Arial"/>
              </w:rPr>
              <w:t xml:space="preserve"> the Reserve Bank to deal with the compliance of th</w:t>
            </w:r>
            <w:r w:rsidR="00507A2A">
              <w:rPr>
                <w:rFonts w:ascii="Arial" w:hAnsi="Arial" w:cs="Arial"/>
              </w:rPr>
              <w:t>is</w:t>
            </w:r>
            <w:r w:rsidR="007D6EA5">
              <w:rPr>
                <w:rFonts w:ascii="Arial" w:hAnsi="Arial" w:cs="Arial"/>
              </w:rPr>
              <w:t xml:space="preserve"> requirement on a </w:t>
            </w:r>
            <w:r w:rsidR="00FC29A8">
              <w:rPr>
                <w:rFonts w:ascii="Arial" w:hAnsi="Arial" w:cs="Arial"/>
              </w:rPr>
              <w:t>case-by-case</w:t>
            </w:r>
            <w:r w:rsidR="007D6EA5">
              <w:rPr>
                <w:rFonts w:ascii="Arial" w:hAnsi="Arial" w:cs="Arial"/>
              </w:rPr>
              <w:t xml:space="preserve"> basis.</w:t>
            </w:r>
          </w:p>
          <w:p w14:paraId="617DDC05" w14:textId="3892D511" w:rsidR="00567E4B" w:rsidRPr="00576504" w:rsidRDefault="00567E4B" w:rsidP="00A5578C">
            <w:pPr>
              <w:spacing w:after="0" w:line="240" w:lineRule="auto"/>
              <w:jc w:val="both"/>
              <w:rPr>
                <w:rFonts w:ascii="Arial" w:hAnsi="Arial" w:cs="Arial"/>
              </w:rPr>
            </w:pPr>
          </w:p>
        </w:tc>
      </w:tr>
      <w:tr w:rsidR="00A23B75" w14:paraId="36FCAEA8" w14:textId="77777777" w:rsidTr="00576504">
        <w:tc>
          <w:tcPr>
            <w:tcW w:w="2980" w:type="dxa"/>
          </w:tcPr>
          <w:p w14:paraId="1B9773C5" w14:textId="5887678D" w:rsidR="00A23B75" w:rsidRDefault="00417A3C" w:rsidP="00A5578C">
            <w:pPr>
              <w:spacing w:after="0" w:line="240" w:lineRule="auto"/>
              <w:rPr>
                <w:rFonts w:ascii="Arial" w:hAnsi="Arial" w:cs="Arial"/>
              </w:rPr>
            </w:pPr>
            <w:r>
              <w:rPr>
                <w:rFonts w:ascii="Arial" w:hAnsi="Arial" w:cs="Arial"/>
              </w:rPr>
              <w:t>Identified interconnections to the transfer perimeter</w:t>
            </w:r>
          </w:p>
        </w:tc>
        <w:tc>
          <w:tcPr>
            <w:tcW w:w="5464" w:type="dxa"/>
            <w:shd w:val="clear" w:color="auto" w:fill="D0CECE" w:themeFill="background2" w:themeFillShade="E6"/>
          </w:tcPr>
          <w:p w14:paraId="1C410AE9" w14:textId="1BFDDA36" w:rsidR="00A23B75" w:rsidRPr="00576504" w:rsidRDefault="00496903" w:rsidP="00A5578C">
            <w:pPr>
              <w:spacing w:after="0" w:line="240" w:lineRule="auto"/>
              <w:jc w:val="both"/>
              <w:rPr>
                <w:rFonts w:ascii="Arial" w:hAnsi="Arial" w:cs="Arial"/>
              </w:rPr>
            </w:pPr>
            <w:r>
              <w:rPr>
                <w:rFonts w:ascii="Arial" w:hAnsi="Arial" w:cs="Arial"/>
              </w:rPr>
              <w:t xml:space="preserve">Section 8.2(g) was </w:t>
            </w:r>
            <w:r w:rsidR="00C36212">
              <w:rPr>
                <w:rFonts w:ascii="Arial" w:hAnsi="Arial" w:cs="Arial"/>
              </w:rPr>
              <w:t>fleshed</w:t>
            </w:r>
            <w:r>
              <w:rPr>
                <w:rFonts w:ascii="Arial" w:hAnsi="Arial" w:cs="Arial"/>
              </w:rPr>
              <w:t xml:space="preserve"> out to </w:t>
            </w:r>
            <w:r w:rsidR="003243E7">
              <w:rPr>
                <w:rFonts w:ascii="Arial" w:hAnsi="Arial" w:cs="Arial"/>
              </w:rPr>
              <w:t>clearly articulate how designated institutions should deal with the identified interconnections.</w:t>
            </w:r>
          </w:p>
        </w:tc>
        <w:tc>
          <w:tcPr>
            <w:tcW w:w="5504" w:type="dxa"/>
            <w:shd w:val="clear" w:color="auto" w:fill="D0CECE" w:themeFill="background2" w:themeFillShade="E6"/>
          </w:tcPr>
          <w:p w14:paraId="064C44EB" w14:textId="74641664" w:rsidR="00A23B75" w:rsidRPr="00576504" w:rsidRDefault="003243E7" w:rsidP="00A5578C">
            <w:pPr>
              <w:spacing w:after="0" w:line="240" w:lineRule="auto"/>
              <w:jc w:val="both"/>
              <w:rPr>
                <w:rFonts w:ascii="Arial" w:hAnsi="Arial" w:cs="Arial"/>
              </w:rPr>
            </w:pPr>
            <w:r>
              <w:rPr>
                <w:rFonts w:ascii="Arial" w:hAnsi="Arial" w:cs="Arial"/>
              </w:rPr>
              <w:t xml:space="preserve">Upon a </w:t>
            </w:r>
            <w:r w:rsidR="002742F0">
              <w:rPr>
                <w:rFonts w:ascii="Arial" w:hAnsi="Arial" w:cs="Arial"/>
              </w:rPr>
              <w:t>further</w:t>
            </w:r>
            <w:r>
              <w:rPr>
                <w:rFonts w:ascii="Arial" w:hAnsi="Arial" w:cs="Arial"/>
              </w:rPr>
              <w:t xml:space="preserve"> review and </w:t>
            </w:r>
            <w:r w:rsidR="003D6E25">
              <w:rPr>
                <w:rFonts w:ascii="Arial" w:hAnsi="Arial" w:cs="Arial"/>
              </w:rPr>
              <w:t>some comments</w:t>
            </w:r>
            <w:r>
              <w:rPr>
                <w:rFonts w:ascii="Arial" w:hAnsi="Arial" w:cs="Arial"/>
              </w:rPr>
              <w:t xml:space="preserve"> raised </w:t>
            </w:r>
            <w:r w:rsidR="003D6E25">
              <w:rPr>
                <w:rFonts w:ascii="Arial" w:hAnsi="Arial" w:cs="Arial"/>
              </w:rPr>
              <w:t>on</w:t>
            </w:r>
            <w:r>
              <w:rPr>
                <w:rFonts w:ascii="Arial" w:hAnsi="Arial" w:cs="Arial"/>
              </w:rPr>
              <w:t xml:space="preserve"> section 8.2(g), the </w:t>
            </w:r>
            <w:r w:rsidR="00DA560E">
              <w:rPr>
                <w:rFonts w:ascii="Arial" w:hAnsi="Arial" w:cs="Arial"/>
              </w:rPr>
              <w:t>Authorities</w:t>
            </w:r>
            <w:r>
              <w:rPr>
                <w:rFonts w:ascii="Arial" w:hAnsi="Arial" w:cs="Arial"/>
              </w:rPr>
              <w:t xml:space="preserve"> deemed it appropriate to separate </w:t>
            </w:r>
            <w:r w:rsidR="003D6E25">
              <w:rPr>
                <w:rFonts w:ascii="Arial" w:hAnsi="Arial" w:cs="Arial"/>
              </w:rPr>
              <w:t>the different types of interconnections and add more detail on how the designated institutions are expected to deal with them (to avoid misinterpretation of the section).</w:t>
            </w:r>
          </w:p>
        </w:tc>
      </w:tr>
    </w:tbl>
    <w:p w14:paraId="23C8BE16" w14:textId="77777777" w:rsidR="00C65B4D" w:rsidRDefault="00C65B4D" w:rsidP="00304C48">
      <w:pPr>
        <w:spacing w:after="0" w:line="240" w:lineRule="auto"/>
        <w:rPr>
          <w:rFonts w:ascii="Arial" w:hAnsi="Arial" w:cs="Arial"/>
          <w:sz w:val="24"/>
          <w:szCs w:val="24"/>
          <w:highlight w:val="cyan"/>
        </w:rPr>
      </w:pPr>
    </w:p>
    <w:p w14:paraId="01EC8F04" w14:textId="6CA8D38D" w:rsidR="00C65B4D" w:rsidRDefault="00C65B4D" w:rsidP="00304C48">
      <w:pPr>
        <w:spacing w:after="0" w:line="240" w:lineRule="auto"/>
        <w:rPr>
          <w:rFonts w:ascii="Arial" w:hAnsi="Arial" w:cs="Arial"/>
          <w:sz w:val="24"/>
          <w:szCs w:val="24"/>
          <w:highlight w:val="cyan"/>
        </w:rPr>
        <w:sectPr w:rsidR="00C65B4D" w:rsidSect="008C4CC3">
          <w:headerReference w:type="even" r:id="rId9"/>
          <w:headerReference w:type="default" r:id="rId10"/>
          <w:footerReference w:type="even" r:id="rId11"/>
          <w:footerReference w:type="default" r:id="rId12"/>
          <w:headerReference w:type="first" r:id="rId13"/>
          <w:footerReference w:type="first" r:id="rId14"/>
          <w:pgSz w:w="16838" w:h="23811" w:code="8"/>
          <w:pgMar w:top="1440" w:right="1440" w:bottom="1440" w:left="1440" w:header="706" w:footer="706" w:gutter="0"/>
          <w:cols w:space="708"/>
          <w:docGrid w:linePitch="360"/>
        </w:sectPr>
      </w:pPr>
    </w:p>
    <w:p w14:paraId="534CD8EB" w14:textId="25228FCB" w:rsidR="00AC6BFD" w:rsidRDefault="00E34154" w:rsidP="00E363C5">
      <w:pPr>
        <w:spacing w:after="0" w:line="240" w:lineRule="auto"/>
        <w:ind w:hanging="709"/>
        <w:jc w:val="center"/>
        <w:rPr>
          <w:rFonts w:ascii="Arial" w:hAnsi="Arial" w:cs="Arial"/>
          <w:b/>
          <w:bCs/>
          <w:sz w:val="40"/>
          <w:szCs w:val="40"/>
        </w:rPr>
      </w:pPr>
      <w:r>
        <w:rPr>
          <w:rFonts w:ascii="Arial" w:hAnsi="Arial" w:cs="Arial"/>
          <w:b/>
          <w:bCs/>
          <w:sz w:val="40"/>
          <w:szCs w:val="40"/>
        </w:rPr>
        <w:lastRenderedPageBreak/>
        <w:t>Prudential</w:t>
      </w:r>
      <w:r w:rsidR="002828B0" w:rsidRPr="00C667E7">
        <w:rPr>
          <w:rFonts w:ascii="Arial" w:hAnsi="Arial" w:cs="Arial"/>
          <w:b/>
          <w:bCs/>
          <w:sz w:val="40"/>
          <w:szCs w:val="40"/>
        </w:rPr>
        <w:t xml:space="preserve"> Standard</w:t>
      </w:r>
      <w:r w:rsidR="002828B0">
        <w:rPr>
          <w:rFonts w:ascii="Arial" w:hAnsi="Arial" w:cs="Arial"/>
          <w:b/>
          <w:bCs/>
          <w:sz w:val="40"/>
          <w:szCs w:val="40"/>
        </w:rPr>
        <w:t>:</w:t>
      </w:r>
      <w:r w:rsidR="002828B0" w:rsidRPr="00C667E7">
        <w:rPr>
          <w:rFonts w:ascii="Arial" w:hAnsi="Arial" w:cs="Arial"/>
          <w:b/>
          <w:bCs/>
          <w:sz w:val="40"/>
          <w:szCs w:val="40"/>
        </w:rPr>
        <w:t xml:space="preserve"> </w:t>
      </w:r>
      <w:r w:rsidR="00E22A7B" w:rsidRPr="00E22A7B">
        <w:rPr>
          <w:rFonts w:ascii="Arial" w:hAnsi="Arial" w:cs="Arial"/>
          <w:b/>
          <w:bCs/>
          <w:sz w:val="40"/>
          <w:szCs w:val="40"/>
        </w:rPr>
        <w:t>Transfer of assets and liabilities of a designated institution in resolution</w:t>
      </w:r>
    </w:p>
    <w:p w14:paraId="304F2C24" w14:textId="77777777" w:rsidR="00E363C5" w:rsidRDefault="00E363C5" w:rsidP="00AC6BFD">
      <w:pPr>
        <w:spacing w:after="0" w:line="240" w:lineRule="auto"/>
        <w:rPr>
          <w:rFonts w:ascii="Arial" w:hAnsi="Arial" w:cs="Arial"/>
          <w:sz w:val="24"/>
          <w:szCs w:val="24"/>
          <w:highlight w:val="cyan"/>
        </w:rPr>
      </w:pPr>
    </w:p>
    <w:p w14:paraId="57041C16" w14:textId="77777777" w:rsidR="00E363C5" w:rsidRDefault="00E363C5" w:rsidP="00AC6BFD">
      <w:pPr>
        <w:spacing w:after="0" w:line="240" w:lineRule="auto"/>
        <w:rPr>
          <w:rFonts w:ascii="Arial" w:hAnsi="Arial" w:cs="Arial"/>
          <w:sz w:val="24"/>
          <w:szCs w:val="24"/>
          <w:highlight w:val="cyan"/>
        </w:rPr>
      </w:pPr>
    </w:p>
    <w:p w14:paraId="70C57E1A" w14:textId="2DF21E3A" w:rsidR="002828B0" w:rsidRPr="00532AB8" w:rsidRDefault="00AC6BFD" w:rsidP="00AC6BFD">
      <w:pPr>
        <w:spacing w:after="0" w:line="240" w:lineRule="auto"/>
        <w:rPr>
          <w:rFonts w:ascii="Arial" w:hAnsi="Arial" w:cs="Arial"/>
          <w:b/>
          <w:bCs/>
          <w:sz w:val="24"/>
          <w:szCs w:val="24"/>
        </w:rPr>
      </w:pPr>
      <w:r w:rsidRPr="00532AB8">
        <w:rPr>
          <w:rFonts w:ascii="Arial" w:hAnsi="Arial" w:cs="Arial"/>
          <w:b/>
          <w:bCs/>
          <w:sz w:val="24"/>
          <w:szCs w:val="24"/>
        </w:rPr>
        <w:t xml:space="preserve">Table </w:t>
      </w:r>
      <w:r w:rsidR="00754BA0" w:rsidRPr="00532AB8">
        <w:rPr>
          <w:rFonts w:ascii="Arial" w:hAnsi="Arial" w:cs="Arial"/>
          <w:b/>
          <w:bCs/>
          <w:sz w:val="24"/>
          <w:szCs w:val="24"/>
        </w:rPr>
        <w:t>3</w:t>
      </w:r>
      <w:r w:rsidR="00CA6CF6" w:rsidRPr="00532AB8">
        <w:rPr>
          <w:rFonts w:ascii="Arial" w:hAnsi="Arial" w:cs="Arial"/>
          <w:b/>
          <w:bCs/>
          <w:sz w:val="24"/>
          <w:szCs w:val="24"/>
        </w:rPr>
        <w:t xml:space="preserve">: Details of the Commentors </w:t>
      </w:r>
      <w:r w:rsidRPr="00532AB8">
        <w:rPr>
          <w:rFonts w:ascii="Arial" w:hAnsi="Arial" w:cs="Arial"/>
          <w:b/>
          <w:bCs/>
          <w:sz w:val="24"/>
          <w:szCs w:val="24"/>
        </w:rPr>
        <w:t xml:space="preserve"> </w:t>
      </w:r>
    </w:p>
    <w:p w14:paraId="118B963A" w14:textId="77777777" w:rsidR="00F07109" w:rsidRPr="00C667E7" w:rsidRDefault="00F07109" w:rsidP="006C29EF">
      <w:pPr>
        <w:spacing w:after="0" w:line="240" w:lineRule="auto"/>
        <w:rPr>
          <w:rFonts w:ascii="Arial" w:hAnsi="Arial" w:cs="Arial"/>
        </w:rPr>
      </w:pPr>
    </w:p>
    <w:tbl>
      <w:tblPr>
        <w:tblStyle w:val="TableGrid"/>
        <w:tblW w:w="0" w:type="auto"/>
        <w:tblLook w:val="04A0" w:firstRow="1" w:lastRow="0" w:firstColumn="1" w:lastColumn="0" w:noHBand="0" w:noVBand="1"/>
      </w:tblPr>
      <w:tblGrid>
        <w:gridCol w:w="939"/>
        <w:gridCol w:w="6162"/>
        <w:gridCol w:w="2254"/>
        <w:gridCol w:w="3960"/>
      </w:tblGrid>
      <w:tr w:rsidR="00C667E7" w14:paraId="20F9D1FE" w14:textId="77777777" w:rsidTr="00052941">
        <w:trPr>
          <w:trHeight w:val="67"/>
        </w:trPr>
        <w:tc>
          <w:tcPr>
            <w:tcW w:w="939" w:type="dxa"/>
            <w:shd w:val="clear" w:color="auto" w:fill="AEAAAA" w:themeFill="background2" w:themeFillShade="BF"/>
          </w:tcPr>
          <w:p w14:paraId="6B8A9FB4" w14:textId="77777777" w:rsidR="00C667E7" w:rsidRPr="00364348" w:rsidRDefault="00C667E7" w:rsidP="00520323">
            <w:pPr>
              <w:spacing w:after="0" w:line="240" w:lineRule="auto"/>
              <w:jc w:val="center"/>
              <w:rPr>
                <w:rFonts w:ascii="Arial" w:hAnsi="Arial" w:cs="Arial"/>
                <w:b/>
                <w:bCs/>
              </w:rPr>
            </w:pPr>
            <w:r w:rsidRPr="00364348">
              <w:rPr>
                <w:rFonts w:ascii="Arial" w:hAnsi="Arial" w:cs="Arial"/>
                <w:b/>
                <w:bCs/>
              </w:rPr>
              <w:t>No.</w:t>
            </w:r>
          </w:p>
        </w:tc>
        <w:tc>
          <w:tcPr>
            <w:tcW w:w="6162" w:type="dxa"/>
            <w:shd w:val="clear" w:color="auto" w:fill="AEAAAA" w:themeFill="background2" w:themeFillShade="BF"/>
          </w:tcPr>
          <w:p w14:paraId="401DAFDB" w14:textId="77777777" w:rsidR="00C667E7" w:rsidRPr="00364348" w:rsidRDefault="00C667E7" w:rsidP="00520323">
            <w:pPr>
              <w:spacing w:after="0" w:line="240" w:lineRule="auto"/>
              <w:rPr>
                <w:rFonts w:ascii="Arial" w:hAnsi="Arial" w:cs="Arial"/>
                <w:b/>
                <w:bCs/>
              </w:rPr>
            </w:pPr>
            <w:r w:rsidRPr="00364348">
              <w:rPr>
                <w:rFonts w:ascii="Arial" w:hAnsi="Arial" w:cs="Arial"/>
                <w:b/>
                <w:bCs/>
              </w:rPr>
              <w:t>Name of organisation</w:t>
            </w:r>
          </w:p>
        </w:tc>
        <w:tc>
          <w:tcPr>
            <w:tcW w:w="2254" w:type="dxa"/>
            <w:shd w:val="clear" w:color="auto" w:fill="AEAAAA" w:themeFill="background2" w:themeFillShade="BF"/>
          </w:tcPr>
          <w:p w14:paraId="4DF03AF3" w14:textId="77777777" w:rsidR="00C667E7" w:rsidRPr="00364348" w:rsidRDefault="00C667E7" w:rsidP="00520323">
            <w:pPr>
              <w:spacing w:after="0" w:line="240" w:lineRule="auto"/>
              <w:rPr>
                <w:rFonts w:ascii="Arial" w:hAnsi="Arial" w:cs="Arial"/>
                <w:b/>
                <w:bCs/>
              </w:rPr>
            </w:pPr>
            <w:r>
              <w:rPr>
                <w:rFonts w:ascii="Arial" w:hAnsi="Arial" w:cs="Arial"/>
                <w:b/>
                <w:bCs/>
              </w:rPr>
              <w:t>Acronym</w:t>
            </w:r>
          </w:p>
        </w:tc>
        <w:tc>
          <w:tcPr>
            <w:tcW w:w="3960" w:type="dxa"/>
            <w:shd w:val="clear" w:color="auto" w:fill="AEAAAA" w:themeFill="background2" w:themeFillShade="BF"/>
          </w:tcPr>
          <w:p w14:paraId="141266AE" w14:textId="7445CD5D" w:rsidR="00C667E7" w:rsidRPr="00364348" w:rsidRDefault="00FA3D40" w:rsidP="00520323">
            <w:pPr>
              <w:spacing w:after="0" w:line="240" w:lineRule="auto"/>
              <w:rPr>
                <w:rFonts w:ascii="Arial" w:hAnsi="Arial" w:cs="Arial"/>
                <w:b/>
                <w:bCs/>
              </w:rPr>
            </w:pPr>
            <w:r>
              <w:rPr>
                <w:rFonts w:ascii="Arial" w:hAnsi="Arial" w:cs="Arial"/>
                <w:b/>
                <w:bCs/>
              </w:rPr>
              <w:t>Contact person</w:t>
            </w:r>
          </w:p>
        </w:tc>
      </w:tr>
      <w:tr w:rsidR="00C667E7" w14:paraId="518CC7DF" w14:textId="77777777" w:rsidTr="00520323">
        <w:tc>
          <w:tcPr>
            <w:tcW w:w="939" w:type="dxa"/>
          </w:tcPr>
          <w:p w14:paraId="2AF9BA44" w14:textId="77777777" w:rsidR="00C667E7" w:rsidRPr="00364348" w:rsidRDefault="00C667E7" w:rsidP="00520323">
            <w:pPr>
              <w:spacing w:after="0" w:line="240" w:lineRule="auto"/>
              <w:jc w:val="center"/>
              <w:rPr>
                <w:rFonts w:ascii="Arial" w:hAnsi="Arial" w:cs="Arial"/>
                <w:b/>
                <w:bCs/>
              </w:rPr>
            </w:pPr>
            <w:r>
              <w:rPr>
                <w:rFonts w:ascii="Arial" w:hAnsi="Arial" w:cs="Arial"/>
                <w:b/>
                <w:bCs/>
              </w:rPr>
              <w:t>1.</w:t>
            </w:r>
          </w:p>
        </w:tc>
        <w:tc>
          <w:tcPr>
            <w:tcW w:w="6162" w:type="dxa"/>
          </w:tcPr>
          <w:p w14:paraId="496B96FF" w14:textId="03A151D7" w:rsidR="00C667E7" w:rsidRPr="00C667E7" w:rsidRDefault="000C43E8" w:rsidP="00520323">
            <w:pPr>
              <w:spacing w:after="0" w:line="240" w:lineRule="auto"/>
              <w:rPr>
                <w:rFonts w:ascii="Arial" w:hAnsi="Arial" w:cs="Arial"/>
              </w:rPr>
            </w:pPr>
            <w:r w:rsidRPr="00B525A7">
              <w:rPr>
                <w:rFonts w:ascii="Arial" w:hAnsi="Arial" w:cs="Arial"/>
              </w:rPr>
              <w:t>CLS Bank International (“CLS”)</w:t>
            </w:r>
          </w:p>
        </w:tc>
        <w:tc>
          <w:tcPr>
            <w:tcW w:w="2254" w:type="dxa"/>
          </w:tcPr>
          <w:p w14:paraId="3F8C9BBD" w14:textId="4D7B0F92" w:rsidR="00C667E7" w:rsidRPr="00C667E7" w:rsidRDefault="000C43E8" w:rsidP="00031AFE">
            <w:pPr>
              <w:spacing w:after="0" w:line="240" w:lineRule="auto"/>
              <w:jc w:val="center"/>
              <w:rPr>
                <w:rFonts w:ascii="Arial" w:hAnsi="Arial" w:cs="Arial"/>
              </w:rPr>
            </w:pPr>
            <w:r>
              <w:rPr>
                <w:rFonts w:ascii="Arial" w:hAnsi="Arial" w:cs="Arial"/>
              </w:rPr>
              <w:t>CLS</w:t>
            </w:r>
          </w:p>
        </w:tc>
        <w:tc>
          <w:tcPr>
            <w:tcW w:w="3960" w:type="dxa"/>
          </w:tcPr>
          <w:p w14:paraId="26EB907D" w14:textId="77777777" w:rsidR="00B525A7" w:rsidRPr="00B525A7" w:rsidRDefault="00B525A7" w:rsidP="00B525A7">
            <w:pPr>
              <w:spacing w:after="0" w:line="240" w:lineRule="auto"/>
              <w:rPr>
                <w:rFonts w:ascii="Arial" w:hAnsi="Arial" w:cs="Arial"/>
              </w:rPr>
            </w:pPr>
            <w:r w:rsidRPr="00B525A7">
              <w:rPr>
                <w:rFonts w:ascii="Arial" w:hAnsi="Arial" w:cs="Arial"/>
              </w:rPr>
              <w:t xml:space="preserve">Eveline </w:t>
            </w:r>
            <w:proofErr w:type="spellStart"/>
            <w:r w:rsidRPr="00B525A7">
              <w:rPr>
                <w:rFonts w:ascii="Arial" w:hAnsi="Arial" w:cs="Arial"/>
              </w:rPr>
              <w:t>Coman</w:t>
            </w:r>
            <w:proofErr w:type="spellEnd"/>
            <w:r w:rsidRPr="00B525A7">
              <w:rPr>
                <w:rFonts w:ascii="Arial" w:hAnsi="Arial" w:cs="Arial"/>
              </w:rPr>
              <w:t xml:space="preserve"> – Senior Legal Counsel</w:t>
            </w:r>
          </w:p>
          <w:p w14:paraId="6E15B34F" w14:textId="3612C45B" w:rsidR="000C43E8" w:rsidRPr="00C667E7" w:rsidRDefault="00B525A7" w:rsidP="00B525A7">
            <w:pPr>
              <w:spacing w:after="0" w:line="240" w:lineRule="auto"/>
              <w:rPr>
                <w:rFonts w:ascii="Arial" w:hAnsi="Arial" w:cs="Arial"/>
              </w:rPr>
            </w:pPr>
            <w:r w:rsidRPr="00B525A7">
              <w:rPr>
                <w:rFonts w:ascii="Arial" w:hAnsi="Arial" w:cs="Arial"/>
              </w:rPr>
              <w:t>Lauren Alter-Baumann - Head of Legal and Regulatory Projects</w:t>
            </w:r>
          </w:p>
        </w:tc>
      </w:tr>
      <w:tr w:rsidR="00C667E7" w14:paraId="2AED08BD" w14:textId="77777777" w:rsidTr="00520323">
        <w:tc>
          <w:tcPr>
            <w:tcW w:w="939" w:type="dxa"/>
          </w:tcPr>
          <w:p w14:paraId="20DC9EB0" w14:textId="77777777" w:rsidR="00C667E7" w:rsidRPr="00364348" w:rsidRDefault="00C667E7" w:rsidP="00520323">
            <w:pPr>
              <w:spacing w:after="0" w:line="240" w:lineRule="auto"/>
              <w:jc w:val="center"/>
              <w:rPr>
                <w:rFonts w:ascii="Arial" w:hAnsi="Arial" w:cs="Arial"/>
                <w:b/>
                <w:bCs/>
              </w:rPr>
            </w:pPr>
            <w:r>
              <w:rPr>
                <w:rFonts w:ascii="Arial" w:hAnsi="Arial" w:cs="Arial"/>
                <w:b/>
                <w:bCs/>
              </w:rPr>
              <w:t>2.</w:t>
            </w:r>
          </w:p>
        </w:tc>
        <w:tc>
          <w:tcPr>
            <w:tcW w:w="6162" w:type="dxa"/>
          </w:tcPr>
          <w:p w14:paraId="4AC09643" w14:textId="4EF4B1E9" w:rsidR="00C667E7" w:rsidRPr="00C667E7" w:rsidRDefault="001654EF" w:rsidP="00520323">
            <w:pPr>
              <w:spacing w:after="0" w:line="240" w:lineRule="auto"/>
              <w:rPr>
                <w:rFonts w:ascii="Arial" w:hAnsi="Arial" w:cs="Arial"/>
              </w:rPr>
            </w:pPr>
            <w:r>
              <w:rPr>
                <w:rFonts w:ascii="Arial" w:hAnsi="Arial" w:cs="Arial"/>
              </w:rPr>
              <w:t>FirstRand Bank</w:t>
            </w:r>
          </w:p>
        </w:tc>
        <w:tc>
          <w:tcPr>
            <w:tcW w:w="2254" w:type="dxa"/>
          </w:tcPr>
          <w:p w14:paraId="59515763" w14:textId="34AB955C" w:rsidR="00C667E7" w:rsidRPr="00C667E7" w:rsidRDefault="00D74D74" w:rsidP="00031AFE">
            <w:pPr>
              <w:spacing w:after="0" w:line="240" w:lineRule="auto"/>
              <w:jc w:val="center"/>
              <w:rPr>
                <w:rFonts w:ascii="Arial" w:hAnsi="Arial" w:cs="Arial"/>
              </w:rPr>
            </w:pPr>
            <w:r>
              <w:rPr>
                <w:rFonts w:ascii="Arial" w:hAnsi="Arial" w:cs="Arial"/>
              </w:rPr>
              <w:t>FirstRand</w:t>
            </w:r>
          </w:p>
        </w:tc>
        <w:tc>
          <w:tcPr>
            <w:tcW w:w="3960" w:type="dxa"/>
          </w:tcPr>
          <w:p w14:paraId="20926302" w14:textId="627CC7AB" w:rsidR="00C667E7" w:rsidRPr="00C667E7" w:rsidRDefault="00AF327C" w:rsidP="00520323">
            <w:pPr>
              <w:spacing w:after="0" w:line="240" w:lineRule="auto"/>
              <w:rPr>
                <w:rFonts w:ascii="Arial" w:hAnsi="Arial" w:cs="Arial"/>
              </w:rPr>
            </w:pPr>
            <w:r w:rsidRPr="00AF327C">
              <w:rPr>
                <w:rFonts w:ascii="Arial" w:hAnsi="Arial" w:cs="Arial"/>
              </w:rPr>
              <w:t>Greig Wilson – Head of Recovery and Resolution Planning</w:t>
            </w:r>
          </w:p>
        </w:tc>
      </w:tr>
      <w:tr w:rsidR="00C667E7" w14:paraId="44CD1C01" w14:textId="77777777" w:rsidTr="00A70248">
        <w:trPr>
          <w:trHeight w:val="315"/>
        </w:trPr>
        <w:tc>
          <w:tcPr>
            <w:tcW w:w="939" w:type="dxa"/>
          </w:tcPr>
          <w:p w14:paraId="6274F94C" w14:textId="77777777" w:rsidR="00C667E7" w:rsidRPr="00364348" w:rsidRDefault="00C667E7" w:rsidP="00520323">
            <w:pPr>
              <w:spacing w:after="0" w:line="240" w:lineRule="auto"/>
              <w:jc w:val="center"/>
              <w:rPr>
                <w:rFonts w:ascii="Arial" w:hAnsi="Arial" w:cs="Arial"/>
                <w:b/>
                <w:bCs/>
              </w:rPr>
            </w:pPr>
            <w:r>
              <w:rPr>
                <w:rFonts w:ascii="Arial" w:hAnsi="Arial" w:cs="Arial"/>
                <w:b/>
                <w:bCs/>
              </w:rPr>
              <w:t>3.</w:t>
            </w:r>
          </w:p>
        </w:tc>
        <w:tc>
          <w:tcPr>
            <w:tcW w:w="6162" w:type="dxa"/>
          </w:tcPr>
          <w:p w14:paraId="3C8CD31E" w14:textId="3685D501" w:rsidR="00C667E7" w:rsidRPr="00C667E7" w:rsidRDefault="00D23611" w:rsidP="00520323">
            <w:pPr>
              <w:spacing w:after="0" w:line="240" w:lineRule="auto"/>
              <w:rPr>
                <w:rFonts w:ascii="Arial" w:hAnsi="Arial" w:cs="Arial"/>
              </w:rPr>
            </w:pPr>
            <w:proofErr w:type="spellStart"/>
            <w:r>
              <w:rPr>
                <w:rFonts w:ascii="Arial" w:hAnsi="Arial" w:cs="Arial"/>
              </w:rPr>
              <w:t>Grinrod</w:t>
            </w:r>
            <w:proofErr w:type="spellEnd"/>
            <w:r>
              <w:rPr>
                <w:rFonts w:ascii="Arial" w:hAnsi="Arial" w:cs="Arial"/>
              </w:rPr>
              <w:t xml:space="preserve"> Bank Limited</w:t>
            </w:r>
          </w:p>
        </w:tc>
        <w:tc>
          <w:tcPr>
            <w:tcW w:w="2254" w:type="dxa"/>
          </w:tcPr>
          <w:p w14:paraId="018BFF11" w14:textId="4A58C2A6" w:rsidR="00C667E7" w:rsidRPr="00C667E7" w:rsidRDefault="00D23611" w:rsidP="00031AFE">
            <w:pPr>
              <w:spacing w:after="0" w:line="240" w:lineRule="auto"/>
              <w:jc w:val="center"/>
              <w:rPr>
                <w:rFonts w:ascii="Arial" w:hAnsi="Arial" w:cs="Arial"/>
              </w:rPr>
            </w:pPr>
            <w:proofErr w:type="spellStart"/>
            <w:r>
              <w:rPr>
                <w:rFonts w:ascii="Arial" w:hAnsi="Arial" w:cs="Arial"/>
              </w:rPr>
              <w:t>Grinrod</w:t>
            </w:r>
            <w:proofErr w:type="spellEnd"/>
          </w:p>
        </w:tc>
        <w:tc>
          <w:tcPr>
            <w:tcW w:w="3960" w:type="dxa"/>
          </w:tcPr>
          <w:p w14:paraId="07182842" w14:textId="109934FD" w:rsidR="00C667E7" w:rsidRPr="00A70248" w:rsidRDefault="00A70248" w:rsidP="00A70248">
            <w:pPr>
              <w:spacing w:after="0" w:line="240" w:lineRule="auto"/>
              <w:rPr>
                <w:rFonts w:ascii="Arial" w:hAnsi="Arial" w:cs="Arial"/>
              </w:rPr>
            </w:pPr>
            <w:r>
              <w:rPr>
                <w:rFonts w:ascii="Arial" w:hAnsi="Arial" w:cs="Arial"/>
              </w:rPr>
              <w:t>Nivashen Naicker</w:t>
            </w:r>
            <w:r w:rsidR="00CC04D6">
              <w:rPr>
                <w:rFonts w:ascii="Arial" w:hAnsi="Arial" w:cs="Arial"/>
              </w:rPr>
              <w:t xml:space="preserve"> - </w:t>
            </w:r>
            <w:r>
              <w:rPr>
                <w:rFonts w:ascii="Arial" w:hAnsi="Arial" w:cs="Arial"/>
              </w:rPr>
              <w:t>Chief Risk Officer</w:t>
            </w:r>
          </w:p>
        </w:tc>
      </w:tr>
      <w:tr w:rsidR="00C667E7" w14:paraId="04D33DB4" w14:textId="77777777" w:rsidTr="00520323">
        <w:trPr>
          <w:trHeight w:val="449"/>
        </w:trPr>
        <w:tc>
          <w:tcPr>
            <w:tcW w:w="939" w:type="dxa"/>
          </w:tcPr>
          <w:p w14:paraId="0BB83CC4" w14:textId="77777777" w:rsidR="00C667E7" w:rsidRPr="00364348" w:rsidRDefault="00C667E7" w:rsidP="00520323">
            <w:pPr>
              <w:spacing w:after="0" w:line="240" w:lineRule="auto"/>
              <w:jc w:val="center"/>
              <w:rPr>
                <w:rFonts w:ascii="Arial" w:hAnsi="Arial" w:cs="Arial"/>
                <w:b/>
                <w:bCs/>
              </w:rPr>
            </w:pPr>
            <w:r>
              <w:rPr>
                <w:rFonts w:ascii="Arial" w:hAnsi="Arial" w:cs="Arial"/>
                <w:b/>
                <w:bCs/>
              </w:rPr>
              <w:t>4.</w:t>
            </w:r>
          </w:p>
        </w:tc>
        <w:tc>
          <w:tcPr>
            <w:tcW w:w="6162" w:type="dxa"/>
          </w:tcPr>
          <w:p w14:paraId="35FFDBFB" w14:textId="422176A1" w:rsidR="00C667E7" w:rsidRPr="00C667E7" w:rsidRDefault="00151DAC" w:rsidP="00520323">
            <w:pPr>
              <w:spacing w:after="0" w:line="240" w:lineRule="auto"/>
              <w:rPr>
                <w:rFonts w:ascii="Arial" w:hAnsi="Arial" w:cs="Arial"/>
              </w:rPr>
            </w:pPr>
            <w:r>
              <w:rPr>
                <w:rFonts w:ascii="Arial" w:hAnsi="Arial" w:cs="Arial"/>
              </w:rPr>
              <w:t>Habib Overseas Bank</w:t>
            </w:r>
          </w:p>
        </w:tc>
        <w:tc>
          <w:tcPr>
            <w:tcW w:w="2254" w:type="dxa"/>
          </w:tcPr>
          <w:p w14:paraId="33A70F8A" w14:textId="3AC93CA7" w:rsidR="00C667E7" w:rsidRPr="00C667E7" w:rsidRDefault="00151DAC" w:rsidP="00031AFE">
            <w:pPr>
              <w:spacing w:after="0" w:line="240" w:lineRule="auto"/>
              <w:jc w:val="center"/>
              <w:rPr>
                <w:rFonts w:ascii="Arial" w:hAnsi="Arial" w:cs="Arial"/>
              </w:rPr>
            </w:pPr>
            <w:r>
              <w:rPr>
                <w:rFonts w:ascii="Arial" w:hAnsi="Arial" w:cs="Arial"/>
              </w:rPr>
              <w:t>Habib Bank</w:t>
            </w:r>
          </w:p>
        </w:tc>
        <w:tc>
          <w:tcPr>
            <w:tcW w:w="3960" w:type="dxa"/>
          </w:tcPr>
          <w:p w14:paraId="57231D08" w14:textId="6CCD0B5C" w:rsidR="00C667E7" w:rsidRDefault="00CC04D6" w:rsidP="00520323">
            <w:pPr>
              <w:spacing w:after="0" w:line="240" w:lineRule="auto"/>
              <w:rPr>
                <w:rFonts w:ascii="Arial" w:hAnsi="Arial" w:cs="Arial"/>
              </w:rPr>
            </w:pPr>
            <w:proofErr w:type="spellStart"/>
            <w:r>
              <w:rPr>
                <w:rFonts w:ascii="Arial" w:hAnsi="Arial" w:cs="Arial"/>
              </w:rPr>
              <w:t>Raazia</w:t>
            </w:r>
            <w:proofErr w:type="spellEnd"/>
            <w:r>
              <w:rPr>
                <w:rFonts w:ascii="Arial" w:hAnsi="Arial" w:cs="Arial"/>
              </w:rPr>
              <w:t xml:space="preserve"> </w:t>
            </w:r>
            <w:proofErr w:type="spellStart"/>
            <w:r>
              <w:rPr>
                <w:rFonts w:ascii="Arial" w:hAnsi="Arial" w:cs="Arial"/>
              </w:rPr>
              <w:t>Carrim</w:t>
            </w:r>
            <w:proofErr w:type="spellEnd"/>
            <w:r>
              <w:rPr>
                <w:rFonts w:ascii="Arial" w:hAnsi="Arial" w:cs="Arial"/>
              </w:rPr>
              <w:t xml:space="preserve"> </w:t>
            </w:r>
          </w:p>
          <w:p w14:paraId="2B0BF56E" w14:textId="4F236806" w:rsidR="00CC04D6" w:rsidRPr="00C667E7" w:rsidRDefault="00CC04D6" w:rsidP="00520323">
            <w:pPr>
              <w:spacing w:after="0" w:line="240" w:lineRule="auto"/>
              <w:rPr>
                <w:rFonts w:ascii="Arial" w:hAnsi="Arial" w:cs="Arial"/>
              </w:rPr>
            </w:pPr>
            <w:proofErr w:type="spellStart"/>
            <w:r>
              <w:rPr>
                <w:rFonts w:ascii="Arial" w:hAnsi="Arial" w:cs="Arial"/>
              </w:rPr>
              <w:t>Mandra</w:t>
            </w:r>
            <w:proofErr w:type="spellEnd"/>
            <w:r>
              <w:rPr>
                <w:rFonts w:ascii="Arial" w:hAnsi="Arial" w:cs="Arial"/>
              </w:rPr>
              <w:t xml:space="preserve"> </w:t>
            </w:r>
            <w:proofErr w:type="spellStart"/>
            <w:r>
              <w:rPr>
                <w:rFonts w:ascii="Arial" w:hAnsi="Arial" w:cs="Arial"/>
              </w:rPr>
              <w:t>Hillie</w:t>
            </w:r>
            <w:proofErr w:type="spellEnd"/>
          </w:p>
        </w:tc>
      </w:tr>
      <w:tr w:rsidR="00C667E7" w14:paraId="57464F22" w14:textId="77777777" w:rsidTr="00520323">
        <w:tc>
          <w:tcPr>
            <w:tcW w:w="939" w:type="dxa"/>
          </w:tcPr>
          <w:p w14:paraId="36F2D378" w14:textId="77777777" w:rsidR="00C667E7" w:rsidRPr="00364348" w:rsidRDefault="00C667E7" w:rsidP="00520323">
            <w:pPr>
              <w:spacing w:after="0" w:line="240" w:lineRule="auto"/>
              <w:jc w:val="center"/>
              <w:rPr>
                <w:rFonts w:ascii="Arial" w:hAnsi="Arial" w:cs="Arial"/>
                <w:b/>
                <w:bCs/>
              </w:rPr>
            </w:pPr>
            <w:r>
              <w:rPr>
                <w:rFonts w:ascii="Arial" w:hAnsi="Arial" w:cs="Arial"/>
                <w:b/>
                <w:bCs/>
              </w:rPr>
              <w:t>5.</w:t>
            </w:r>
          </w:p>
        </w:tc>
        <w:tc>
          <w:tcPr>
            <w:tcW w:w="6162" w:type="dxa"/>
          </w:tcPr>
          <w:p w14:paraId="1CA77B76" w14:textId="404FB861" w:rsidR="00C667E7" w:rsidRPr="00C667E7" w:rsidRDefault="00AE5B92" w:rsidP="00520323">
            <w:pPr>
              <w:spacing w:after="0" w:line="240" w:lineRule="auto"/>
              <w:rPr>
                <w:rFonts w:ascii="Arial" w:hAnsi="Arial" w:cs="Arial"/>
              </w:rPr>
            </w:pPr>
            <w:r>
              <w:rPr>
                <w:rFonts w:ascii="Arial" w:hAnsi="Arial" w:cs="Arial"/>
              </w:rPr>
              <w:t>JSE Group</w:t>
            </w:r>
          </w:p>
        </w:tc>
        <w:tc>
          <w:tcPr>
            <w:tcW w:w="2254" w:type="dxa"/>
          </w:tcPr>
          <w:p w14:paraId="603821AD" w14:textId="099BE7AD" w:rsidR="00C667E7" w:rsidRPr="00C667E7" w:rsidRDefault="00AE5B92" w:rsidP="00031AFE">
            <w:pPr>
              <w:spacing w:after="0" w:line="240" w:lineRule="auto"/>
              <w:jc w:val="center"/>
              <w:rPr>
                <w:rFonts w:ascii="Arial" w:hAnsi="Arial" w:cs="Arial"/>
              </w:rPr>
            </w:pPr>
            <w:r>
              <w:rPr>
                <w:rFonts w:ascii="Arial" w:hAnsi="Arial" w:cs="Arial"/>
              </w:rPr>
              <w:t>JSE</w:t>
            </w:r>
          </w:p>
        </w:tc>
        <w:tc>
          <w:tcPr>
            <w:tcW w:w="3960" w:type="dxa"/>
          </w:tcPr>
          <w:p w14:paraId="6470D272" w14:textId="19AC3B58" w:rsidR="00C667E7" w:rsidRPr="00C667E7" w:rsidRDefault="00FF7F54" w:rsidP="00520323">
            <w:pPr>
              <w:spacing w:after="0" w:line="240" w:lineRule="auto"/>
              <w:rPr>
                <w:rFonts w:ascii="Arial" w:hAnsi="Arial" w:cs="Arial"/>
              </w:rPr>
            </w:pPr>
            <w:r w:rsidRPr="00FF7F54">
              <w:rPr>
                <w:rFonts w:ascii="Arial" w:hAnsi="Arial" w:cs="Arial"/>
              </w:rPr>
              <w:t>Anne Clayton, Head: Public Policy &amp; Regulatory Affairs</w:t>
            </w:r>
          </w:p>
        </w:tc>
      </w:tr>
      <w:tr w:rsidR="00C667E7" w14:paraId="2EA39CB2" w14:textId="77777777" w:rsidTr="00520323">
        <w:tc>
          <w:tcPr>
            <w:tcW w:w="939" w:type="dxa"/>
          </w:tcPr>
          <w:p w14:paraId="3F569E86" w14:textId="77777777" w:rsidR="00C667E7" w:rsidRPr="00364348" w:rsidRDefault="00C667E7" w:rsidP="00520323">
            <w:pPr>
              <w:spacing w:after="0" w:line="240" w:lineRule="auto"/>
              <w:jc w:val="center"/>
              <w:rPr>
                <w:rFonts w:ascii="Arial" w:hAnsi="Arial" w:cs="Arial"/>
                <w:b/>
                <w:bCs/>
              </w:rPr>
            </w:pPr>
            <w:r>
              <w:rPr>
                <w:rFonts w:ascii="Arial" w:hAnsi="Arial" w:cs="Arial"/>
                <w:b/>
                <w:bCs/>
              </w:rPr>
              <w:t>6.</w:t>
            </w:r>
          </w:p>
        </w:tc>
        <w:tc>
          <w:tcPr>
            <w:tcW w:w="6162" w:type="dxa"/>
          </w:tcPr>
          <w:p w14:paraId="790C45FB" w14:textId="482330DB" w:rsidR="00C667E7" w:rsidRPr="00C667E7" w:rsidRDefault="0037024A" w:rsidP="00520323">
            <w:pPr>
              <w:spacing w:after="0" w:line="240" w:lineRule="auto"/>
              <w:rPr>
                <w:rFonts w:ascii="Arial" w:hAnsi="Arial" w:cs="Arial"/>
              </w:rPr>
            </w:pPr>
            <w:r>
              <w:rPr>
                <w:rFonts w:ascii="Arial" w:hAnsi="Arial" w:cs="Arial"/>
              </w:rPr>
              <w:t>Momentum Metropolitan Holdings</w:t>
            </w:r>
          </w:p>
        </w:tc>
        <w:tc>
          <w:tcPr>
            <w:tcW w:w="2254" w:type="dxa"/>
          </w:tcPr>
          <w:p w14:paraId="66E59D13" w14:textId="7890EBED" w:rsidR="00C667E7" w:rsidRPr="00C667E7" w:rsidRDefault="0037024A" w:rsidP="00031AFE">
            <w:pPr>
              <w:spacing w:after="0" w:line="240" w:lineRule="auto"/>
              <w:jc w:val="center"/>
              <w:rPr>
                <w:rFonts w:ascii="Arial" w:hAnsi="Arial" w:cs="Arial"/>
              </w:rPr>
            </w:pPr>
            <w:r>
              <w:rPr>
                <w:rFonts w:ascii="Arial" w:hAnsi="Arial" w:cs="Arial"/>
              </w:rPr>
              <w:t>MMH</w:t>
            </w:r>
          </w:p>
        </w:tc>
        <w:tc>
          <w:tcPr>
            <w:tcW w:w="3960" w:type="dxa"/>
          </w:tcPr>
          <w:p w14:paraId="3B3D02DD" w14:textId="4F23C28B" w:rsidR="00C667E7" w:rsidRPr="00C667E7" w:rsidRDefault="001C2BC8" w:rsidP="00520323">
            <w:pPr>
              <w:spacing w:after="0" w:line="240" w:lineRule="auto"/>
              <w:rPr>
                <w:rFonts w:ascii="Arial" w:hAnsi="Arial" w:cs="Arial"/>
              </w:rPr>
            </w:pPr>
            <w:r w:rsidRPr="001C2BC8">
              <w:rPr>
                <w:rFonts w:ascii="Arial" w:hAnsi="Arial" w:cs="Arial"/>
              </w:rPr>
              <w:t>Lance Raftesath – Deputy HAF</w:t>
            </w:r>
          </w:p>
        </w:tc>
      </w:tr>
      <w:tr w:rsidR="00C667E7" w14:paraId="43FAC132" w14:textId="77777777" w:rsidTr="00520323">
        <w:tc>
          <w:tcPr>
            <w:tcW w:w="939" w:type="dxa"/>
          </w:tcPr>
          <w:p w14:paraId="55BF2C48" w14:textId="77777777" w:rsidR="00C667E7" w:rsidRPr="00364348" w:rsidRDefault="00C667E7" w:rsidP="00520323">
            <w:pPr>
              <w:spacing w:after="0" w:line="240" w:lineRule="auto"/>
              <w:jc w:val="center"/>
              <w:rPr>
                <w:rFonts w:ascii="Arial" w:hAnsi="Arial" w:cs="Arial"/>
                <w:b/>
                <w:bCs/>
              </w:rPr>
            </w:pPr>
            <w:r>
              <w:rPr>
                <w:rFonts w:ascii="Arial" w:hAnsi="Arial" w:cs="Arial"/>
                <w:b/>
                <w:bCs/>
              </w:rPr>
              <w:t>7.</w:t>
            </w:r>
          </w:p>
        </w:tc>
        <w:tc>
          <w:tcPr>
            <w:tcW w:w="6162" w:type="dxa"/>
          </w:tcPr>
          <w:p w14:paraId="2212BB45" w14:textId="0DC9A589" w:rsidR="00C667E7" w:rsidRPr="00C667E7" w:rsidRDefault="007163D1" w:rsidP="00520323">
            <w:pPr>
              <w:spacing w:after="0" w:line="240" w:lineRule="auto"/>
              <w:rPr>
                <w:rFonts w:ascii="Arial" w:hAnsi="Arial" w:cs="Arial"/>
              </w:rPr>
            </w:pPr>
            <w:r>
              <w:rPr>
                <w:rFonts w:ascii="Arial" w:hAnsi="Arial" w:cs="Arial"/>
              </w:rPr>
              <w:t xml:space="preserve">Nedbank Limited </w:t>
            </w:r>
          </w:p>
        </w:tc>
        <w:tc>
          <w:tcPr>
            <w:tcW w:w="2254" w:type="dxa"/>
          </w:tcPr>
          <w:p w14:paraId="43A71C3C" w14:textId="5D260720" w:rsidR="00C667E7" w:rsidRPr="00C667E7" w:rsidRDefault="00E25950" w:rsidP="00031AFE">
            <w:pPr>
              <w:spacing w:after="0" w:line="240" w:lineRule="auto"/>
              <w:jc w:val="center"/>
              <w:rPr>
                <w:rFonts w:ascii="Arial" w:hAnsi="Arial" w:cs="Arial"/>
              </w:rPr>
            </w:pPr>
            <w:r>
              <w:rPr>
                <w:rFonts w:ascii="Arial" w:hAnsi="Arial" w:cs="Arial"/>
              </w:rPr>
              <w:t>Nedbank</w:t>
            </w:r>
          </w:p>
        </w:tc>
        <w:tc>
          <w:tcPr>
            <w:tcW w:w="3960" w:type="dxa"/>
          </w:tcPr>
          <w:p w14:paraId="11389D64" w14:textId="74FD6DE6" w:rsidR="00C667E7" w:rsidRPr="00C667E7" w:rsidRDefault="00E25950" w:rsidP="00520323">
            <w:pPr>
              <w:spacing w:after="0" w:line="240" w:lineRule="auto"/>
              <w:rPr>
                <w:rFonts w:ascii="Arial" w:hAnsi="Arial" w:cs="Arial"/>
              </w:rPr>
            </w:pPr>
            <w:r w:rsidRPr="00E25950">
              <w:rPr>
                <w:rFonts w:ascii="Arial" w:hAnsi="Arial" w:cs="Arial"/>
              </w:rPr>
              <w:t>Michelle Frederick</w:t>
            </w:r>
          </w:p>
        </w:tc>
      </w:tr>
      <w:tr w:rsidR="00C667E7" w14:paraId="02F19951" w14:textId="77777777" w:rsidTr="00520323">
        <w:tc>
          <w:tcPr>
            <w:tcW w:w="939" w:type="dxa"/>
          </w:tcPr>
          <w:p w14:paraId="05D27A07" w14:textId="77777777" w:rsidR="00C667E7" w:rsidRDefault="00C667E7" w:rsidP="00520323">
            <w:pPr>
              <w:spacing w:after="0" w:line="240" w:lineRule="auto"/>
              <w:jc w:val="center"/>
              <w:rPr>
                <w:rFonts w:ascii="Arial" w:hAnsi="Arial" w:cs="Arial"/>
                <w:b/>
                <w:bCs/>
              </w:rPr>
            </w:pPr>
            <w:r>
              <w:rPr>
                <w:rFonts w:ascii="Arial" w:hAnsi="Arial" w:cs="Arial"/>
                <w:b/>
                <w:bCs/>
              </w:rPr>
              <w:t>8.</w:t>
            </w:r>
          </w:p>
        </w:tc>
        <w:tc>
          <w:tcPr>
            <w:tcW w:w="6162" w:type="dxa"/>
          </w:tcPr>
          <w:p w14:paraId="76A0105E" w14:textId="617499E5" w:rsidR="00C667E7" w:rsidRPr="00C667E7" w:rsidRDefault="000E4139" w:rsidP="00520323">
            <w:pPr>
              <w:spacing w:after="0" w:line="240" w:lineRule="auto"/>
              <w:rPr>
                <w:rFonts w:ascii="Arial" w:hAnsi="Arial" w:cs="Arial"/>
              </w:rPr>
            </w:pPr>
            <w:r>
              <w:rPr>
                <w:rFonts w:ascii="Arial" w:hAnsi="Arial" w:cs="Arial"/>
              </w:rPr>
              <w:t>The Banking Association of South Africa</w:t>
            </w:r>
          </w:p>
        </w:tc>
        <w:tc>
          <w:tcPr>
            <w:tcW w:w="2254" w:type="dxa"/>
          </w:tcPr>
          <w:p w14:paraId="75A0DE55" w14:textId="7C2348BB" w:rsidR="00C667E7" w:rsidRPr="00C667E7" w:rsidRDefault="000E4139" w:rsidP="00031AFE">
            <w:pPr>
              <w:spacing w:after="0" w:line="240" w:lineRule="auto"/>
              <w:jc w:val="center"/>
              <w:rPr>
                <w:rFonts w:ascii="Arial" w:hAnsi="Arial" w:cs="Arial"/>
              </w:rPr>
            </w:pPr>
            <w:r>
              <w:rPr>
                <w:rFonts w:ascii="Arial" w:hAnsi="Arial" w:cs="Arial"/>
              </w:rPr>
              <w:t>BASA</w:t>
            </w:r>
          </w:p>
        </w:tc>
        <w:tc>
          <w:tcPr>
            <w:tcW w:w="3960" w:type="dxa"/>
          </w:tcPr>
          <w:p w14:paraId="377E4A35" w14:textId="2CF2796C" w:rsidR="00C667E7" w:rsidRPr="00C667E7" w:rsidRDefault="000E4139" w:rsidP="00520323">
            <w:pPr>
              <w:spacing w:after="0" w:line="240" w:lineRule="auto"/>
              <w:rPr>
                <w:rFonts w:ascii="Arial" w:hAnsi="Arial" w:cs="Arial"/>
              </w:rPr>
            </w:pPr>
            <w:r>
              <w:rPr>
                <w:rFonts w:ascii="Arial" w:hAnsi="Arial" w:cs="Arial"/>
              </w:rPr>
              <w:t xml:space="preserve">Benjamin April </w:t>
            </w:r>
          </w:p>
        </w:tc>
      </w:tr>
    </w:tbl>
    <w:p w14:paraId="6CCE9225" w14:textId="2AFD7C42" w:rsidR="00C667E7" w:rsidRDefault="00C667E7" w:rsidP="008F5BA2">
      <w:pPr>
        <w:spacing w:after="0" w:line="240" w:lineRule="auto"/>
        <w:jc w:val="right"/>
        <w:sectPr w:rsidR="00C667E7" w:rsidSect="008C4CC3">
          <w:pgSz w:w="16838" w:h="23811" w:code="8"/>
          <w:pgMar w:top="1440" w:right="1440" w:bottom="1440" w:left="1440" w:header="706" w:footer="706" w:gutter="0"/>
          <w:cols w:space="708"/>
          <w:docGrid w:linePitch="360"/>
        </w:sectPr>
      </w:pPr>
    </w:p>
    <w:bookmarkEnd w:id="0"/>
    <w:p w14:paraId="7DFC5C2F" w14:textId="55A58DC9" w:rsidR="00152DA4" w:rsidRPr="00532AB8" w:rsidRDefault="00152DA4" w:rsidP="00152DA4">
      <w:pPr>
        <w:spacing w:after="0" w:line="240" w:lineRule="auto"/>
        <w:rPr>
          <w:rFonts w:ascii="Arial" w:hAnsi="Arial" w:cs="Arial"/>
          <w:b/>
          <w:bCs/>
          <w:sz w:val="24"/>
          <w:szCs w:val="24"/>
        </w:rPr>
      </w:pPr>
      <w:r w:rsidRPr="00532AB8">
        <w:rPr>
          <w:rFonts w:ascii="Arial" w:hAnsi="Arial" w:cs="Arial"/>
          <w:b/>
          <w:bCs/>
          <w:sz w:val="24"/>
          <w:szCs w:val="24"/>
        </w:rPr>
        <w:lastRenderedPageBreak/>
        <w:t xml:space="preserve">Table </w:t>
      </w:r>
      <w:r w:rsidR="00754BA0" w:rsidRPr="00532AB8">
        <w:rPr>
          <w:rFonts w:ascii="Arial" w:hAnsi="Arial" w:cs="Arial"/>
          <w:b/>
          <w:bCs/>
          <w:sz w:val="24"/>
          <w:szCs w:val="24"/>
        </w:rPr>
        <w:t>4</w:t>
      </w:r>
      <w:r w:rsidRPr="00532AB8">
        <w:rPr>
          <w:rFonts w:ascii="Arial" w:hAnsi="Arial" w:cs="Arial"/>
          <w:b/>
          <w:bCs/>
          <w:sz w:val="24"/>
          <w:szCs w:val="24"/>
        </w:rPr>
        <w:t xml:space="preserve">: Full set of comments and responses on the Standard  </w:t>
      </w:r>
    </w:p>
    <w:p w14:paraId="4A2E6F3F" w14:textId="77777777" w:rsidR="00152DA4" w:rsidRPr="00FA3D40" w:rsidRDefault="00152DA4" w:rsidP="00D440AD">
      <w:pPr>
        <w:spacing w:after="0" w:line="240" w:lineRule="auto"/>
        <w:rPr>
          <w:rFonts w:ascii="Arial" w:hAnsi="Arial" w:cs="Arial"/>
        </w:rPr>
      </w:pPr>
    </w:p>
    <w:tbl>
      <w:tblPr>
        <w:tblStyle w:val="TableGrid"/>
        <w:tblW w:w="20974" w:type="dxa"/>
        <w:tblLook w:val="04A0" w:firstRow="1" w:lastRow="0" w:firstColumn="1" w:lastColumn="0" w:noHBand="0" w:noVBand="1"/>
      </w:tblPr>
      <w:tblGrid>
        <w:gridCol w:w="1886"/>
        <w:gridCol w:w="2078"/>
        <w:gridCol w:w="2691"/>
        <w:gridCol w:w="7903"/>
        <w:gridCol w:w="6416"/>
      </w:tblGrid>
      <w:tr w:rsidR="007D57DD" w:rsidRPr="009D05E3" w14:paraId="7CBEDC7F" w14:textId="0E335637" w:rsidTr="00FC2C40">
        <w:trPr>
          <w:trHeight w:val="307"/>
          <w:tblHeader/>
        </w:trPr>
        <w:tc>
          <w:tcPr>
            <w:tcW w:w="1886" w:type="dxa"/>
            <w:shd w:val="clear" w:color="auto" w:fill="808080" w:themeFill="background1" w:themeFillShade="80"/>
          </w:tcPr>
          <w:p w14:paraId="550EC408" w14:textId="77777777" w:rsidR="00A701F9" w:rsidRPr="009D05E3" w:rsidRDefault="00A701F9" w:rsidP="00D440AD">
            <w:pPr>
              <w:spacing w:after="0" w:line="240" w:lineRule="auto"/>
              <w:rPr>
                <w:rFonts w:ascii="Arial" w:hAnsi="Arial" w:cs="Arial"/>
                <w:sz w:val="20"/>
                <w:szCs w:val="20"/>
                <w:lang w:val="en-GB"/>
              </w:rPr>
            </w:pPr>
            <w:r w:rsidRPr="009D05E3">
              <w:rPr>
                <w:rFonts w:ascii="Arial" w:hAnsi="Arial" w:cs="Arial"/>
                <w:b/>
                <w:sz w:val="20"/>
                <w:szCs w:val="20"/>
                <w:lang w:val="en-GB"/>
              </w:rPr>
              <w:t>No</w:t>
            </w:r>
          </w:p>
        </w:tc>
        <w:tc>
          <w:tcPr>
            <w:tcW w:w="2078" w:type="dxa"/>
            <w:shd w:val="clear" w:color="auto" w:fill="808080" w:themeFill="background1" w:themeFillShade="80"/>
          </w:tcPr>
          <w:p w14:paraId="1BAD3279" w14:textId="1CF167A1" w:rsidR="00A701F9" w:rsidRPr="009D05E3" w:rsidRDefault="00A701F9" w:rsidP="00D440AD">
            <w:pPr>
              <w:spacing w:after="0" w:line="240" w:lineRule="auto"/>
              <w:jc w:val="center"/>
              <w:rPr>
                <w:rFonts w:ascii="Arial" w:hAnsi="Arial" w:cs="Arial"/>
                <w:b/>
                <w:sz w:val="20"/>
                <w:szCs w:val="20"/>
                <w:lang w:val="en-GB"/>
              </w:rPr>
            </w:pPr>
            <w:r w:rsidRPr="009D05E3">
              <w:rPr>
                <w:rFonts w:ascii="Arial" w:hAnsi="Arial" w:cs="Arial"/>
                <w:b/>
                <w:sz w:val="20"/>
                <w:szCs w:val="20"/>
                <w:lang w:val="en-GB"/>
              </w:rPr>
              <w:t>Commentator</w:t>
            </w:r>
          </w:p>
        </w:tc>
        <w:tc>
          <w:tcPr>
            <w:tcW w:w="2691" w:type="dxa"/>
            <w:shd w:val="clear" w:color="auto" w:fill="808080" w:themeFill="background1" w:themeFillShade="80"/>
          </w:tcPr>
          <w:p w14:paraId="328349E3" w14:textId="27F5CC59" w:rsidR="00A701F9" w:rsidRPr="009D05E3" w:rsidRDefault="00A701F9" w:rsidP="00D440AD">
            <w:pPr>
              <w:spacing w:after="0" w:line="240" w:lineRule="auto"/>
              <w:jc w:val="center"/>
              <w:rPr>
                <w:rFonts w:ascii="Arial" w:hAnsi="Arial" w:cs="Arial"/>
                <w:sz w:val="20"/>
                <w:szCs w:val="20"/>
                <w:lang w:val="en-GB"/>
              </w:rPr>
            </w:pPr>
            <w:r w:rsidRPr="009D05E3">
              <w:rPr>
                <w:rFonts w:ascii="Arial" w:hAnsi="Arial" w:cs="Arial"/>
                <w:b/>
                <w:sz w:val="20"/>
                <w:szCs w:val="20"/>
                <w:lang w:val="en-GB"/>
              </w:rPr>
              <w:t>Paragraph of the Standard</w:t>
            </w:r>
          </w:p>
        </w:tc>
        <w:tc>
          <w:tcPr>
            <w:tcW w:w="7903" w:type="dxa"/>
            <w:shd w:val="clear" w:color="auto" w:fill="808080" w:themeFill="background1" w:themeFillShade="80"/>
          </w:tcPr>
          <w:p w14:paraId="71B66147" w14:textId="77777777" w:rsidR="00A701F9" w:rsidRPr="009D05E3" w:rsidRDefault="00A701F9" w:rsidP="00D440AD">
            <w:pPr>
              <w:spacing w:after="0" w:line="240" w:lineRule="auto"/>
              <w:jc w:val="center"/>
              <w:rPr>
                <w:rFonts w:ascii="Arial" w:hAnsi="Arial" w:cs="Arial"/>
                <w:sz w:val="20"/>
                <w:szCs w:val="20"/>
                <w:lang w:val="en-GB"/>
              </w:rPr>
            </w:pPr>
            <w:r w:rsidRPr="009D05E3">
              <w:rPr>
                <w:rFonts w:ascii="Arial" w:hAnsi="Arial" w:cs="Arial"/>
                <w:b/>
                <w:sz w:val="20"/>
                <w:szCs w:val="20"/>
                <w:lang w:val="en-GB"/>
              </w:rPr>
              <w:t>Comment</w:t>
            </w:r>
          </w:p>
        </w:tc>
        <w:tc>
          <w:tcPr>
            <w:tcW w:w="6416" w:type="dxa"/>
            <w:shd w:val="clear" w:color="auto" w:fill="808080" w:themeFill="background1" w:themeFillShade="80"/>
          </w:tcPr>
          <w:p w14:paraId="627F357C" w14:textId="6584E2FE" w:rsidR="00A701F9" w:rsidRPr="009D05E3" w:rsidRDefault="00A701F9" w:rsidP="00D440AD">
            <w:pPr>
              <w:spacing w:after="0" w:line="240" w:lineRule="auto"/>
              <w:jc w:val="center"/>
              <w:rPr>
                <w:rFonts w:ascii="Arial" w:hAnsi="Arial" w:cs="Arial"/>
                <w:b/>
                <w:sz w:val="20"/>
                <w:szCs w:val="20"/>
                <w:lang w:val="en-GB"/>
              </w:rPr>
            </w:pPr>
            <w:r w:rsidRPr="009D05E3">
              <w:rPr>
                <w:rFonts w:ascii="Arial" w:hAnsi="Arial" w:cs="Arial"/>
                <w:b/>
                <w:sz w:val="20"/>
                <w:szCs w:val="20"/>
                <w:lang w:val="en-GB"/>
              </w:rPr>
              <w:t>Responses</w:t>
            </w:r>
          </w:p>
        </w:tc>
      </w:tr>
      <w:tr w:rsidR="00D440AD" w:rsidRPr="009D05E3" w14:paraId="2FF0D7D6" w14:textId="02AC3926" w:rsidTr="00532AB8">
        <w:trPr>
          <w:trHeight w:val="416"/>
        </w:trPr>
        <w:tc>
          <w:tcPr>
            <w:tcW w:w="20974" w:type="dxa"/>
            <w:gridSpan w:val="5"/>
            <w:shd w:val="clear" w:color="auto" w:fill="D9D9D9" w:themeFill="background1" w:themeFillShade="D9"/>
          </w:tcPr>
          <w:p w14:paraId="24190E72" w14:textId="518397F4" w:rsidR="00D440AD" w:rsidRPr="009D05E3" w:rsidRDefault="00D440AD" w:rsidP="00515BD8">
            <w:pPr>
              <w:pStyle w:val="ListParagraph"/>
              <w:numPr>
                <w:ilvl w:val="0"/>
                <w:numId w:val="1"/>
              </w:numPr>
              <w:jc w:val="center"/>
              <w:rPr>
                <w:rFonts w:ascii="Arial" w:hAnsi="Arial" w:cs="Arial"/>
                <w:b/>
                <w:sz w:val="32"/>
                <w:szCs w:val="32"/>
                <w:lang w:val="en-GB"/>
              </w:rPr>
            </w:pPr>
            <w:r w:rsidRPr="009D05E3">
              <w:rPr>
                <w:rFonts w:ascii="Arial" w:hAnsi="Arial" w:cs="Arial"/>
                <w:b/>
                <w:sz w:val="32"/>
                <w:szCs w:val="32"/>
                <w:lang w:val="en-GB"/>
              </w:rPr>
              <w:t>Commencement</w:t>
            </w:r>
          </w:p>
        </w:tc>
      </w:tr>
      <w:tr w:rsidR="00D74D74" w:rsidRPr="009D05E3" w14:paraId="1D3F4E49" w14:textId="704BE243" w:rsidTr="00FC2C40">
        <w:tc>
          <w:tcPr>
            <w:tcW w:w="1886" w:type="dxa"/>
            <w:vAlign w:val="bottom"/>
          </w:tcPr>
          <w:p w14:paraId="4594FE57" w14:textId="1FFA5021" w:rsidR="00D74D74" w:rsidRPr="00A11BB0" w:rsidRDefault="00D74D74" w:rsidP="00456761">
            <w:pPr>
              <w:spacing w:after="0"/>
              <w:jc w:val="center"/>
              <w:rPr>
                <w:b/>
                <w:bCs/>
                <w:lang w:val="en-GB"/>
              </w:rPr>
            </w:pPr>
            <w:r w:rsidRPr="00A11BB0">
              <w:rPr>
                <w:rFonts w:ascii="Arial" w:hAnsi="Arial" w:cs="Arial"/>
                <w:lang w:val="en-GB"/>
              </w:rPr>
              <w:t>1</w:t>
            </w:r>
          </w:p>
        </w:tc>
        <w:tc>
          <w:tcPr>
            <w:tcW w:w="2078" w:type="dxa"/>
          </w:tcPr>
          <w:p w14:paraId="55F82D74" w14:textId="7184A7E4" w:rsidR="00D74D74" w:rsidRPr="00A11BB0" w:rsidRDefault="00D74D74" w:rsidP="00D74D74">
            <w:pPr>
              <w:spacing w:after="0" w:line="240" w:lineRule="auto"/>
              <w:rPr>
                <w:rFonts w:ascii="Arial" w:hAnsi="Arial" w:cs="Arial"/>
                <w:lang w:val="en-GB"/>
              </w:rPr>
            </w:pPr>
            <w:r w:rsidRPr="00A11BB0">
              <w:rPr>
                <w:rFonts w:ascii="Arial" w:hAnsi="Arial" w:cs="Arial"/>
              </w:rPr>
              <w:t>CLS</w:t>
            </w:r>
          </w:p>
        </w:tc>
        <w:tc>
          <w:tcPr>
            <w:tcW w:w="2691" w:type="dxa"/>
          </w:tcPr>
          <w:p w14:paraId="7FEE2206" w14:textId="3F5AACA1" w:rsidR="00D74D74" w:rsidRPr="00A11BB0" w:rsidRDefault="00E0493B" w:rsidP="00D74D74">
            <w:pPr>
              <w:spacing w:after="0" w:line="240" w:lineRule="auto"/>
              <w:rPr>
                <w:rFonts w:ascii="Arial" w:hAnsi="Arial" w:cs="Arial"/>
                <w:lang w:val="en-GB"/>
              </w:rPr>
            </w:pPr>
            <w:r w:rsidRPr="00A11BB0">
              <w:rPr>
                <w:rFonts w:ascii="Arial" w:hAnsi="Arial" w:cs="Arial"/>
                <w:lang w:val="en-GB"/>
              </w:rPr>
              <w:t>-</w:t>
            </w:r>
          </w:p>
        </w:tc>
        <w:tc>
          <w:tcPr>
            <w:tcW w:w="7903" w:type="dxa"/>
          </w:tcPr>
          <w:p w14:paraId="6D9C38E3" w14:textId="566171A0" w:rsidR="00D74D74" w:rsidRPr="00A11BB0" w:rsidRDefault="00E0493B" w:rsidP="00D74D74">
            <w:pPr>
              <w:spacing w:after="0" w:line="240" w:lineRule="auto"/>
              <w:rPr>
                <w:rFonts w:ascii="Arial" w:hAnsi="Arial" w:cs="Arial"/>
                <w:lang w:val="en-GB"/>
              </w:rPr>
            </w:pPr>
            <w:r w:rsidRPr="00A11BB0">
              <w:rPr>
                <w:rFonts w:ascii="Arial" w:hAnsi="Arial" w:cs="Arial"/>
                <w:lang w:val="en-GB"/>
              </w:rPr>
              <w:t>No comment</w:t>
            </w:r>
          </w:p>
        </w:tc>
        <w:tc>
          <w:tcPr>
            <w:tcW w:w="6416" w:type="dxa"/>
          </w:tcPr>
          <w:p w14:paraId="2A3413AF" w14:textId="38EEFB77" w:rsidR="00D74D74" w:rsidRPr="00A11BB0" w:rsidRDefault="00E0493B" w:rsidP="00D74D7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D74D74" w:rsidRPr="009D05E3" w14:paraId="33696FFC" w14:textId="77777777" w:rsidTr="00FC2C40">
        <w:tc>
          <w:tcPr>
            <w:tcW w:w="1886" w:type="dxa"/>
            <w:vAlign w:val="bottom"/>
          </w:tcPr>
          <w:p w14:paraId="534BAE8F" w14:textId="60E0CA38" w:rsidR="00D74D74" w:rsidRPr="00A11BB0" w:rsidRDefault="00D74D74" w:rsidP="00456761">
            <w:pPr>
              <w:spacing w:after="0"/>
              <w:jc w:val="center"/>
              <w:rPr>
                <w:b/>
                <w:bCs/>
                <w:lang w:val="en-GB"/>
              </w:rPr>
            </w:pPr>
            <w:r w:rsidRPr="00A11BB0">
              <w:rPr>
                <w:rFonts w:ascii="Arial" w:hAnsi="Arial" w:cs="Arial"/>
                <w:lang w:val="en-GB"/>
              </w:rPr>
              <w:t>2</w:t>
            </w:r>
          </w:p>
        </w:tc>
        <w:tc>
          <w:tcPr>
            <w:tcW w:w="2078" w:type="dxa"/>
          </w:tcPr>
          <w:p w14:paraId="19748BE1" w14:textId="0929C8FF" w:rsidR="00D74D74" w:rsidRPr="00A11BB0" w:rsidRDefault="00D74D74" w:rsidP="00D74D74">
            <w:pPr>
              <w:spacing w:after="0" w:line="240" w:lineRule="auto"/>
              <w:rPr>
                <w:rFonts w:ascii="Arial" w:hAnsi="Arial" w:cs="Arial"/>
                <w:lang w:val="en-GB"/>
              </w:rPr>
            </w:pPr>
            <w:r w:rsidRPr="00A11BB0">
              <w:rPr>
                <w:rFonts w:ascii="Arial" w:hAnsi="Arial" w:cs="Arial"/>
              </w:rPr>
              <w:t>FirstRand</w:t>
            </w:r>
          </w:p>
        </w:tc>
        <w:tc>
          <w:tcPr>
            <w:tcW w:w="2691" w:type="dxa"/>
          </w:tcPr>
          <w:p w14:paraId="2726E7BE" w14:textId="5D26360A" w:rsidR="00D74D74" w:rsidRPr="00A11BB0" w:rsidRDefault="005F507B" w:rsidP="00D74D74">
            <w:pPr>
              <w:spacing w:after="0" w:line="240" w:lineRule="auto"/>
              <w:rPr>
                <w:rFonts w:ascii="Arial" w:hAnsi="Arial" w:cs="Arial"/>
                <w:lang w:val="en-GB"/>
              </w:rPr>
            </w:pPr>
            <w:r w:rsidRPr="00A11BB0">
              <w:rPr>
                <w:rFonts w:ascii="Arial" w:hAnsi="Arial" w:cs="Arial"/>
                <w:lang w:val="en-GB"/>
              </w:rPr>
              <w:t>-</w:t>
            </w:r>
          </w:p>
        </w:tc>
        <w:tc>
          <w:tcPr>
            <w:tcW w:w="7903" w:type="dxa"/>
          </w:tcPr>
          <w:p w14:paraId="1A9535EC" w14:textId="361B8F97" w:rsidR="00D74D74" w:rsidRPr="00A11BB0" w:rsidRDefault="005F507B" w:rsidP="00D74D74">
            <w:pPr>
              <w:spacing w:after="0" w:line="240" w:lineRule="auto"/>
              <w:rPr>
                <w:rFonts w:ascii="Arial" w:hAnsi="Arial" w:cs="Arial"/>
                <w:lang w:val="en-GB"/>
              </w:rPr>
            </w:pPr>
            <w:r w:rsidRPr="00A11BB0">
              <w:rPr>
                <w:rFonts w:ascii="Arial" w:hAnsi="Arial" w:cs="Arial"/>
                <w:lang w:val="en-GB"/>
              </w:rPr>
              <w:t>No comment</w:t>
            </w:r>
          </w:p>
        </w:tc>
        <w:tc>
          <w:tcPr>
            <w:tcW w:w="6416" w:type="dxa"/>
          </w:tcPr>
          <w:p w14:paraId="694266AA" w14:textId="777CF00A" w:rsidR="00D74D74" w:rsidRPr="00A11BB0" w:rsidRDefault="005F507B" w:rsidP="00D74D7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E778E4" w:rsidRPr="009D05E3" w14:paraId="21C50F5E" w14:textId="77777777" w:rsidTr="00FC2C40">
        <w:tc>
          <w:tcPr>
            <w:tcW w:w="1886" w:type="dxa"/>
            <w:vAlign w:val="bottom"/>
          </w:tcPr>
          <w:p w14:paraId="06B0ED43" w14:textId="2ABAA415" w:rsidR="00E778E4" w:rsidRPr="00A11BB0" w:rsidRDefault="00E778E4" w:rsidP="00456761">
            <w:pPr>
              <w:spacing w:after="0"/>
              <w:jc w:val="center"/>
              <w:rPr>
                <w:b/>
                <w:bCs/>
                <w:lang w:val="en-GB"/>
              </w:rPr>
            </w:pPr>
            <w:r w:rsidRPr="00A11BB0">
              <w:rPr>
                <w:rFonts w:ascii="Arial" w:hAnsi="Arial" w:cs="Arial"/>
                <w:lang w:val="en-GB"/>
              </w:rPr>
              <w:t>3</w:t>
            </w:r>
          </w:p>
        </w:tc>
        <w:tc>
          <w:tcPr>
            <w:tcW w:w="2078" w:type="dxa"/>
          </w:tcPr>
          <w:p w14:paraId="4C8AD4CB" w14:textId="23109928" w:rsidR="00E778E4" w:rsidRPr="00A11BB0" w:rsidRDefault="00E778E4" w:rsidP="00E778E4">
            <w:pPr>
              <w:spacing w:after="0" w:line="240" w:lineRule="auto"/>
              <w:rPr>
                <w:rFonts w:ascii="Arial" w:hAnsi="Arial" w:cs="Arial"/>
                <w:lang w:val="en-GB"/>
              </w:rPr>
            </w:pPr>
            <w:proofErr w:type="spellStart"/>
            <w:r w:rsidRPr="00A11BB0">
              <w:rPr>
                <w:rFonts w:ascii="Arial" w:hAnsi="Arial" w:cs="Arial"/>
              </w:rPr>
              <w:t>Grinrod</w:t>
            </w:r>
            <w:proofErr w:type="spellEnd"/>
          </w:p>
        </w:tc>
        <w:tc>
          <w:tcPr>
            <w:tcW w:w="2691" w:type="dxa"/>
          </w:tcPr>
          <w:p w14:paraId="05124518" w14:textId="0A16C51C" w:rsidR="00E778E4" w:rsidRPr="00A11BB0" w:rsidRDefault="00E778E4" w:rsidP="00E778E4">
            <w:pPr>
              <w:spacing w:after="0" w:line="240" w:lineRule="auto"/>
              <w:rPr>
                <w:rFonts w:ascii="Arial" w:hAnsi="Arial" w:cs="Arial"/>
              </w:rPr>
            </w:pPr>
            <w:r w:rsidRPr="00A11BB0">
              <w:rPr>
                <w:rFonts w:ascii="Arial" w:hAnsi="Arial" w:cs="Arial"/>
              </w:rPr>
              <w:t>-</w:t>
            </w:r>
          </w:p>
        </w:tc>
        <w:tc>
          <w:tcPr>
            <w:tcW w:w="7903" w:type="dxa"/>
          </w:tcPr>
          <w:p w14:paraId="28F158ED" w14:textId="07754E42" w:rsidR="00E778E4" w:rsidRPr="00A11BB0" w:rsidRDefault="00E778E4" w:rsidP="00E778E4">
            <w:pPr>
              <w:spacing w:after="0" w:line="240" w:lineRule="auto"/>
              <w:rPr>
                <w:rFonts w:ascii="Arial" w:hAnsi="Arial" w:cs="Arial"/>
              </w:rPr>
            </w:pPr>
            <w:r w:rsidRPr="00A11BB0">
              <w:rPr>
                <w:rFonts w:ascii="Arial" w:hAnsi="Arial" w:cs="Arial"/>
                <w:lang w:val="en-GB"/>
              </w:rPr>
              <w:t>No comment</w:t>
            </w:r>
          </w:p>
        </w:tc>
        <w:tc>
          <w:tcPr>
            <w:tcW w:w="6416" w:type="dxa"/>
          </w:tcPr>
          <w:p w14:paraId="4DED4035" w14:textId="3A47F88B" w:rsidR="00E778E4" w:rsidRPr="00A11BB0" w:rsidRDefault="00E778E4" w:rsidP="00E778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2809EF" w:rsidRPr="009D05E3" w14:paraId="5C2B6664" w14:textId="77777777" w:rsidTr="00FC2C40">
        <w:tc>
          <w:tcPr>
            <w:tcW w:w="1886" w:type="dxa"/>
            <w:vAlign w:val="bottom"/>
          </w:tcPr>
          <w:p w14:paraId="1FEB4205" w14:textId="55357605" w:rsidR="002809EF" w:rsidRPr="00A11BB0" w:rsidRDefault="002809EF" w:rsidP="00456761">
            <w:pPr>
              <w:spacing w:after="0"/>
              <w:jc w:val="center"/>
              <w:rPr>
                <w:b/>
                <w:bCs/>
                <w:lang w:val="en-GB"/>
              </w:rPr>
            </w:pPr>
            <w:r w:rsidRPr="00A11BB0">
              <w:rPr>
                <w:rFonts w:ascii="Arial" w:hAnsi="Arial" w:cs="Arial"/>
                <w:lang w:val="en-GB"/>
              </w:rPr>
              <w:t>4</w:t>
            </w:r>
          </w:p>
        </w:tc>
        <w:tc>
          <w:tcPr>
            <w:tcW w:w="2078" w:type="dxa"/>
          </w:tcPr>
          <w:p w14:paraId="1F508E7D" w14:textId="4ED0680D" w:rsidR="002809EF" w:rsidRPr="00A11BB0" w:rsidRDefault="002809EF" w:rsidP="002809EF">
            <w:pPr>
              <w:spacing w:after="0" w:line="240" w:lineRule="auto"/>
              <w:rPr>
                <w:rFonts w:ascii="Arial" w:hAnsi="Arial" w:cs="Arial"/>
                <w:lang w:val="en-GB"/>
              </w:rPr>
            </w:pPr>
            <w:r w:rsidRPr="00A11BB0">
              <w:rPr>
                <w:rFonts w:ascii="Arial" w:hAnsi="Arial" w:cs="Arial"/>
              </w:rPr>
              <w:t>Habib Bank</w:t>
            </w:r>
          </w:p>
        </w:tc>
        <w:tc>
          <w:tcPr>
            <w:tcW w:w="2691" w:type="dxa"/>
          </w:tcPr>
          <w:p w14:paraId="70770EA0" w14:textId="4232EFAA" w:rsidR="002809EF" w:rsidRPr="00A11BB0" w:rsidRDefault="002809EF" w:rsidP="002809EF">
            <w:pPr>
              <w:spacing w:after="0" w:line="240" w:lineRule="auto"/>
              <w:rPr>
                <w:rFonts w:ascii="Arial" w:hAnsi="Arial" w:cs="Arial"/>
              </w:rPr>
            </w:pPr>
            <w:r w:rsidRPr="00A11BB0">
              <w:rPr>
                <w:rFonts w:ascii="Arial" w:hAnsi="Arial" w:cs="Arial"/>
              </w:rPr>
              <w:t>-</w:t>
            </w:r>
          </w:p>
        </w:tc>
        <w:tc>
          <w:tcPr>
            <w:tcW w:w="7903" w:type="dxa"/>
          </w:tcPr>
          <w:p w14:paraId="2278F954" w14:textId="37213655" w:rsidR="002809EF" w:rsidRPr="00A11BB0" w:rsidRDefault="002809EF" w:rsidP="002809EF">
            <w:pPr>
              <w:spacing w:after="0" w:line="240" w:lineRule="auto"/>
              <w:rPr>
                <w:rFonts w:ascii="Arial" w:hAnsi="Arial" w:cs="Arial"/>
              </w:rPr>
            </w:pPr>
            <w:r w:rsidRPr="00A11BB0">
              <w:rPr>
                <w:rFonts w:ascii="Arial" w:hAnsi="Arial" w:cs="Arial"/>
                <w:lang w:val="en-GB"/>
              </w:rPr>
              <w:t>No comment</w:t>
            </w:r>
          </w:p>
        </w:tc>
        <w:tc>
          <w:tcPr>
            <w:tcW w:w="6416" w:type="dxa"/>
          </w:tcPr>
          <w:p w14:paraId="1601BFE5" w14:textId="102E3219" w:rsidR="002809EF" w:rsidRPr="00A11BB0" w:rsidRDefault="002809EF" w:rsidP="002809EF">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361FB9" w:rsidRPr="009D05E3" w14:paraId="6B63AA8B" w14:textId="77777777" w:rsidTr="00FC2C40">
        <w:tc>
          <w:tcPr>
            <w:tcW w:w="1886" w:type="dxa"/>
            <w:vAlign w:val="bottom"/>
          </w:tcPr>
          <w:p w14:paraId="30A2D8EA" w14:textId="7EFD8716" w:rsidR="00361FB9" w:rsidRPr="00A11BB0" w:rsidRDefault="00361FB9" w:rsidP="00456761">
            <w:pPr>
              <w:spacing w:after="0"/>
              <w:jc w:val="center"/>
              <w:rPr>
                <w:b/>
                <w:bCs/>
                <w:lang w:val="en-GB"/>
              </w:rPr>
            </w:pPr>
            <w:r w:rsidRPr="00A11BB0">
              <w:rPr>
                <w:rFonts w:ascii="Arial" w:hAnsi="Arial" w:cs="Arial"/>
                <w:lang w:val="en-GB"/>
              </w:rPr>
              <w:t>5</w:t>
            </w:r>
          </w:p>
        </w:tc>
        <w:tc>
          <w:tcPr>
            <w:tcW w:w="2078" w:type="dxa"/>
          </w:tcPr>
          <w:p w14:paraId="726863D1" w14:textId="2C34905E" w:rsidR="00361FB9" w:rsidRPr="00A11BB0" w:rsidRDefault="00361FB9" w:rsidP="00361FB9">
            <w:pPr>
              <w:spacing w:after="0" w:line="240" w:lineRule="auto"/>
              <w:rPr>
                <w:rFonts w:ascii="Arial" w:hAnsi="Arial" w:cs="Arial"/>
                <w:lang w:val="en-GB"/>
              </w:rPr>
            </w:pPr>
            <w:r w:rsidRPr="00A11BB0">
              <w:rPr>
                <w:rFonts w:ascii="Arial" w:hAnsi="Arial" w:cs="Arial"/>
              </w:rPr>
              <w:t>JSE</w:t>
            </w:r>
          </w:p>
        </w:tc>
        <w:tc>
          <w:tcPr>
            <w:tcW w:w="2691" w:type="dxa"/>
          </w:tcPr>
          <w:p w14:paraId="29CA4ED3" w14:textId="3CA094B1" w:rsidR="00361FB9" w:rsidRPr="00A11BB0" w:rsidRDefault="00361FB9" w:rsidP="00361FB9">
            <w:pPr>
              <w:spacing w:after="0" w:line="240" w:lineRule="auto"/>
              <w:rPr>
                <w:rFonts w:ascii="Arial" w:hAnsi="Arial" w:cs="Arial"/>
              </w:rPr>
            </w:pPr>
            <w:r w:rsidRPr="00A11BB0">
              <w:rPr>
                <w:rFonts w:ascii="Arial" w:hAnsi="Arial" w:cs="Arial"/>
              </w:rPr>
              <w:t>-</w:t>
            </w:r>
          </w:p>
        </w:tc>
        <w:tc>
          <w:tcPr>
            <w:tcW w:w="7903" w:type="dxa"/>
          </w:tcPr>
          <w:p w14:paraId="513EBEE8" w14:textId="77750E1C" w:rsidR="00361FB9" w:rsidRPr="00A11BB0" w:rsidRDefault="00361FB9" w:rsidP="00361FB9">
            <w:pPr>
              <w:spacing w:after="0" w:line="240" w:lineRule="auto"/>
              <w:rPr>
                <w:rFonts w:ascii="Arial" w:hAnsi="Arial" w:cs="Arial"/>
              </w:rPr>
            </w:pPr>
            <w:r w:rsidRPr="00A11BB0">
              <w:rPr>
                <w:rFonts w:ascii="Arial" w:hAnsi="Arial" w:cs="Arial"/>
                <w:lang w:val="en-GB"/>
              </w:rPr>
              <w:t>No comment</w:t>
            </w:r>
          </w:p>
        </w:tc>
        <w:tc>
          <w:tcPr>
            <w:tcW w:w="6416" w:type="dxa"/>
          </w:tcPr>
          <w:p w14:paraId="6F2EA458" w14:textId="60AB30C5" w:rsidR="00361FB9" w:rsidRPr="00A11BB0" w:rsidRDefault="00361FB9" w:rsidP="00361FB9">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2F539E" w:rsidRPr="009D05E3" w14:paraId="763751D4" w14:textId="77777777" w:rsidTr="00FC2C40">
        <w:tc>
          <w:tcPr>
            <w:tcW w:w="1886" w:type="dxa"/>
            <w:vAlign w:val="bottom"/>
          </w:tcPr>
          <w:p w14:paraId="36CA1344" w14:textId="5F345F0F" w:rsidR="002F539E" w:rsidRPr="00A11BB0" w:rsidRDefault="002F539E" w:rsidP="00456761">
            <w:pPr>
              <w:spacing w:after="0"/>
              <w:jc w:val="center"/>
              <w:rPr>
                <w:b/>
                <w:bCs/>
                <w:lang w:val="en-GB"/>
              </w:rPr>
            </w:pPr>
            <w:r w:rsidRPr="00A11BB0">
              <w:rPr>
                <w:rFonts w:ascii="Arial" w:hAnsi="Arial" w:cs="Arial"/>
                <w:lang w:val="en-GB"/>
              </w:rPr>
              <w:t>6</w:t>
            </w:r>
          </w:p>
        </w:tc>
        <w:tc>
          <w:tcPr>
            <w:tcW w:w="2078" w:type="dxa"/>
          </w:tcPr>
          <w:p w14:paraId="0151DF90" w14:textId="77933139" w:rsidR="002F539E" w:rsidRPr="00A11BB0" w:rsidRDefault="002F539E" w:rsidP="002F539E">
            <w:pPr>
              <w:spacing w:after="0" w:line="240" w:lineRule="auto"/>
              <w:rPr>
                <w:rFonts w:ascii="Arial" w:hAnsi="Arial" w:cs="Arial"/>
                <w:lang w:val="en-GB"/>
              </w:rPr>
            </w:pPr>
            <w:r w:rsidRPr="00A11BB0">
              <w:rPr>
                <w:rFonts w:ascii="Arial" w:hAnsi="Arial" w:cs="Arial"/>
              </w:rPr>
              <w:t>MMH</w:t>
            </w:r>
          </w:p>
        </w:tc>
        <w:tc>
          <w:tcPr>
            <w:tcW w:w="2691" w:type="dxa"/>
          </w:tcPr>
          <w:p w14:paraId="3CFA5235" w14:textId="5030EEE1" w:rsidR="002F539E" w:rsidRPr="00A11BB0" w:rsidRDefault="002F539E" w:rsidP="002F539E">
            <w:pPr>
              <w:spacing w:after="0" w:line="240" w:lineRule="auto"/>
              <w:rPr>
                <w:rFonts w:ascii="Arial" w:hAnsi="Arial" w:cs="Arial"/>
              </w:rPr>
            </w:pPr>
            <w:r w:rsidRPr="00A11BB0">
              <w:rPr>
                <w:rFonts w:ascii="Arial" w:hAnsi="Arial" w:cs="Arial"/>
              </w:rPr>
              <w:t>-</w:t>
            </w:r>
          </w:p>
        </w:tc>
        <w:tc>
          <w:tcPr>
            <w:tcW w:w="7903" w:type="dxa"/>
          </w:tcPr>
          <w:p w14:paraId="6A308C40" w14:textId="0048FF6A" w:rsidR="002F539E" w:rsidRPr="00A11BB0" w:rsidRDefault="002F539E" w:rsidP="002F539E">
            <w:pPr>
              <w:spacing w:after="0" w:line="240" w:lineRule="auto"/>
              <w:rPr>
                <w:rFonts w:ascii="Arial" w:hAnsi="Arial" w:cs="Arial"/>
              </w:rPr>
            </w:pPr>
            <w:r w:rsidRPr="00A11BB0">
              <w:rPr>
                <w:rFonts w:ascii="Arial" w:hAnsi="Arial" w:cs="Arial"/>
                <w:lang w:val="en-GB"/>
              </w:rPr>
              <w:t>No comment</w:t>
            </w:r>
          </w:p>
        </w:tc>
        <w:tc>
          <w:tcPr>
            <w:tcW w:w="6416" w:type="dxa"/>
          </w:tcPr>
          <w:p w14:paraId="6381661D" w14:textId="0B7B388A" w:rsidR="002F539E" w:rsidRPr="00A11BB0" w:rsidRDefault="002F539E" w:rsidP="002F539E">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D86E03" w:rsidRPr="009D05E3" w14:paraId="19EA0CFB" w14:textId="77777777" w:rsidTr="00FC2C40">
        <w:tc>
          <w:tcPr>
            <w:tcW w:w="1886" w:type="dxa"/>
            <w:vAlign w:val="bottom"/>
          </w:tcPr>
          <w:p w14:paraId="434B366A" w14:textId="772FBD41" w:rsidR="00D86E03" w:rsidRPr="00A11BB0" w:rsidRDefault="00D86E03" w:rsidP="00456761">
            <w:pPr>
              <w:spacing w:after="0"/>
              <w:jc w:val="center"/>
              <w:rPr>
                <w:b/>
                <w:bCs/>
                <w:lang w:val="en-GB"/>
              </w:rPr>
            </w:pPr>
            <w:r w:rsidRPr="00A11BB0">
              <w:rPr>
                <w:rFonts w:ascii="Arial" w:hAnsi="Arial" w:cs="Arial"/>
                <w:lang w:val="en-GB"/>
              </w:rPr>
              <w:t>7</w:t>
            </w:r>
          </w:p>
        </w:tc>
        <w:tc>
          <w:tcPr>
            <w:tcW w:w="2078" w:type="dxa"/>
          </w:tcPr>
          <w:p w14:paraId="377358D9" w14:textId="64D4580F" w:rsidR="00D86E03" w:rsidRPr="00A11BB0" w:rsidRDefault="00D86E03" w:rsidP="00D86E03">
            <w:pPr>
              <w:spacing w:after="0" w:line="240" w:lineRule="auto"/>
              <w:rPr>
                <w:rFonts w:ascii="Arial" w:hAnsi="Arial" w:cs="Arial"/>
                <w:lang w:val="en-GB"/>
              </w:rPr>
            </w:pPr>
            <w:r w:rsidRPr="00A11BB0">
              <w:rPr>
                <w:rFonts w:ascii="Arial" w:hAnsi="Arial" w:cs="Arial"/>
              </w:rPr>
              <w:t>Nedbank</w:t>
            </w:r>
          </w:p>
        </w:tc>
        <w:tc>
          <w:tcPr>
            <w:tcW w:w="2691" w:type="dxa"/>
          </w:tcPr>
          <w:p w14:paraId="5F245C97" w14:textId="71034C3B" w:rsidR="00D86E03" w:rsidRPr="00A11BB0" w:rsidRDefault="00D86E03" w:rsidP="00D86E03">
            <w:pPr>
              <w:spacing w:after="0" w:line="240" w:lineRule="auto"/>
              <w:rPr>
                <w:rFonts w:ascii="Arial" w:hAnsi="Arial" w:cs="Arial"/>
              </w:rPr>
            </w:pPr>
            <w:r w:rsidRPr="00A11BB0">
              <w:rPr>
                <w:rFonts w:ascii="Arial" w:hAnsi="Arial" w:cs="Arial"/>
              </w:rPr>
              <w:t>-</w:t>
            </w:r>
          </w:p>
        </w:tc>
        <w:tc>
          <w:tcPr>
            <w:tcW w:w="7903" w:type="dxa"/>
          </w:tcPr>
          <w:p w14:paraId="1100EBF1" w14:textId="26907117" w:rsidR="00D86E03" w:rsidRPr="00A11BB0" w:rsidRDefault="00D86E03" w:rsidP="00D86E03">
            <w:pPr>
              <w:spacing w:after="0" w:line="240" w:lineRule="auto"/>
              <w:rPr>
                <w:rFonts w:ascii="Arial" w:hAnsi="Arial" w:cs="Arial"/>
              </w:rPr>
            </w:pPr>
            <w:r w:rsidRPr="00A11BB0">
              <w:rPr>
                <w:rFonts w:ascii="Arial" w:hAnsi="Arial" w:cs="Arial"/>
                <w:lang w:val="en-GB"/>
              </w:rPr>
              <w:t>No comment</w:t>
            </w:r>
          </w:p>
        </w:tc>
        <w:tc>
          <w:tcPr>
            <w:tcW w:w="6416" w:type="dxa"/>
          </w:tcPr>
          <w:p w14:paraId="6B684348" w14:textId="0E4F4A5D" w:rsidR="00D86E03" w:rsidRPr="00A11BB0" w:rsidRDefault="00D86E03" w:rsidP="00D86E03">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32AFF39E" w14:textId="77777777" w:rsidTr="00FC2C40">
        <w:tc>
          <w:tcPr>
            <w:tcW w:w="1886" w:type="dxa"/>
            <w:vAlign w:val="bottom"/>
          </w:tcPr>
          <w:p w14:paraId="39DFF5E5" w14:textId="7D7C5BA6" w:rsidR="00063AE4" w:rsidRPr="00A11BB0" w:rsidRDefault="00063AE4" w:rsidP="00456761">
            <w:pPr>
              <w:spacing w:after="0"/>
              <w:jc w:val="center"/>
              <w:rPr>
                <w:b/>
                <w:bCs/>
                <w:lang w:val="en-GB"/>
              </w:rPr>
            </w:pPr>
            <w:r w:rsidRPr="00A11BB0">
              <w:rPr>
                <w:rFonts w:ascii="Arial" w:hAnsi="Arial" w:cs="Arial"/>
                <w:lang w:val="en-GB"/>
              </w:rPr>
              <w:t>8</w:t>
            </w:r>
          </w:p>
        </w:tc>
        <w:tc>
          <w:tcPr>
            <w:tcW w:w="2078" w:type="dxa"/>
          </w:tcPr>
          <w:p w14:paraId="5FE9353F" w14:textId="41431722" w:rsidR="00063AE4" w:rsidRPr="00A11BB0" w:rsidRDefault="00063AE4" w:rsidP="00063AE4">
            <w:pPr>
              <w:spacing w:after="0" w:line="240" w:lineRule="auto"/>
              <w:rPr>
                <w:rFonts w:ascii="Arial" w:hAnsi="Arial" w:cs="Arial"/>
                <w:lang w:val="en-GB"/>
              </w:rPr>
            </w:pPr>
            <w:r w:rsidRPr="00A11BB0">
              <w:rPr>
                <w:rFonts w:ascii="Arial" w:hAnsi="Arial" w:cs="Arial"/>
              </w:rPr>
              <w:t>BASA</w:t>
            </w:r>
          </w:p>
        </w:tc>
        <w:tc>
          <w:tcPr>
            <w:tcW w:w="2691" w:type="dxa"/>
          </w:tcPr>
          <w:p w14:paraId="10AC90AD" w14:textId="2096E966" w:rsidR="00063AE4" w:rsidRPr="00A11BB0" w:rsidRDefault="00063AE4" w:rsidP="00063AE4">
            <w:pPr>
              <w:spacing w:after="0" w:line="240" w:lineRule="auto"/>
              <w:rPr>
                <w:rFonts w:ascii="Arial" w:hAnsi="Arial" w:cs="Arial"/>
              </w:rPr>
            </w:pPr>
            <w:r w:rsidRPr="00A11BB0">
              <w:rPr>
                <w:rFonts w:ascii="Arial" w:hAnsi="Arial" w:cs="Arial"/>
              </w:rPr>
              <w:t>-</w:t>
            </w:r>
          </w:p>
        </w:tc>
        <w:tc>
          <w:tcPr>
            <w:tcW w:w="7903" w:type="dxa"/>
          </w:tcPr>
          <w:p w14:paraId="4736E7B5" w14:textId="5884ACD8" w:rsidR="00063AE4" w:rsidRPr="00A11BB0" w:rsidRDefault="00063AE4" w:rsidP="00063AE4">
            <w:pPr>
              <w:spacing w:after="0" w:line="240" w:lineRule="auto"/>
              <w:rPr>
                <w:rFonts w:ascii="Arial" w:hAnsi="Arial" w:cs="Arial"/>
              </w:rPr>
            </w:pPr>
            <w:r w:rsidRPr="00A11BB0">
              <w:rPr>
                <w:rFonts w:ascii="Arial" w:hAnsi="Arial" w:cs="Arial"/>
                <w:lang w:val="en-GB"/>
              </w:rPr>
              <w:t>No comment</w:t>
            </w:r>
          </w:p>
        </w:tc>
        <w:tc>
          <w:tcPr>
            <w:tcW w:w="6416" w:type="dxa"/>
          </w:tcPr>
          <w:p w14:paraId="2063E0B3" w14:textId="74E7BC8C"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49202CE7" w14:textId="6D60966B" w:rsidTr="00532AB8">
        <w:tc>
          <w:tcPr>
            <w:tcW w:w="20974" w:type="dxa"/>
            <w:gridSpan w:val="5"/>
            <w:shd w:val="clear" w:color="auto" w:fill="D9D9D9" w:themeFill="background1" w:themeFillShade="D9"/>
          </w:tcPr>
          <w:p w14:paraId="2D77692E" w14:textId="518C7EA7" w:rsidR="00063AE4" w:rsidRPr="009D05E3" w:rsidRDefault="00063AE4" w:rsidP="004B610F">
            <w:pPr>
              <w:pStyle w:val="ListParagraph"/>
              <w:numPr>
                <w:ilvl w:val="0"/>
                <w:numId w:val="1"/>
              </w:numPr>
              <w:jc w:val="center"/>
              <w:rPr>
                <w:rFonts w:ascii="Arial" w:hAnsi="Arial" w:cs="Arial"/>
                <w:b/>
                <w:sz w:val="20"/>
                <w:szCs w:val="20"/>
                <w:lang w:val="en-GB"/>
              </w:rPr>
            </w:pPr>
            <w:r w:rsidRPr="009D05E3">
              <w:rPr>
                <w:rFonts w:ascii="Arial" w:hAnsi="Arial" w:cs="Arial"/>
                <w:b/>
                <w:sz w:val="32"/>
                <w:szCs w:val="32"/>
                <w:lang w:val="en-GB"/>
              </w:rPr>
              <w:t>Legislative authority</w:t>
            </w:r>
          </w:p>
        </w:tc>
      </w:tr>
      <w:tr w:rsidR="00063AE4" w:rsidRPr="009D05E3" w14:paraId="0B3E08F9" w14:textId="590AC92D" w:rsidTr="00FC2C40">
        <w:tc>
          <w:tcPr>
            <w:tcW w:w="1886" w:type="dxa"/>
          </w:tcPr>
          <w:p w14:paraId="72676BE3" w14:textId="34FD1A95" w:rsidR="00063AE4" w:rsidRPr="00A11BB0" w:rsidRDefault="00063AE4" w:rsidP="00456761">
            <w:pPr>
              <w:spacing w:after="0"/>
              <w:jc w:val="center"/>
              <w:rPr>
                <w:rFonts w:ascii="Arial" w:hAnsi="Arial" w:cs="Arial"/>
                <w:lang w:val="en-GB"/>
              </w:rPr>
            </w:pPr>
            <w:r w:rsidRPr="00A11BB0">
              <w:rPr>
                <w:rFonts w:ascii="Arial" w:hAnsi="Arial" w:cs="Arial"/>
                <w:lang w:val="en-GB"/>
              </w:rPr>
              <w:t>9</w:t>
            </w:r>
          </w:p>
        </w:tc>
        <w:tc>
          <w:tcPr>
            <w:tcW w:w="2078" w:type="dxa"/>
          </w:tcPr>
          <w:p w14:paraId="161DE8ED" w14:textId="79D297DE" w:rsidR="00063AE4" w:rsidRPr="00A11BB0" w:rsidRDefault="00063AE4" w:rsidP="00063AE4">
            <w:pPr>
              <w:spacing w:after="0" w:line="240" w:lineRule="auto"/>
              <w:rPr>
                <w:rFonts w:ascii="Arial" w:hAnsi="Arial" w:cs="Arial"/>
                <w:lang w:val="en-GB"/>
              </w:rPr>
            </w:pPr>
            <w:r w:rsidRPr="00A11BB0">
              <w:rPr>
                <w:rFonts w:ascii="Arial" w:hAnsi="Arial" w:cs="Arial"/>
              </w:rPr>
              <w:t>CLS</w:t>
            </w:r>
          </w:p>
        </w:tc>
        <w:tc>
          <w:tcPr>
            <w:tcW w:w="2691" w:type="dxa"/>
          </w:tcPr>
          <w:p w14:paraId="04A2D8BB" w14:textId="7698A8EB" w:rsidR="00063AE4" w:rsidRPr="00A11BB0" w:rsidRDefault="00063AE4" w:rsidP="00063AE4">
            <w:pPr>
              <w:spacing w:after="0" w:line="240" w:lineRule="auto"/>
              <w:rPr>
                <w:rFonts w:ascii="Arial" w:hAnsi="Arial" w:cs="Arial"/>
                <w:lang w:val="en-GB"/>
              </w:rPr>
            </w:pPr>
            <w:r w:rsidRPr="00A11BB0">
              <w:rPr>
                <w:rFonts w:ascii="Arial" w:hAnsi="Arial" w:cs="Arial"/>
                <w:lang w:val="en-GB"/>
              </w:rPr>
              <w:t>-</w:t>
            </w:r>
          </w:p>
        </w:tc>
        <w:tc>
          <w:tcPr>
            <w:tcW w:w="7903" w:type="dxa"/>
          </w:tcPr>
          <w:p w14:paraId="76613BBF" w14:textId="138B5606" w:rsidR="00063AE4" w:rsidRPr="00A11BB0" w:rsidRDefault="00063AE4" w:rsidP="00063AE4">
            <w:pPr>
              <w:spacing w:after="0" w:line="240" w:lineRule="auto"/>
              <w:rPr>
                <w:rFonts w:ascii="Arial" w:hAnsi="Arial" w:cs="Arial"/>
                <w:lang w:val="en-GB"/>
              </w:rPr>
            </w:pPr>
            <w:r w:rsidRPr="00A11BB0">
              <w:rPr>
                <w:rFonts w:ascii="Arial" w:hAnsi="Arial" w:cs="Arial"/>
                <w:lang w:val="en-GB"/>
              </w:rPr>
              <w:t>No comment</w:t>
            </w:r>
          </w:p>
        </w:tc>
        <w:tc>
          <w:tcPr>
            <w:tcW w:w="6416" w:type="dxa"/>
          </w:tcPr>
          <w:p w14:paraId="0DD4976C" w14:textId="3BB62C31"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1B1DE04E" w14:textId="2FC1B612" w:rsidTr="00FC2C40">
        <w:tc>
          <w:tcPr>
            <w:tcW w:w="1886" w:type="dxa"/>
            <w:vAlign w:val="bottom"/>
          </w:tcPr>
          <w:p w14:paraId="65EAF23A" w14:textId="08850D75" w:rsidR="00063AE4" w:rsidRPr="00A11BB0" w:rsidRDefault="00063AE4" w:rsidP="00456761">
            <w:pPr>
              <w:spacing w:after="0"/>
              <w:jc w:val="center"/>
              <w:rPr>
                <w:rFonts w:ascii="Arial" w:hAnsi="Arial" w:cs="Arial"/>
                <w:lang w:val="en-GB"/>
              </w:rPr>
            </w:pPr>
            <w:r w:rsidRPr="00A11BB0">
              <w:rPr>
                <w:rFonts w:ascii="Arial" w:hAnsi="Arial" w:cs="Arial"/>
                <w:lang w:val="en-GB"/>
              </w:rPr>
              <w:t>10</w:t>
            </w:r>
          </w:p>
        </w:tc>
        <w:tc>
          <w:tcPr>
            <w:tcW w:w="2078" w:type="dxa"/>
          </w:tcPr>
          <w:p w14:paraId="2F405FCF" w14:textId="1F190900" w:rsidR="00063AE4" w:rsidRPr="00A11BB0" w:rsidRDefault="00063AE4" w:rsidP="00063AE4">
            <w:pPr>
              <w:spacing w:after="0" w:line="240" w:lineRule="auto"/>
              <w:rPr>
                <w:rFonts w:ascii="Arial" w:hAnsi="Arial" w:cs="Arial"/>
                <w:lang w:val="en-GB"/>
              </w:rPr>
            </w:pPr>
            <w:r w:rsidRPr="00A11BB0">
              <w:rPr>
                <w:rFonts w:ascii="Arial" w:hAnsi="Arial" w:cs="Arial"/>
              </w:rPr>
              <w:t>FirstRand</w:t>
            </w:r>
          </w:p>
        </w:tc>
        <w:tc>
          <w:tcPr>
            <w:tcW w:w="2691" w:type="dxa"/>
          </w:tcPr>
          <w:p w14:paraId="015B76A3" w14:textId="0F11A593" w:rsidR="00063AE4" w:rsidRPr="00A11BB0" w:rsidRDefault="00063AE4" w:rsidP="00063AE4">
            <w:pPr>
              <w:spacing w:after="0" w:line="240" w:lineRule="auto"/>
              <w:rPr>
                <w:rFonts w:ascii="Arial" w:hAnsi="Arial" w:cs="Arial"/>
                <w:lang w:val="en-GB"/>
              </w:rPr>
            </w:pPr>
            <w:r w:rsidRPr="00A11BB0">
              <w:rPr>
                <w:rFonts w:ascii="Arial" w:hAnsi="Arial" w:cs="Arial"/>
                <w:lang w:val="en-GB"/>
              </w:rPr>
              <w:t>-</w:t>
            </w:r>
          </w:p>
        </w:tc>
        <w:tc>
          <w:tcPr>
            <w:tcW w:w="7903" w:type="dxa"/>
          </w:tcPr>
          <w:p w14:paraId="2CE2FD58" w14:textId="09C8391F" w:rsidR="00063AE4" w:rsidRPr="00A11BB0" w:rsidRDefault="00063AE4" w:rsidP="00063AE4">
            <w:pPr>
              <w:spacing w:after="0" w:line="240" w:lineRule="auto"/>
              <w:rPr>
                <w:rFonts w:ascii="Arial" w:hAnsi="Arial" w:cs="Arial"/>
                <w:lang w:val="en-GB"/>
              </w:rPr>
            </w:pPr>
            <w:r w:rsidRPr="00A11BB0">
              <w:rPr>
                <w:rFonts w:ascii="Arial" w:hAnsi="Arial" w:cs="Arial"/>
                <w:lang w:val="en-GB"/>
              </w:rPr>
              <w:t>No comment</w:t>
            </w:r>
          </w:p>
        </w:tc>
        <w:tc>
          <w:tcPr>
            <w:tcW w:w="6416" w:type="dxa"/>
          </w:tcPr>
          <w:p w14:paraId="35728DFB" w14:textId="497B7C50"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4EE9ADBE" w14:textId="06BDADEE" w:rsidTr="00FC2C40">
        <w:tc>
          <w:tcPr>
            <w:tcW w:w="1886" w:type="dxa"/>
            <w:vAlign w:val="bottom"/>
          </w:tcPr>
          <w:p w14:paraId="6432CC50" w14:textId="50BF2245" w:rsidR="00063AE4" w:rsidRPr="00A11BB0" w:rsidRDefault="00063AE4" w:rsidP="00456761">
            <w:pPr>
              <w:spacing w:after="0"/>
              <w:jc w:val="center"/>
              <w:rPr>
                <w:rFonts w:ascii="Arial" w:hAnsi="Arial" w:cs="Arial"/>
                <w:lang w:val="en-GB"/>
              </w:rPr>
            </w:pPr>
            <w:r w:rsidRPr="00A11BB0">
              <w:rPr>
                <w:rFonts w:ascii="Arial" w:hAnsi="Arial" w:cs="Arial"/>
                <w:lang w:val="en-GB"/>
              </w:rPr>
              <w:t>11</w:t>
            </w:r>
          </w:p>
        </w:tc>
        <w:tc>
          <w:tcPr>
            <w:tcW w:w="2078" w:type="dxa"/>
          </w:tcPr>
          <w:p w14:paraId="7C503C1D" w14:textId="1E7B0777" w:rsidR="00063AE4" w:rsidRPr="00A11BB0" w:rsidRDefault="00063AE4" w:rsidP="00063AE4">
            <w:pPr>
              <w:spacing w:after="0" w:line="240" w:lineRule="auto"/>
              <w:rPr>
                <w:rFonts w:ascii="Arial" w:hAnsi="Arial" w:cs="Arial"/>
                <w:lang w:val="en-GB"/>
              </w:rPr>
            </w:pPr>
            <w:proofErr w:type="spellStart"/>
            <w:r w:rsidRPr="00A11BB0">
              <w:rPr>
                <w:rFonts w:ascii="Arial" w:hAnsi="Arial" w:cs="Arial"/>
              </w:rPr>
              <w:t>Grinrod</w:t>
            </w:r>
            <w:proofErr w:type="spellEnd"/>
          </w:p>
        </w:tc>
        <w:tc>
          <w:tcPr>
            <w:tcW w:w="2691" w:type="dxa"/>
          </w:tcPr>
          <w:p w14:paraId="0BD5158F" w14:textId="2CB3325B" w:rsidR="00063AE4" w:rsidRPr="00A11BB0" w:rsidRDefault="00063AE4" w:rsidP="00063AE4">
            <w:pPr>
              <w:spacing w:after="0" w:line="240" w:lineRule="auto"/>
              <w:rPr>
                <w:rFonts w:ascii="Arial" w:hAnsi="Arial" w:cs="Arial"/>
                <w:lang w:val="en-GB"/>
              </w:rPr>
            </w:pPr>
            <w:r w:rsidRPr="00A11BB0">
              <w:rPr>
                <w:rFonts w:ascii="Arial" w:hAnsi="Arial" w:cs="Arial"/>
                <w:lang w:val="en-GB"/>
              </w:rPr>
              <w:t>-</w:t>
            </w:r>
          </w:p>
        </w:tc>
        <w:tc>
          <w:tcPr>
            <w:tcW w:w="7903" w:type="dxa"/>
          </w:tcPr>
          <w:p w14:paraId="08A8CDBE" w14:textId="719F9F8D" w:rsidR="00063AE4" w:rsidRPr="00A11BB0" w:rsidRDefault="00063AE4" w:rsidP="00063AE4">
            <w:pPr>
              <w:spacing w:after="0" w:line="240" w:lineRule="auto"/>
              <w:rPr>
                <w:rFonts w:ascii="Arial" w:hAnsi="Arial" w:cs="Arial"/>
                <w:lang w:val="en-GB"/>
              </w:rPr>
            </w:pPr>
            <w:r w:rsidRPr="00A11BB0">
              <w:rPr>
                <w:rFonts w:ascii="Arial" w:hAnsi="Arial" w:cs="Arial"/>
                <w:lang w:val="en-GB"/>
              </w:rPr>
              <w:t>No comment</w:t>
            </w:r>
          </w:p>
        </w:tc>
        <w:tc>
          <w:tcPr>
            <w:tcW w:w="6416" w:type="dxa"/>
          </w:tcPr>
          <w:p w14:paraId="35C62B79" w14:textId="13B8E3E7"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093A91E5" w14:textId="77777777" w:rsidTr="00FC2C40">
        <w:tc>
          <w:tcPr>
            <w:tcW w:w="1886" w:type="dxa"/>
            <w:vAlign w:val="bottom"/>
          </w:tcPr>
          <w:p w14:paraId="7CE11B03" w14:textId="4488B0B6" w:rsidR="00063AE4" w:rsidRPr="00A11BB0" w:rsidRDefault="00063AE4" w:rsidP="00456761">
            <w:pPr>
              <w:spacing w:after="0"/>
              <w:jc w:val="center"/>
              <w:rPr>
                <w:rFonts w:ascii="Arial" w:hAnsi="Arial" w:cs="Arial"/>
                <w:lang w:val="en-GB"/>
              </w:rPr>
            </w:pPr>
            <w:r w:rsidRPr="00A11BB0">
              <w:rPr>
                <w:rFonts w:ascii="Arial" w:hAnsi="Arial" w:cs="Arial"/>
                <w:lang w:val="en-GB"/>
              </w:rPr>
              <w:t>12</w:t>
            </w:r>
          </w:p>
        </w:tc>
        <w:tc>
          <w:tcPr>
            <w:tcW w:w="2078" w:type="dxa"/>
          </w:tcPr>
          <w:p w14:paraId="62D6454A" w14:textId="70DA1820" w:rsidR="00063AE4" w:rsidRPr="00A11BB0" w:rsidRDefault="00063AE4" w:rsidP="00063AE4">
            <w:pPr>
              <w:spacing w:after="0" w:line="240" w:lineRule="auto"/>
              <w:rPr>
                <w:rFonts w:ascii="Arial" w:hAnsi="Arial" w:cs="Arial"/>
                <w:lang w:val="en-GB"/>
              </w:rPr>
            </w:pPr>
            <w:r w:rsidRPr="00A11BB0">
              <w:rPr>
                <w:rFonts w:ascii="Arial" w:hAnsi="Arial" w:cs="Arial"/>
              </w:rPr>
              <w:t>Habib Bank</w:t>
            </w:r>
          </w:p>
        </w:tc>
        <w:tc>
          <w:tcPr>
            <w:tcW w:w="2691" w:type="dxa"/>
          </w:tcPr>
          <w:p w14:paraId="512D03D2" w14:textId="2F875A8D" w:rsidR="00063AE4" w:rsidRPr="00A11BB0" w:rsidRDefault="00063AE4" w:rsidP="00063AE4">
            <w:pPr>
              <w:spacing w:after="0" w:line="240" w:lineRule="auto"/>
              <w:rPr>
                <w:rFonts w:ascii="Arial" w:hAnsi="Arial" w:cs="Arial"/>
                <w:lang w:val="en-GB"/>
              </w:rPr>
            </w:pPr>
            <w:r w:rsidRPr="00A11BB0">
              <w:rPr>
                <w:rFonts w:ascii="Arial" w:hAnsi="Arial" w:cs="Arial"/>
              </w:rPr>
              <w:t>-</w:t>
            </w:r>
          </w:p>
        </w:tc>
        <w:tc>
          <w:tcPr>
            <w:tcW w:w="7903" w:type="dxa"/>
          </w:tcPr>
          <w:p w14:paraId="46F86442" w14:textId="76A99754" w:rsidR="00063AE4" w:rsidRPr="00A11BB0" w:rsidRDefault="00063AE4" w:rsidP="00063AE4">
            <w:pPr>
              <w:spacing w:after="0" w:line="240" w:lineRule="auto"/>
              <w:rPr>
                <w:rFonts w:ascii="Arial" w:eastAsia="Times New Roman" w:hAnsi="Arial" w:cs="Arial"/>
                <w:lang w:val="en-GB"/>
              </w:rPr>
            </w:pPr>
            <w:r w:rsidRPr="00A11BB0">
              <w:rPr>
                <w:rFonts w:ascii="Arial" w:hAnsi="Arial" w:cs="Arial"/>
                <w:lang w:val="en-GB"/>
              </w:rPr>
              <w:t>No comment</w:t>
            </w:r>
          </w:p>
        </w:tc>
        <w:tc>
          <w:tcPr>
            <w:tcW w:w="6416" w:type="dxa"/>
          </w:tcPr>
          <w:p w14:paraId="422B1111" w14:textId="631F75FD"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04DB6153" w14:textId="77777777" w:rsidTr="00FC2C40">
        <w:tc>
          <w:tcPr>
            <w:tcW w:w="1886" w:type="dxa"/>
            <w:vAlign w:val="bottom"/>
          </w:tcPr>
          <w:p w14:paraId="26FBB411" w14:textId="7678BD7C" w:rsidR="00063AE4" w:rsidRPr="00A11BB0" w:rsidRDefault="00063AE4" w:rsidP="00456761">
            <w:pPr>
              <w:spacing w:after="0"/>
              <w:jc w:val="center"/>
              <w:rPr>
                <w:rFonts w:ascii="Arial" w:hAnsi="Arial" w:cs="Arial"/>
                <w:lang w:val="en-GB"/>
              </w:rPr>
            </w:pPr>
            <w:r w:rsidRPr="00A11BB0">
              <w:rPr>
                <w:rFonts w:ascii="Arial" w:hAnsi="Arial" w:cs="Arial"/>
                <w:lang w:val="en-GB"/>
              </w:rPr>
              <w:t>13</w:t>
            </w:r>
          </w:p>
        </w:tc>
        <w:tc>
          <w:tcPr>
            <w:tcW w:w="2078" w:type="dxa"/>
          </w:tcPr>
          <w:p w14:paraId="2137BAA8" w14:textId="79DC70CB" w:rsidR="00063AE4" w:rsidRPr="00A11BB0" w:rsidRDefault="00063AE4" w:rsidP="00063AE4">
            <w:pPr>
              <w:spacing w:after="0" w:line="240" w:lineRule="auto"/>
              <w:rPr>
                <w:rFonts w:ascii="Arial" w:hAnsi="Arial" w:cs="Arial"/>
                <w:lang w:val="en-GB"/>
              </w:rPr>
            </w:pPr>
            <w:r w:rsidRPr="00A11BB0">
              <w:rPr>
                <w:rFonts w:ascii="Arial" w:hAnsi="Arial" w:cs="Arial"/>
              </w:rPr>
              <w:t>JSE</w:t>
            </w:r>
          </w:p>
        </w:tc>
        <w:tc>
          <w:tcPr>
            <w:tcW w:w="2691" w:type="dxa"/>
          </w:tcPr>
          <w:p w14:paraId="720087A2" w14:textId="0338A61B" w:rsidR="00063AE4" w:rsidRPr="00A11BB0" w:rsidRDefault="00063AE4" w:rsidP="00063AE4">
            <w:pPr>
              <w:spacing w:after="0" w:line="240" w:lineRule="auto"/>
              <w:rPr>
                <w:rFonts w:ascii="Arial" w:hAnsi="Arial" w:cs="Arial"/>
                <w:lang w:val="en-GB"/>
              </w:rPr>
            </w:pPr>
            <w:r w:rsidRPr="00A11BB0">
              <w:rPr>
                <w:rFonts w:ascii="Arial" w:hAnsi="Arial" w:cs="Arial"/>
              </w:rPr>
              <w:t>-</w:t>
            </w:r>
          </w:p>
        </w:tc>
        <w:tc>
          <w:tcPr>
            <w:tcW w:w="7903" w:type="dxa"/>
          </w:tcPr>
          <w:p w14:paraId="1960526E" w14:textId="2F4915E7" w:rsidR="00063AE4" w:rsidRPr="00A11BB0" w:rsidRDefault="00063AE4" w:rsidP="00063AE4">
            <w:pPr>
              <w:spacing w:after="0" w:line="240" w:lineRule="auto"/>
              <w:rPr>
                <w:rFonts w:ascii="Arial" w:eastAsia="Times New Roman" w:hAnsi="Arial" w:cs="Arial"/>
                <w:lang w:val="en-GB"/>
              </w:rPr>
            </w:pPr>
            <w:r w:rsidRPr="00A11BB0">
              <w:rPr>
                <w:rFonts w:ascii="Arial" w:hAnsi="Arial" w:cs="Arial"/>
                <w:lang w:val="en-GB"/>
              </w:rPr>
              <w:t>No comment</w:t>
            </w:r>
          </w:p>
        </w:tc>
        <w:tc>
          <w:tcPr>
            <w:tcW w:w="6416" w:type="dxa"/>
          </w:tcPr>
          <w:p w14:paraId="1F47141D" w14:textId="21DA0C53"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72D71B4D" w14:textId="77777777" w:rsidTr="00FC2C40">
        <w:tc>
          <w:tcPr>
            <w:tcW w:w="1886" w:type="dxa"/>
            <w:vAlign w:val="bottom"/>
          </w:tcPr>
          <w:p w14:paraId="6C744170" w14:textId="4E17909F" w:rsidR="00063AE4" w:rsidRPr="00A11BB0" w:rsidRDefault="00063AE4" w:rsidP="00456761">
            <w:pPr>
              <w:spacing w:after="0"/>
              <w:jc w:val="center"/>
              <w:rPr>
                <w:rFonts w:ascii="Arial" w:hAnsi="Arial" w:cs="Arial"/>
                <w:lang w:val="en-GB"/>
              </w:rPr>
            </w:pPr>
            <w:r w:rsidRPr="00A11BB0">
              <w:rPr>
                <w:rFonts w:ascii="Arial" w:hAnsi="Arial" w:cs="Arial"/>
                <w:lang w:val="en-GB"/>
              </w:rPr>
              <w:t>14</w:t>
            </w:r>
          </w:p>
        </w:tc>
        <w:tc>
          <w:tcPr>
            <w:tcW w:w="2078" w:type="dxa"/>
          </w:tcPr>
          <w:p w14:paraId="42FF66B7" w14:textId="18E00E9D" w:rsidR="00063AE4" w:rsidRPr="00A11BB0" w:rsidRDefault="00063AE4" w:rsidP="00063AE4">
            <w:pPr>
              <w:spacing w:after="0" w:line="240" w:lineRule="auto"/>
              <w:rPr>
                <w:rFonts w:ascii="Arial" w:hAnsi="Arial" w:cs="Arial"/>
                <w:lang w:val="en-GB"/>
              </w:rPr>
            </w:pPr>
            <w:r w:rsidRPr="00A11BB0">
              <w:rPr>
                <w:rFonts w:ascii="Arial" w:hAnsi="Arial" w:cs="Arial"/>
              </w:rPr>
              <w:t>MMH</w:t>
            </w:r>
          </w:p>
        </w:tc>
        <w:tc>
          <w:tcPr>
            <w:tcW w:w="2691" w:type="dxa"/>
          </w:tcPr>
          <w:p w14:paraId="5B144C3A" w14:textId="714E0399" w:rsidR="00063AE4" w:rsidRPr="00A11BB0" w:rsidRDefault="00063AE4" w:rsidP="00063AE4">
            <w:pPr>
              <w:spacing w:after="0" w:line="240" w:lineRule="auto"/>
              <w:rPr>
                <w:rFonts w:ascii="Arial" w:hAnsi="Arial" w:cs="Arial"/>
                <w:lang w:val="en-GB"/>
              </w:rPr>
            </w:pPr>
            <w:r w:rsidRPr="00A11BB0">
              <w:rPr>
                <w:rFonts w:ascii="Arial" w:hAnsi="Arial" w:cs="Arial"/>
              </w:rPr>
              <w:t>-</w:t>
            </w:r>
          </w:p>
        </w:tc>
        <w:tc>
          <w:tcPr>
            <w:tcW w:w="7903" w:type="dxa"/>
          </w:tcPr>
          <w:p w14:paraId="34BD2D6E" w14:textId="58ECEFBA" w:rsidR="00063AE4" w:rsidRPr="00A11BB0" w:rsidRDefault="00063AE4" w:rsidP="00063AE4">
            <w:pPr>
              <w:spacing w:after="0" w:line="240" w:lineRule="auto"/>
              <w:rPr>
                <w:rFonts w:ascii="Arial" w:hAnsi="Arial" w:cs="Arial"/>
                <w:lang w:val="en-GB"/>
              </w:rPr>
            </w:pPr>
            <w:r w:rsidRPr="00A11BB0">
              <w:rPr>
                <w:rFonts w:ascii="Arial" w:hAnsi="Arial" w:cs="Arial"/>
                <w:lang w:val="en-GB"/>
              </w:rPr>
              <w:t>No comment</w:t>
            </w:r>
          </w:p>
        </w:tc>
        <w:tc>
          <w:tcPr>
            <w:tcW w:w="6416" w:type="dxa"/>
          </w:tcPr>
          <w:p w14:paraId="58849F10" w14:textId="14B5A92F"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3E08C4BD" w14:textId="77777777" w:rsidTr="00FC2C40">
        <w:trPr>
          <w:trHeight w:val="351"/>
        </w:trPr>
        <w:tc>
          <w:tcPr>
            <w:tcW w:w="1886" w:type="dxa"/>
            <w:vAlign w:val="bottom"/>
          </w:tcPr>
          <w:p w14:paraId="413F47CB" w14:textId="0F876806" w:rsidR="00063AE4" w:rsidRPr="00A11BB0" w:rsidRDefault="00063AE4" w:rsidP="00456761">
            <w:pPr>
              <w:spacing w:after="0"/>
              <w:jc w:val="center"/>
              <w:rPr>
                <w:rFonts w:ascii="Arial" w:hAnsi="Arial" w:cs="Arial"/>
                <w:lang w:val="en-GB"/>
              </w:rPr>
            </w:pPr>
            <w:r w:rsidRPr="00A11BB0">
              <w:rPr>
                <w:rFonts w:ascii="Arial" w:hAnsi="Arial" w:cs="Arial"/>
                <w:lang w:val="en-GB"/>
              </w:rPr>
              <w:t>15</w:t>
            </w:r>
          </w:p>
        </w:tc>
        <w:tc>
          <w:tcPr>
            <w:tcW w:w="2078" w:type="dxa"/>
          </w:tcPr>
          <w:p w14:paraId="33B20319" w14:textId="669D620B" w:rsidR="00063AE4" w:rsidRPr="00A11BB0" w:rsidRDefault="00063AE4" w:rsidP="00063AE4">
            <w:pPr>
              <w:spacing w:after="0" w:line="240" w:lineRule="auto"/>
              <w:rPr>
                <w:rFonts w:ascii="Arial" w:hAnsi="Arial" w:cs="Arial"/>
                <w:lang w:val="en-GB"/>
              </w:rPr>
            </w:pPr>
            <w:r w:rsidRPr="00A11BB0">
              <w:rPr>
                <w:rFonts w:ascii="Arial" w:hAnsi="Arial" w:cs="Arial"/>
              </w:rPr>
              <w:t>Nedbank</w:t>
            </w:r>
          </w:p>
        </w:tc>
        <w:tc>
          <w:tcPr>
            <w:tcW w:w="2691" w:type="dxa"/>
          </w:tcPr>
          <w:p w14:paraId="4F2DB371" w14:textId="38975E82" w:rsidR="00063AE4" w:rsidRPr="00A11BB0" w:rsidRDefault="00063AE4" w:rsidP="00063AE4">
            <w:pPr>
              <w:spacing w:after="0" w:line="240" w:lineRule="auto"/>
              <w:rPr>
                <w:rFonts w:ascii="Arial" w:hAnsi="Arial" w:cs="Arial"/>
                <w:lang w:val="en-GB"/>
              </w:rPr>
            </w:pPr>
            <w:r w:rsidRPr="00A11BB0">
              <w:rPr>
                <w:rFonts w:ascii="Arial" w:hAnsi="Arial" w:cs="Arial"/>
              </w:rPr>
              <w:t>-</w:t>
            </w:r>
          </w:p>
        </w:tc>
        <w:tc>
          <w:tcPr>
            <w:tcW w:w="7903" w:type="dxa"/>
          </w:tcPr>
          <w:p w14:paraId="2749DC54" w14:textId="22118615" w:rsidR="00063AE4" w:rsidRPr="00A11BB0" w:rsidRDefault="00063AE4" w:rsidP="00063AE4">
            <w:pPr>
              <w:spacing w:after="0" w:line="240" w:lineRule="auto"/>
              <w:rPr>
                <w:rFonts w:ascii="Arial" w:hAnsi="Arial" w:cs="Arial"/>
                <w:lang w:val="en-GB"/>
              </w:rPr>
            </w:pPr>
            <w:r w:rsidRPr="00A11BB0">
              <w:rPr>
                <w:rFonts w:ascii="Arial" w:hAnsi="Arial" w:cs="Arial"/>
                <w:lang w:val="en-GB"/>
              </w:rPr>
              <w:t>No comment</w:t>
            </w:r>
          </w:p>
        </w:tc>
        <w:tc>
          <w:tcPr>
            <w:tcW w:w="6416" w:type="dxa"/>
          </w:tcPr>
          <w:p w14:paraId="57965A08" w14:textId="155199D7"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1E6571B8" w14:textId="77777777" w:rsidTr="00FC2C40">
        <w:tc>
          <w:tcPr>
            <w:tcW w:w="1886" w:type="dxa"/>
            <w:vAlign w:val="bottom"/>
          </w:tcPr>
          <w:p w14:paraId="71706CB6" w14:textId="37D659D2" w:rsidR="00063AE4" w:rsidRPr="00A11BB0" w:rsidRDefault="00063AE4" w:rsidP="00456761">
            <w:pPr>
              <w:spacing w:after="0"/>
              <w:jc w:val="center"/>
              <w:rPr>
                <w:rFonts w:ascii="Arial" w:hAnsi="Arial" w:cs="Arial"/>
                <w:lang w:val="en-GB"/>
              </w:rPr>
            </w:pPr>
            <w:r w:rsidRPr="00A11BB0">
              <w:rPr>
                <w:rFonts w:ascii="Arial" w:hAnsi="Arial" w:cs="Arial"/>
                <w:lang w:val="en-GB"/>
              </w:rPr>
              <w:t>16</w:t>
            </w:r>
          </w:p>
        </w:tc>
        <w:tc>
          <w:tcPr>
            <w:tcW w:w="2078" w:type="dxa"/>
          </w:tcPr>
          <w:p w14:paraId="01076B19" w14:textId="3EC72500" w:rsidR="00063AE4" w:rsidRPr="00A11BB0" w:rsidRDefault="00063AE4" w:rsidP="00063AE4">
            <w:pPr>
              <w:spacing w:after="0" w:line="240" w:lineRule="auto"/>
              <w:rPr>
                <w:rFonts w:ascii="Arial" w:hAnsi="Arial" w:cs="Arial"/>
                <w:lang w:val="en-GB"/>
              </w:rPr>
            </w:pPr>
            <w:r w:rsidRPr="00A11BB0">
              <w:rPr>
                <w:rFonts w:ascii="Arial" w:hAnsi="Arial" w:cs="Arial"/>
              </w:rPr>
              <w:t>BASA</w:t>
            </w:r>
          </w:p>
        </w:tc>
        <w:tc>
          <w:tcPr>
            <w:tcW w:w="2691" w:type="dxa"/>
          </w:tcPr>
          <w:p w14:paraId="14A43DA1" w14:textId="39F2C019" w:rsidR="00063AE4" w:rsidRPr="00A11BB0" w:rsidRDefault="00063AE4" w:rsidP="00063AE4">
            <w:pPr>
              <w:spacing w:after="0" w:line="240" w:lineRule="auto"/>
              <w:rPr>
                <w:rFonts w:ascii="Arial" w:hAnsi="Arial" w:cs="Arial"/>
                <w:lang w:val="en-GB"/>
              </w:rPr>
            </w:pPr>
            <w:r w:rsidRPr="00A11BB0">
              <w:rPr>
                <w:rFonts w:ascii="Arial" w:hAnsi="Arial" w:cs="Arial"/>
              </w:rPr>
              <w:t>-</w:t>
            </w:r>
          </w:p>
        </w:tc>
        <w:tc>
          <w:tcPr>
            <w:tcW w:w="7903" w:type="dxa"/>
          </w:tcPr>
          <w:p w14:paraId="7BDD0F05" w14:textId="30C046A4" w:rsidR="00063AE4" w:rsidRPr="00A11BB0" w:rsidRDefault="00063AE4" w:rsidP="00063AE4">
            <w:pPr>
              <w:spacing w:after="0" w:line="240" w:lineRule="auto"/>
              <w:rPr>
                <w:rFonts w:ascii="Arial" w:hAnsi="Arial" w:cs="Arial"/>
                <w:lang w:val="en-GB"/>
              </w:rPr>
            </w:pPr>
            <w:r w:rsidRPr="00A11BB0">
              <w:rPr>
                <w:rFonts w:ascii="Arial" w:hAnsi="Arial" w:cs="Arial"/>
                <w:lang w:val="en-GB"/>
              </w:rPr>
              <w:t>No comment</w:t>
            </w:r>
          </w:p>
        </w:tc>
        <w:tc>
          <w:tcPr>
            <w:tcW w:w="6416" w:type="dxa"/>
          </w:tcPr>
          <w:p w14:paraId="6A962DBC" w14:textId="5B62C6F6"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27387E59" w14:textId="0E7E9AA6" w:rsidTr="00532AB8">
        <w:tc>
          <w:tcPr>
            <w:tcW w:w="20974" w:type="dxa"/>
            <w:gridSpan w:val="5"/>
            <w:shd w:val="clear" w:color="auto" w:fill="D9D9D9" w:themeFill="background1" w:themeFillShade="D9"/>
          </w:tcPr>
          <w:p w14:paraId="29FF960B" w14:textId="4B636FF8" w:rsidR="00063AE4" w:rsidRPr="009D05E3" w:rsidRDefault="00063AE4" w:rsidP="004B610F">
            <w:pPr>
              <w:pStyle w:val="ListParagraph"/>
              <w:numPr>
                <w:ilvl w:val="0"/>
                <w:numId w:val="1"/>
              </w:numPr>
              <w:jc w:val="center"/>
              <w:rPr>
                <w:rFonts w:ascii="Arial" w:hAnsi="Arial" w:cs="Arial"/>
                <w:b/>
                <w:sz w:val="32"/>
                <w:szCs w:val="32"/>
                <w:lang w:val="en-GB"/>
              </w:rPr>
            </w:pPr>
            <w:r w:rsidRPr="009D05E3">
              <w:rPr>
                <w:rFonts w:ascii="Arial" w:hAnsi="Arial" w:cs="Arial"/>
                <w:b/>
                <w:sz w:val="32"/>
                <w:szCs w:val="32"/>
                <w:lang w:val="en-GB"/>
              </w:rPr>
              <w:t>Definitions</w:t>
            </w:r>
            <w:r>
              <w:rPr>
                <w:rFonts w:ascii="Arial" w:hAnsi="Arial" w:cs="Arial"/>
                <w:b/>
                <w:sz w:val="32"/>
                <w:szCs w:val="32"/>
                <w:lang w:val="en-GB"/>
              </w:rPr>
              <w:t xml:space="preserve"> and interpretation</w:t>
            </w:r>
          </w:p>
        </w:tc>
      </w:tr>
      <w:tr w:rsidR="00063AE4" w:rsidRPr="009D05E3" w14:paraId="7C53A6B0" w14:textId="77777777" w:rsidTr="00515BD8">
        <w:trPr>
          <w:trHeight w:val="197"/>
        </w:trPr>
        <w:tc>
          <w:tcPr>
            <w:tcW w:w="1886" w:type="dxa"/>
            <w:shd w:val="clear" w:color="auto" w:fill="auto"/>
          </w:tcPr>
          <w:p w14:paraId="5BFC328E" w14:textId="690535D1" w:rsidR="00063AE4" w:rsidRPr="00A11BB0" w:rsidRDefault="00A459CC" w:rsidP="00456761">
            <w:pPr>
              <w:spacing w:after="0"/>
              <w:jc w:val="center"/>
              <w:rPr>
                <w:rFonts w:ascii="Arial" w:hAnsi="Arial" w:cs="Arial"/>
                <w:lang w:val="en-GB"/>
              </w:rPr>
            </w:pPr>
            <w:r w:rsidRPr="00A11BB0">
              <w:rPr>
                <w:rFonts w:ascii="Arial" w:hAnsi="Arial" w:cs="Arial"/>
                <w:lang w:val="en-GB"/>
              </w:rPr>
              <w:t>17</w:t>
            </w:r>
          </w:p>
        </w:tc>
        <w:tc>
          <w:tcPr>
            <w:tcW w:w="2078" w:type="dxa"/>
            <w:shd w:val="clear" w:color="auto" w:fill="auto"/>
          </w:tcPr>
          <w:p w14:paraId="752C6160" w14:textId="5C6F7B26" w:rsidR="00063AE4" w:rsidRPr="00A11BB0" w:rsidRDefault="00063AE4" w:rsidP="00063AE4">
            <w:pPr>
              <w:spacing w:after="0" w:line="240" w:lineRule="auto"/>
              <w:jc w:val="both"/>
              <w:rPr>
                <w:rFonts w:ascii="Arial" w:hAnsi="Arial" w:cs="Arial"/>
                <w:lang w:val="en-GB"/>
              </w:rPr>
            </w:pPr>
            <w:r w:rsidRPr="00A11BB0">
              <w:rPr>
                <w:rFonts w:ascii="Arial" w:hAnsi="Arial" w:cs="Arial"/>
              </w:rPr>
              <w:t>CLS</w:t>
            </w:r>
          </w:p>
        </w:tc>
        <w:tc>
          <w:tcPr>
            <w:tcW w:w="2691" w:type="dxa"/>
            <w:shd w:val="clear" w:color="auto" w:fill="auto"/>
          </w:tcPr>
          <w:p w14:paraId="42A0A061" w14:textId="1B7DDA69" w:rsidR="00063AE4" w:rsidRPr="00A11BB0" w:rsidRDefault="00063AE4" w:rsidP="00063AE4">
            <w:pPr>
              <w:spacing w:after="0" w:line="240" w:lineRule="auto"/>
              <w:jc w:val="both"/>
              <w:rPr>
                <w:rFonts w:ascii="Arial" w:hAnsi="Arial" w:cs="Arial"/>
                <w:lang w:val="en-GB"/>
              </w:rPr>
            </w:pPr>
            <w:r w:rsidRPr="00A11BB0">
              <w:rPr>
                <w:rFonts w:ascii="Arial" w:hAnsi="Arial" w:cs="Arial"/>
                <w:lang w:val="en-GB"/>
              </w:rPr>
              <w:t>3.1</w:t>
            </w:r>
          </w:p>
        </w:tc>
        <w:tc>
          <w:tcPr>
            <w:tcW w:w="7903" w:type="dxa"/>
            <w:shd w:val="clear" w:color="auto" w:fill="auto"/>
          </w:tcPr>
          <w:p w14:paraId="39139BB0" w14:textId="77777777" w:rsidR="00063AE4" w:rsidRPr="00A11BB0" w:rsidRDefault="00063AE4" w:rsidP="00063AE4">
            <w:pPr>
              <w:spacing w:after="120"/>
              <w:rPr>
                <w:rFonts w:ascii="Arial" w:hAnsi="Arial" w:cs="Arial"/>
                <w:bCs/>
              </w:rPr>
            </w:pPr>
            <w:r w:rsidRPr="00A11BB0">
              <w:rPr>
                <w:rFonts w:ascii="Arial" w:hAnsi="Arial" w:cs="Arial"/>
                <w:bCs/>
              </w:rPr>
              <w:t>It is proposed that the following terms are added in the definitions and interpretation section:</w:t>
            </w:r>
          </w:p>
          <w:p w14:paraId="40486E7A" w14:textId="77777777" w:rsidR="00063AE4" w:rsidRPr="00A11BB0" w:rsidRDefault="00063AE4" w:rsidP="004B610F">
            <w:pPr>
              <w:pStyle w:val="ListParagraph"/>
              <w:numPr>
                <w:ilvl w:val="0"/>
                <w:numId w:val="10"/>
              </w:numPr>
              <w:spacing w:after="120"/>
              <w:rPr>
                <w:rFonts w:ascii="Arial" w:hAnsi="Arial" w:cs="Arial"/>
                <w:bCs/>
              </w:rPr>
            </w:pPr>
            <w:r w:rsidRPr="00A11BB0">
              <w:rPr>
                <w:rFonts w:ascii="Arial" w:hAnsi="Arial" w:cs="Arial"/>
                <w:bCs/>
              </w:rPr>
              <w:t>the “</w:t>
            </w:r>
            <w:r w:rsidRPr="00A11BB0">
              <w:rPr>
                <w:rFonts w:ascii="Arial" w:hAnsi="Arial" w:cs="Arial"/>
                <w:bCs/>
                <w:i/>
                <w:iCs/>
              </w:rPr>
              <w:t>National Payment System Act 78 of 1998, as amended (the "NPS Act")”,</w:t>
            </w:r>
            <w:r w:rsidRPr="00A11BB0">
              <w:rPr>
                <w:rFonts w:ascii="Arial" w:hAnsi="Arial" w:cs="Arial"/>
                <w:bCs/>
              </w:rPr>
              <w:t xml:space="preserve"> </w:t>
            </w:r>
          </w:p>
          <w:p w14:paraId="35C3195C" w14:textId="77777777" w:rsidR="00063AE4" w:rsidRPr="00A11BB0" w:rsidRDefault="00063AE4" w:rsidP="004B610F">
            <w:pPr>
              <w:pStyle w:val="ListParagraph"/>
              <w:numPr>
                <w:ilvl w:val="0"/>
                <w:numId w:val="10"/>
              </w:numPr>
              <w:spacing w:after="120"/>
              <w:rPr>
                <w:rFonts w:ascii="Arial" w:hAnsi="Arial" w:cs="Arial"/>
                <w:bCs/>
              </w:rPr>
            </w:pPr>
            <w:r w:rsidRPr="00A11BB0">
              <w:rPr>
                <w:rFonts w:ascii="Arial" w:hAnsi="Arial" w:cs="Arial"/>
                <w:bCs/>
              </w:rPr>
              <w:t>the “</w:t>
            </w:r>
            <w:r w:rsidRPr="00A11BB0">
              <w:rPr>
                <w:rFonts w:ascii="Arial" w:hAnsi="Arial" w:cs="Arial"/>
                <w:bCs/>
                <w:i/>
                <w:iCs/>
              </w:rPr>
              <w:t>Financial Sector Regulation Act 9 of 2017, as amended (the "FSR Act")”</w:t>
            </w:r>
            <w:r w:rsidRPr="00A11BB0">
              <w:rPr>
                <w:rFonts w:ascii="Arial" w:hAnsi="Arial" w:cs="Arial"/>
                <w:bCs/>
              </w:rPr>
              <w:t xml:space="preserve"> and</w:t>
            </w:r>
          </w:p>
          <w:p w14:paraId="2735707F" w14:textId="18B0AC80" w:rsidR="00063AE4" w:rsidRPr="00A11BB0" w:rsidRDefault="00063AE4" w:rsidP="00063AE4">
            <w:pPr>
              <w:pStyle w:val="ListParagraph"/>
              <w:ind w:left="360" w:hanging="360"/>
              <w:rPr>
                <w:rFonts w:ascii="Arial" w:hAnsi="Arial" w:cs="Arial"/>
                <w:lang w:val="en-GB"/>
              </w:rPr>
            </w:pPr>
            <w:r w:rsidRPr="00593092">
              <w:rPr>
                <w:rFonts w:ascii="Arial" w:hAnsi="Arial" w:cs="Arial"/>
                <w:bCs/>
                <w:color w:val="000000" w:themeColor="text1"/>
              </w:rPr>
              <w:t>"</w:t>
            </w:r>
            <w:proofErr w:type="gramStart"/>
            <w:r w:rsidRPr="00593092">
              <w:rPr>
                <w:rFonts w:ascii="Arial" w:hAnsi="Arial" w:cs="Arial"/>
                <w:bCs/>
                <w:i/>
                <w:iCs/>
                <w:color w:val="000000" w:themeColor="text1"/>
              </w:rPr>
              <w:t>designated</w:t>
            </w:r>
            <w:proofErr w:type="gramEnd"/>
            <w:r w:rsidRPr="00593092">
              <w:rPr>
                <w:rFonts w:ascii="Arial" w:hAnsi="Arial" w:cs="Arial"/>
                <w:bCs/>
                <w:i/>
                <w:iCs/>
                <w:color w:val="000000" w:themeColor="text1"/>
              </w:rPr>
              <w:t xml:space="preserve"> settlement system</w:t>
            </w:r>
            <w:r w:rsidRPr="00593092">
              <w:rPr>
                <w:rFonts w:ascii="Arial" w:hAnsi="Arial" w:cs="Arial"/>
                <w:bCs/>
                <w:color w:val="000000" w:themeColor="text1"/>
              </w:rPr>
              <w:t xml:space="preserve">" </w:t>
            </w:r>
            <w:r w:rsidRPr="00593092">
              <w:rPr>
                <w:rFonts w:ascii="Arial" w:hAnsi="Arial" w:cs="Arial"/>
                <w:bCs/>
                <w:i/>
                <w:iCs/>
                <w:color w:val="000000" w:themeColor="text1"/>
              </w:rPr>
              <w:t>as defined in the NPS Act</w:t>
            </w:r>
            <w:r w:rsidRPr="00593092">
              <w:rPr>
                <w:rFonts w:ascii="Arial" w:hAnsi="Arial" w:cs="Arial"/>
                <w:bCs/>
                <w:color w:val="000000" w:themeColor="text1"/>
              </w:rPr>
              <w:t>”.</w:t>
            </w:r>
          </w:p>
        </w:tc>
        <w:tc>
          <w:tcPr>
            <w:tcW w:w="6416" w:type="dxa"/>
            <w:shd w:val="clear" w:color="auto" w:fill="auto"/>
          </w:tcPr>
          <w:p w14:paraId="52369DC9" w14:textId="0882C60C" w:rsidR="002856AE" w:rsidRPr="006B5306" w:rsidRDefault="009C0185" w:rsidP="00063AE4">
            <w:pPr>
              <w:spacing w:after="0" w:line="240" w:lineRule="auto"/>
              <w:jc w:val="both"/>
              <w:rPr>
                <w:rFonts w:ascii="Arial" w:hAnsi="Arial" w:cs="Arial"/>
                <w:lang w:val="en-GB"/>
              </w:rPr>
            </w:pPr>
            <w:r w:rsidRPr="006B5306">
              <w:rPr>
                <w:rFonts w:ascii="Arial" w:hAnsi="Arial" w:cs="Arial"/>
                <w:lang w:val="en-GB"/>
              </w:rPr>
              <w:t xml:space="preserve">The </w:t>
            </w:r>
            <w:r w:rsidR="00DA560E">
              <w:rPr>
                <w:rFonts w:ascii="Arial" w:hAnsi="Arial" w:cs="Arial"/>
                <w:lang w:val="en-GB"/>
              </w:rPr>
              <w:t>Authorities</w:t>
            </w:r>
            <w:r w:rsidR="00626D51" w:rsidRPr="006B5306">
              <w:rPr>
                <w:rFonts w:ascii="Arial" w:hAnsi="Arial" w:cs="Arial"/>
                <w:lang w:val="en-GB"/>
              </w:rPr>
              <w:t xml:space="preserve"> </w:t>
            </w:r>
            <w:r w:rsidR="005B1C72">
              <w:rPr>
                <w:rFonts w:ascii="Arial" w:hAnsi="Arial" w:cs="Arial"/>
                <w:lang w:val="en-GB"/>
              </w:rPr>
              <w:t>ha</w:t>
            </w:r>
            <w:r w:rsidR="00312DCF">
              <w:rPr>
                <w:rFonts w:ascii="Arial" w:hAnsi="Arial" w:cs="Arial"/>
                <w:lang w:val="en-GB"/>
              </w:rPr>
              <w:t>ve</w:t>
            </w:r>
            <w:r w:rsidR="005B1C72">
              <w:rPr>
                <w:rFonts w:ascii="Arial" w:hAnsi="Arial" w:cs="Arial"/>
                <w:lang w:val="en-GB"/>
              </w:rPr>
              <w:t xml:space="preserve"> amended the Standard to include the following definitions</w:t>
            </w:r>
            <w:r w:rsidR="00312DCF">
              <w:rPr>
                <w:rFonts w:ascii="Arial" w:hAnsi="Arial" w:cs="Arial"/>
                <w:lang w:val="en-GB"/>
              </w:rPr>
              <w:t xml:space="preserve"> </w:t>
            </w:r>
            <w:r w:rsidR="00DD0FFB" w:rsidRPr="006B5306">
              <w:rPr>
                <w:rFonts w:ascii="Arial" w:hAnsi="Arial" w:cs="Arial"/>
                <w:lang w:val="en-GB"/>
              </w:rPr>
              <w:t xml:space="preserve">under section </w:t>
            </w:r>
            <w:r w:rsidR="00906E76" w:rsidRPr="006B5306">
              <w:rPr>
                <w:rFonts w:ascii="Arial" w:hAnsi="Arial" w:cs="Arial"/>
                <w:lang w:val="en-GB"/>
              </w:rPr>
              <w:t>3.1</w:t>
            </w:r>
            <w:r w:rsidR="00906E76">
              <w:rPr>
                <w:rFonts w:ascii="Arial" w:hAnsi="Arial" w:cs="Arial"/>
                <w:lang w:val="en-GB"/>
              </w:rPr>
              <w:t>:</w:t>
            </w:r>
          </w:p>
          <w:p w14:paraId="5B223514" w14:textId="77777777" w:rsidR="002856AE" w:rsidRPr="006B5306" w:rsidRDefault="002856AE" w:rsidP="00063AE4">
            <w:pPr>
              <w:spacing w:after="0" w:line="240" w:lineRule="auto"/>
              <w:jc w:val="both"/>
              <w:rPr>
                <w:rFonts w:ascii="Arial" w:hAnsi="Arial" w:cs="Arial"/>
                <w:lang w:val="en-GB"/>
              </w:rPr>
            </w:pPr>
          </w:p>
          <w:p w14:paraId="24220E30" w14:textId="585B6056" w:rsidR="002856AE" w:rsidRPr="006B5306" w:rsidRDefault="002856AE" w:rsidP="002856AE">
            <w:pPr>
              <w:pStyle w:val="ListParagraph"/>
              <w:numPr>
                <w:ilvl w:val="0"/>
                <w:numId w:val="22"/>
              </w:numPr>
              <w:jc w:val="both"/>
              <w:rPr>
                <w:rFonts w:ascii="Arial" w:hAnsi="Arial" w:cs="Arial"/>
                <w:lang w:val="en-GB"/>
              </w:rPr>
            </w:pPr>
            <w:r w:rsidRPr="006B5306">
              <w:rPr>
                <w:rFonts w:ascii="Arial" w:hAnsi="Arial" w:cs="Arial"/>
                <w:lang w:val="en-GB"/>
              </w:rPr>
              <w:t>Settlement systems</w:t>
            </w:r>
            <w:r w:rsidR="00054DBB">
              <w:rPr>
                <w:rFonts w:ascii="Arial" w:hAnsi="Arial" w:cs="Arial"/>
                <w:lang w:val="en-GB"/>
              </w:rPr>
              <w:t>;</w:t>
            </w:r>
            <w:r w:rsidRPr="006B5306">
              <w:rPr>
                <w:rFonts w:ascii="Arial" w:hAnsi="Arial" w:cs="Arial"/>
                <w:lang w:val="en-GB"/>
              </w:rPr>
              <w:t xml:space="preserve"> and </w:t>
            </w:r>
          </w:p>
          <w:p w14:paraId="394C7E3D" w14:textId="6055ED5F" w:rsidR="002856AE" w:rsidRPr="006B5306" w:rsidRDefault="002856AE" w:rsidP="002856AE">
            <w:pPr>
              <w:pStyle w:val="ListParagraph"/>
              <w:numPr>
                <w:ilvl w:val="0"/>
                <w:numId w:val="22"/>
              </w:numPr>
              <w:jc w:val="both"/>
              <w:rPr>
                <w:rFonts w:ascii="Arial" w:hAnsi="Arial" w:cs="Arial"/>
                <w:lang w:val="en-GB"/>
              </w:rPr>
            </w:pPr>
            <w:r w:rsidRPr="006B5306">
              <w:rPr>
                <w:rFonts w:ascii="Arial" w:hAnsi="Arial" w:cs="Arial"/>
                <w:lang w:val="en-GB"/>
              </w:rPr>
              <w:t>Designated settlement systems.</w:t>
            </w:r>
          </w:p>
          <w:p w14:paraId="0A0CE750" w14:textId="77777777" w:rsidR="002856AE" w:rsidRPr="006B5306" w:rsidRDefault="002856AE" w:rsidP="00063AE4">
            <w:pPr>
              <w:spacing w:after="0" w:line="240" w:lineRule="auto"/>
              <w:jc w:val="both"/>
              <w:rPr>
                <w:rFonts w:ascii="Arial" w:hAnsi="Arial" w:cs="Arial"/>
                <w:lang w:val="en-GB"/>
              </w:rPr>
            </w:pPr>
          </w:p>
          <w:p w14:paraId="428EB9C6" w14:textId="74500B62" w:rsidR="002856AE" w:rsidRPr="006B5306" w:rsidRDefault="002856AE" w:rsidP="00063AE4">
            <w:pPr>
              <w:spacing w:after="0" w:line="240" w:lineRule="auto"/>
              <w:jc w:val="both"/>
              <w:rPr>
                <w:rFonts w:ascii="Arial" w:hAnsi="Arial" w:cs="Arial"/>
                <w:lang w:val="en-GB"/>
              </w:rPr>
            </w:pPr>
          </w:p>
          <w:p w14:paraId="4B53ED95" w14:textId="18D412A5" w:rsidR="00442AD4" w:rsidRPr="006B5306" w:rsidRDefault="00442AD4" w:rsidP="00063AE4">
            <w:pPr>
              <w:spacing w:after="0" w:line="240" w:lineRule="auto"/>
              <w:jc w:val="both"/>
              <w:rPr>
                <w:rFonts w:ascii="Arial" w:hAnsi="Arial" w:cs="Arial"/>
                <w:lang w:val="en-GB"/>
              </w:rPr>
            </w:pPr>
          </w:p>
          <w:p w14:paraId="48298803" w14:textId="084AA609" w:rsidR="009C0185" w:rsidRPr="006B5306" w:rsidRDefault="009C0185" w:rsidP="00063AE4">
            <w:pPr>
              <w:spacing w:after="0" w:line="240" w:lineRule="auto"/>
              <w:jc w:val="both"/>
              <w:rPr>
                <w:rFonts w:ascii="Arial" w:hAnsi="Arial" w:cs="Arial"/>
                <w:lang w:val="en-GB"/>
              </w:rPr>
            </w:pPr>
            <w:r w:rsidRPr="006B5306">
              <w:rPr>
                <w:rFonts w:ascii="Arial" w:hAnsi="Arial" w:cs="Arial"/>
                <w:lang w:val="en-GB"/>
              </w:rPr>
              <w:t xml:space="preserve"> </w:t>
            </w:r>
          </w:p>
        </w:tc>
      </w:tr>
      <w:tr w:rsidR="00063AE4" w:rsidRPr="009D05E3" w14:paraId="22D1A9A0" w14:textId="77777777" w:rsidTr="00FC2C40">
        <w:trPr>
          <w:trHeight w:val="303"/>
        </w:trPr>
        <w:tc>
          <w:tcPr>
            <w:tcW w:w="1886" w:type="dxa"/>
          </w:tcPr>
          <w:p w14:paraId="21435604" w14:textId="62115E64" w:rsidR="00063AE4" w:rsidRPr="00A11BB0" w:rsidRDefault="00A459CC" w:rsidP="00456761">
            <w:pPr>
              <w:spacing w:after="0"/>
              <w:jc w:val="center"/>
              <w:rPr>
                <w:rFonts w:ascii="Arial" w:hAnsi="Arial" w:cs="Arial"/>
                <w:lang w:val="en-GB"/>
              </w:rPr>
            </w:pPr>
            <w:r w:rsidRPr="00A11BB0">
              <w:rPr>
                <w:rFonts w:ascii="Arial" w:hAnsi="Arial" w:cs="Arial"/>
                <w:lang w:val="en-GB"/>
              </w:rPr>
              <w:t>18</w:t>
            </w:r>
          </w:p>
        </w:tc>
        <w:tc>
          <w:tcPr>
            <w:tcW w:w="2078" w:type="dxa"/>
          </w:tcPr>
          <w:p w14:paraId="2F47896F" w14:textId="3BD44941" w:rsidR="00063AE4" w:rsidRPr="00A11BB0" w:rsidRDefault="00063AE4" w:rsidP="00063AE4">
            <w:pPr>
              <w:spacing w:after="0" w:line="240" w:lineRule="auto"/>
              <w:jc w:val="both"/>
              <w:rPr>
                <w:rFonts w:ascii="Arial" w:hAnsi="Arial" w:cs="Arial"/>
                <w:lang w:val="en-GB"/>
              </w:rPr>
            </w:pPr>
            <w:r w:rsidRPr="00A11BB0">
              <w:rPr>
                <w:rFonts w:ascii="Arial" w:hAnsi="Arial" w:cs="Arial"/>
              </w:rPr>
              <w:t>FirstRand</w:t>
            </w:r>
          </w:p>
        </w:tc>
        <w:tc>
          <w:tcPr>
            <w:tcW w:w="2691" w:type="dxa"/>
          </w:tcPr>
          <w:p w14:paraId="667020B8" w14:textId="215CE7C6" w:rsidR="00063AE4" w:rsidRPr="00A11BB0" w:rsidRDefault="00063AE4" w:rsidP="00063AE4">
            <w:pPr>
              <w:spacing w:after="0" w:line="240" w:lineRule="auto"/>
              <w:jc w:val="both"/>
              <w:rPr>
                <w:rFonts w:ascii="Arial" w:hAnsi="Arial" w:cs="Arial"/>
                <w:lang w:val="en-GB"/>
              </w:rPr>
            </w:pPr>
            <w:r w:rsidRPr="00A11BB0">
              <w:rPr>
                <w:rFonts w:ascii="Arial" w:hAnsi="Arial" w:cs="Arial"/>
                <w:lang w:val="en-GB"/>
              </w:rPr>
              <w:t>-</w:t>
            </w:r>
          </w:p>
        </w:tc>
        <w:tc>
          <w:tcPr>
            <w:tcW w:w="7903" w:type="dxa"/>
          </w:tcPr>
          <w:p w14:paraId="76A411ED" w14:textId="054F39FC" w:rsidR="00063AE4" w:rsidRPr="00A11BB0" w:rsidRDefault="00063AE4" w:rsidP="00063AE4">
            <w:pPr>
              <w:pStyle w:val="ListParagraph"/>
              <w:ind w:left="360" w:hanging="360"/>
              <w:rPr>
                <w:rFonts w:ascii="Arial" w:hAnsi="Arial" w:cs="Arial"/>
                <w:lang w:val="en-GB"/>
              </w:rPr>
            </w:pPr>
            <w:r w:rsidRPr="00A11BB0">
              <w:rPr>
                <w:rFonts w:ascii="Arial" w:hAnsi="Arial" w:cs="Arial"/>
                <w:lang w:val="en-GB"/>
              </w:rPr>
              <w:t>No comment</w:t>
            </w:r>
          </w:p>
        </w:tc>
        <w:tc>
          <w:tcPr>
            <w:tcW w:w="6416" w:type="dxa"/>
          </w:tcPr>
          <w:p w14:paraId="0F509E32" w14:textId="08346948" w:rsidR="00063AE4" w:rsidRPr="00A11BB0" w:rsidRDefault="00063AE4" w:rsidP="00063AE4">
            <w:pPr>
              <w:spacing w:after="0" w:line="240" w:lineRule="auto"/>
              <w:jc w:val="both"/>
              <w:rPr>
                <w:rFonts w:ascii="Arial" w:hAnsi="Arial" w:cs="Arial"/>
                <w:lang w:val="en-GB"/>
              </w:rPr>
            </w:pPr>
            <w:r w:rsidRPr="00A11BB0">
              <w:rPr>
                <w:rFonts w:ascii="Arial" w:hAnsi="Arial" w:cs="Arial"/>
                <w:lang w:val="en-GB"/>
              </w:rPr>
              <w:t>Noted</w:t>
            </w:r>
          </w:p>
        </w:tc>
      </w:tr>
      <w:tr w:rsidR="00063AE4" w:rsidRPr="009D05E3" w14:paraId="544CE633" w14:textId="77777777" w:rsidTr="00FC2C40">
        <w:tc>
          <w:tcPr>
            <w:tcW w:w="1886" w:type="dxa"/>
          </w:tcPr>
          <w:p w14:paraId="39283C55" w14:textId="09BD9224" w:rsidR="00063AE4" w:rsidRPr="00A11BB0" w:rsidRDefault="00A459CC" w:rsidP="00456761">
            <w:pPr>
              <w:spacing w:after="0"/>
              <w:jc w:val="center"/>
              <w:rPr>
                <w:rFonts w:ascii="Arial" w:hAnsi="Arial" w:cs="Arial"/>
                <w:lang w:val="en-GB"/>
              </w:rPr>
            </w:pPr>
            <w:r w:rsidRPr="00A11BB0">
              <w:rPr>
                <w:rFonts w:ascii="Arial" w:hAnsi="Arial" w:cs="Arial"/>
                <w:lang w:val="en-GB"/>
              </w:rPr>
              <w:t>19</w:t>
            </w:r>
          </w:p>
        </w:tc>
        <w:tc>
          <w:tcPr>
            <w:tcW w:w="2078" w:type="dxa"/>
          </w:tcPr>
          <w:p w14:paraId="579F5767" w14:textId="40D3EA58" w:rsidR="00063AE4" w:rsidRPr="00A11BB0" w:rsidRDefault="008F52D4" w:rsidP="00063AE4">
            <w:pPr>
              <w:spacing w:after="0" w:line="240" w:lineRule="auto"/>
              <w:jc w:val="both"/>
              <w:rPr>
                <w:rFonts w:ascii="Arial" w:hAnsi="Arial" w:cs="Arial"/>
                <w:lang w:val="en-GB"/>
              </w:rPr>
            </w:pPr>
            <w:r w:rsidRPr="00A11BB0">
              <w:rPr>
                <w:rFonts w:ascii="Arial" w:hAnsi="Arial" w:cs="Arial"/>
              </w:rPr>
              <w:t>Grindrod</w:t>
            </w:r>
          </w:p>
        </w:tc>
        <w:tc>
          <w:tcPr>
            <w:tcW w:w="2691" w:type="dxa"/>
          </w:tcPr>
          <w:p w14:paraId="16E8F20C" w14:textId="23487C58" w:rsidR="00063AE4" w:rsidRPr="00A11BB0" w:rsidRDefault="00063AE4" w:rsidP="00063AE4">
            <w:pPr>
              <w:spacing w:after="0" w:line="240" w:lineRule="auto"/>
              <w:jc w:val="both"/>
              <w:rPr>
                <w:rFonts w:ascii="Arial" w:hAnsi="Arial" w:cs="Arial"/>
                <w:lang w:val="en-GB"/>
              </w:rPr>
            </w:pPr>
            <w:r w:rsidRPr="00A11BB0">
              <w:rPr>
                <w:rFonts w:ascii="Arial" w:hAnsi="Arial" w:cs="Arial"/>
                <w:lang w:val="en-GB"/>
              </w:rPr>
              <w:t>-</w:t>
            </w:r>
          </w:p>
        </w:tc>
        <w:tc>
          <w:tcPr>
            <w:tcW w:w="7903" w:type="dxa"/>
          </w:tcPr>
          <w:p w14:paraId="019A71DB" w14:textId="2ED6FA76" w:rsidR="00063AE4" w:rsidRPr="00A11BB0" w:rsidRDefault="00063AE4" w:rsidP="00063AE4">
            <w:pPr>
              <w:pStyle w:val="ListParagraph"/>
              <w:ind w:left="360" w:hanging="360"/>
              <w:rPr>
                <w:rFonts w:ascii="Arial" w:hAnsi="Arial" w:cs="Arial"/>
                <w:lang w:val="en-GB"/>
              </w:rPr>
            </w:pPr>
            <w:r w:rsidRPr="00A11BB0">
              <w:rPr>
                <w:rFonts w:ascii="Arial" w:hAnsi="Arial" w:cs="Arial"/>
                <w:lang w:val="en-GB"/>
              </w:rPr>
              <w:t>No comment</w:t>
            </w:r>
          </w:p>
        </w:tc>
        <w:tc>
          <w:tcPr>
            <w:tcW w:w="6416" w:type="dxa"/>
          </w:tcPr>
          <w:p w14:paraId="1D0E9A94" w14:textId="08534714" w:rsidR="00063AE4" w:rsidRPr="00A11BB0" w:rsidRDefault="00063AE4" w:rsidP="00063AE4">
            <w:pPr>
              <w:spacing w:after="0" w:line="240" w:lineRule="auto"/>
              <w:jc w:val="both"/>
              <w:rPr>
                <w:rFonts w:ascii="Arial" w:hAnsi="Arial" w:cs="Arial"/>
                <w:lang w:val="en-GB"/>
              </w:rPr>
            </w:pPr>
            <w:r w:rsidRPr="00A11BB0">
              <w:rPr>
                <w:rFonts w:ascii="Arial" w:eastAsia="Times New Roman" w:hAnsi="Arial" w:cs="Arial"/>
                <w:lang w:val="en-GB"/>
              </w:rPr>
              <w:t>Noted</w:t>
            </w:r>
          </w:p>
        </w:tc>
      </w:tr>
      <w:tr w:rsidR="00063AE4" w:rsidRPr="009D05E3" w14:paraId="78453CFB" w14:textId="77777777" w:rsidTr="00FC2C40">
        <w:tc>
          <w:tcPr>
            <w:tcW w:w="1886" w:type="dxa"/>
          </w:tcPr>
          <w:p w14:paraId="57A3D448" w14:textId="2AEBDBFB" w:rsidR="00063AE4" w:rsidRPr="00A11BB0" w:rsidRDefault="00A459CC" w:rsidP="00456761">
            <w:pPr>
              <w:spacing w:after="0"/>
              <w:jc w:val="center"/>
              <w:rPr>
                <w:rFonts w:ascii="Arial" w:hAnsi="Arial" w:cs="Arial"/>
                <w:lang w:val="en-GB"/>
              </w:rPr>
            </w:pPr>
            <w:r w:rsidRPr="00A11BB0">
              <w:rPr>
                <w:rFonts w:ascii="Arial" w:hAnsi="Arial" w:cs="Arial"/>
                <w:lang w:val="en-GB"/>
              </w:rPr>
              <w:t>20</w:t>
            </w:r>
          </w:p>
        </w:tc>
        <w:tc>
          <w:tcPr>
            <w:tcW w:w="2078" w:type="dxa"/>
          </w:tcPr>
          <w:p w14:paraId="4313C2D2" w14:textId="7880121A" w:rsidR="00063AE4" w:rsidRPr="00A11BB0" w:rsidRDefault="00063AE4" w:rsidP="00063AE4">
            <w:pPr>
              <w:spacing w:after="0" w:line="240" w:lineRule="auto"/>
              <w:jc w:val="both"/>
              <w:rPr>
                <w:rFonts w:ascii="Arial" w:hAnsi="Arial" w:cs="Arial"/>
                <w:lang w:val="en-GB"/>
              </w:rPr>
            </w:pPr>
            <w:r w:rsidRPr="00A11BB0">
              <w:rPr>
                <w:rFonts w:ascii="Arial" w:hAnsi="Arial" w:cs="Arial"/>
              </w:rPr>
              <w:t>Habib Bank</w:t>
            </w:r>
          </w:p>
        </w:tc>
        <w:tc>
          <w:tcPr>
            <w:tcW w:w="2691" w:type="dxa"/>
          </w:tcPr>
          <w:p w14:paraId="6825C502" w14:textId="69976641" w:rsidR="00063AE4" w:rsidRPr="00A11BB0" w:rsidRDefault="00063AE4" w:rsidP="00063AE4">
            <w:pPr>
              <w:spacing w:after="0" w:line="240" w:lineRule="auto"/>
              <w:jc w:val="both"/>
              <w:rPr>
                <w:rFonts w:ascii="Arial" w:hAnsi="Arial" w:cs="Arial"/>
                <w:lang w:val="en-GB"/>
              </w:rPr>
            </w:pPr>
            <w:r w:rsidRPr="00A11BB0">
              <w:rPr>
                <w:rFonts w:ascii="Arial" w:hAnsi="Arial" w:cs="Arial"/>
              </w:rPr>
              <w:t>-</w:t>
            </w:r>
          </w:p>
        </w:tc>
        <w:tc>
          <w:tcPr>
            <w:tcW w:w="7903" w:type="dxa"/>
          </w:tcPr>
          <w:p w14:paraId="0C03CBF3" w14:textId="703AC9A4" w:rsidR="00063AE4" w:rsidRPr="00A11BB0" w:rsidRDefault="00063AE4" w:rsidP="00063AE4">
            <w:pPr>
              <w:pStyle w:val="ListParagraph"/>
              <w:ind w:left="360" w:hanging="360"/>
              <w:rPr>
                <w:rFonts w:ascii="Arial" w:hAnsi="Arial" w:cs="Arial"/>
                <w:lang w:val="en-GB"/>
              </w:rPr>
            </w:pPr>
            <w:r w:rsidRPr="00A11BB0">
              <w:rPr>
                <w:rFonts w:ascii="Arial" w:hAnsi="Arial" w:cs="Arial"/>
                <w:lang w:val="en-GB"/>
              </w:rPr>
              <w:t>No comment</w:t>
            </w:r>
          </w:p>
        </w:tc>
        <w:tc>
          <w:tcPr>
            <w:tcW w:w="6416" w:type="dxa"/>
          </w:tcPr>
          <w:p w14:paraId="08B3E42D" w14:textId="1A56865A" w:rsidR="00063AE4" w:rsidRPr="00A11BB0" w:rsidRDefault="00063AE4" w:rsidP="00063AE4">
            <w:pPr>
              <w:spacing w:after="0" w:line="240" w:lineRule="auto"/>
              <w:jc w:val="both"/>
              <w:rPr>
                <w:rFonts w:ascii="Arial" w:hAnsi="Arial" w:cs="Arial"/>
                <w:lang w:val="en-GB"/>
              </w:rPr>
            </w:pPr>
            <w:r w:rsidRPr="00A11BB0">
              <w:rPr>
                <w:rFonts w:ascii="Arial" w:eastAsia="Times New Roman" w:hAnsi="Arial" w:cs="Arial"/>
                <w:lang w:val="en-GB"/>
              </w:rPr>
              <w:t>Noted</w:t>
            </w:r>
          </w:p>
        </w:tc>
      </w:tr>
      <w:tr w:rsidR="00063AE4" w:rsidRPr="009D05E3" w14:paraId="0F2B9AFF" w14:textId="77777777" w:rsidTr="00FC2C40">
        <w:tc>
          <w:tcPr>
            <w:tcW w:w="1886" w:type="dxa"/>
          </w:tcPr>
          <w:p w14:paraId="71AF4D05" w14:textId="30EB3CDF" w:rsidR="00063AE4" w:rsidRPr="00A11BB0" w:rsidRDefault="00A459CC" w:rsidP="00456761">
            <w:pPr>
              <w:spacing w:after="0"/>
              <w:jc w:val="center"/>
              <w:rPr>
                <w:rFonts w:ascii="Arial" w:hAnsi="Arial" w:cs="Arial"/>
                <w:lang w:val="en-GB"/>
              </w:rPr>
            </w:pPr>
            <w:r w:rsidRPr="00A11BB0">
              <w:rPr>
                <w:rFonts w:ascii="Arial" w:hAnsi="Arial" w:cs="Arial"/>
                <w:lang w:val="en-GB"/>
              </w:rPr>
              <w:t>21</w:t>
            </w:r>
          </w:p>
        </w:tc>
        <w:tc>
          <w:tcPr>
            <w:tcW w:w="2078" w:type="dxa"/>
          </w:tcPr>
          <w:p w14:paraId="6D2ABAAA" w14:textId="6443605C" w:rsidR="00063AE4" w:rsidRPr="00A11BB0" w:rsidRDefault="00063AE4" w:rsidP="00063AE4">
            <w:pPr>
              <w:spacing w:after="0" w:line="240" w:lineRule="auto"/>
              <w:jc w:val="both"/>
              <w:rPr>
                <w:rFonts w:ascii="Arial" w:hAnsi="Arial" w:cs="Arial"/>
                <w:lang w:val="en-GB"/>
              </w:rPr>
            </w:pPr>
            <w:r w:rsidRPr="00A11BB0">
              <w:rPr>
                <w:rFonts w:ascii="Arial" w:hAnsi="Arial" w:cs="Arial"/>
              </w:rPr>
              <w:t>JSE</w:t>
            </w:r>
          </w:p>
        </w:tc>
        <w:tc>
          <w:tcPr>
            <w:tcW w:w="2691" w:type="dxa"/>
          </w:tcPr>
          <w:p w14:paraId="1B4803B8" w14:textId="7931B364" w:rsidR="00063AE4" w:rsidRPr="00A11BB0" w:rsidRDefault="00063AE4" w:rsidP="00063AE4">
            <w:pPr>
              <w:spacing w:after="0" w:line="240" w:lineRule="auto"/>
              <w:jc w:val="both"/>
              <w:rPr>
                <w:rFonts w:ascii="Arial" w:hAnsi="Arial" w:cs="Arial"/>
                <w:lang w:val="en-GB"/>
              </w:rPr>
            </w:pPr>
            <w:r w:rsidRPr="00A11BB0">
              <w:rPr>
                <w:rFonts w:ascii="Arial" w:hAnsi="Arial" w:cs="Arial"/>
              </w:rPr>
              <w:t>-</w:t>
            </w:r>
          </w:p>
        </w:tc>
        <w:tc>
          <w:tcPr>
            <w:tcW w:w="7903" w:type="dxa"/>
          </w:tcPr>
          <w:p w14:paraId="34C37C57" w14:textId="02BBF30D" w:rsidR="00063AE4" w:rsidRPr="00A11BB0" w:rsidRDefault="00063AE4" w:rsidP="00063AE4">
            <w:pPr>
              <w:pStyle w:val="ListParagraph"/>
              <w:ind w:left="360" w:hanging="360"/>
              <w:rPr>
                <w:rFonts w:ascii="Arial" w:eastAsia="Times New Roman" w:hAnsi="Arial" w:cs="Arial"/>
                <w:lang w:val="en-GB"/>
              </w:rPr>
            </w:pPr>
            <w:r w:rsidRPr="00A11BB0">
              <w:rPr>
                <w:rFonts w:ascii="Arial" w:hAnsi="Arial" w:cs="Arial"/>
                <w:lang w:val="en-GB"/>
              </w:rPr>
              <w:t>No comment</w:t>
            </w:r>
          </w:p>
        </w:tc>
        <w:tc>
          <w:tcPr>
            <w:tcW w:w="6416" w:type="dxa"/>
          </w:tcPr>
          <w:p w14:paraId="4A85EEEB" w14:textId="7F67E69A" w:rsidR="00063AE4" w:rsidRPr="00A11BB0" w:rsidRDefault="00063AE4" w:rsidP="00063AE4">
            <w:pPr>
              <w:spacing w:after="0" w:line="240" w:lineRule="auto"/>
              <w:jc w:val="both"/>
              <w:rPr>
                <w:rFonts w:ascii="Arial" w:hAnsi="Arial" w:cs="Arial"/>
                <w:lang w:val="en-GB"/>
              </w:rPr>
            </w:pPr>
            <w:r w:rsidRPr="00A11BB0">
              <w:rPr>
                <w:rFonts w:ascii="Arial" w:eastAsia="Times New Roman" w:hAnsi="Arial" w:cs="Arial"/>
                <w:lang w:val="en-GB"/>
              </w:rPr>
              <w:t>Noted</w:t>
            </w:r>
          </w:p>
        </w:tc>
      </w:tr>
      <w:tr w:rsidR="00063AE4" w:rsidRPr="009D05E3" w14:paraId="7E0693BB" w14:textId="77777777" w:rsidTr="00FC2C40">
        <w:tc>
          <w:tcPr>
            <w:tcW w:w="1886" w:type="dxa"/>
          </w:tcPr>
          <w:p w14:paraId="77E183C1" w14:textId="31B345A0" w:rsidR="00063AE4" w:rsidRPr="00A11BB0" w:rsidRDefault="00A459CC" w:rsidP="00456761">
            <w:pPr>
              <w:spacing w:after="0"/>
              <w:jc w:val="center"/>
              <w:rPr>
                <w:rFonts w:ascii="Arial" w:hAnsi="Arial" w:cs="Arial"/>
                <w:lang w:val="en-GB"/>
              </w:rPr>
            </w:pPr>
            <w:r w:rsidRPr="00A11BB0">
              <w:rPr>
                <w:rFonts w:ascii="Arial" w:hAnsi="Arial" w:cs="Arial"/>
                <w:lang w:val="en-GB"/>
              </w:rPr>
              <w:t>22</w:t>
            </w:r>
          </w:p>
        </w:tc>
        <w:tc>
          <w:tcPr>
            <w:tcW w:w="2078" w:type="dxa"/>
          </w:tcPr>
          <w:p w14:paraId="21887036" w14:textId="07D49F70" w:rsidR="00063AE4" w:rsidRPr="00A11BB0" w:rsidRDefault="00063AE4" w:rsidP="00063AE4">
            <w:pPr>
              <w:spacing w:after="0" w:line="240" w:lineRule="auto"/>
              <w:rPr>
                <w:rFonts w:ascii="Arial" w:hAnsi="Arial" w:cs="Arial"/>
                <w:lang w:val="en-GB"/>
              </w:rPr>
            </w:pPr>
            <w:r w:rsidRPr="00A11BB0">
              <w:rPr>
                <w:rFonts w:ascii="Arial" w:hAnsi="Arial" w:cs="Arial"/>
              </w:rPr>
              <w:t>MMH</w:t>
            </w:r>
          </w:p>
        </w:tc>
        <w:tc>
          <w:tcPr>
            <w:tcW w:w="2691" w:type="dxa"/>
          </w:tcPr>
          <w:p w14:paraId="0A458D14" w14:textId="078F1435" w:rsidR="00063AE4" w:rsidRPr="00A11BB0" w:rsidRDefault="00063AE4" w:rsidP="00063AE4">
            <w:pPr>
              <w:spacing w:after="0" w:line="240" w:lineRule="auto"/>
              <w:rPr>
                <w:rFonts w:ascii="Arial" w:hAnsi="Arial" w:cs="Arial"/>
                <w:lang w:val="en-GB"/>
              </w:rPr>
            </w:pPr>
            <w:r w:rsidRPr="00A11BB0">
              <w:rPr>
                <w:rFonts w:ascii="Arial" w:hAnsi="Arial" w:cs="Arial"/>
              </w:rPr>
              <w:t>-</w:t>
            </w:r>
          </w:p>
        </w:tc>
        <w:tc>
          <w:tcPr>
            <w:tcW w:w="7903" w:type="dxa"/>
            <w:shd w:val="clear" w:color="auto" w:fill="auto"/>
          </w:tcPr>
          <w:p w14:paraId="2941FA5B" w14:textId="1706E0DD" w:rsidR="00063AE4" w:rsidRPr="00A11BB0" w:rsidRDefault="00063AE4" w:rsidP="00063AE4">
            <w:pPr>
              <w:spacing w:after="0" w:line="240" w:lineRule="auto"/>
              <w:ind w:firstLine="32"/>
              <w:rPr>
                <w:rFonts w:ascii="Arial" w:eastAsia="Times New Roman" w:hAnsi="Arial" w:cs="Arial"/>
                <w:lang w:val="en-GB"/>
              </w:rPr>
            </w:pPr>
            <w:r w:rsidRPr="00A11BB0">
              <w:rPr>
                <w:rFonts w:ascii="Arial" w:hAnsi="Arial" w:cs="Arial"/>
                <w:lang w:val="en-GB"/>
              </w:rPr>
              <w:t>No comment</w:t>
            </w:r>
          </w:p>
        </w:tc>
        <w:tc>
          <w:tcPr>
            <w:tcW w:w="6416" w:type="dxa"/>
          </w:tcPr>
          <w:p w14:paraId="632E307A" w14:textId="7DED4D2E" w:rsidR="00063AE4" w:rsidRPr="00A11BB0" w:rsidRDefault="00063AE4" w:rsidP="00063AE4">
            <w:pPr>
              <w:spacing w:after="0" w:line="240" w:lineRule="auto"/>
              <w:rPr>
                <w:rFonts w:ascii="Arial" w:eastAsia="Times New Roman" w:hAnsi="Arial" w:cs="Arial"/>
                <w:lang w:val="en-GB"/>
              </w:rPr>
            </w:pPr>
            <w:r w:rsidRPr="00A11BB0">
              <w:rPr>
                <w:rFonts w:ascii="Arial" w:eastAsia="Times New Roman" w:hAnsi="Arial" w:cs="Arial"/>
                <w:lang w:val="en-GB"/>
              </w:rPr>
              <w:t>Noted</w:t>
            </w:r>
          </w:p>
        </w:tc>
      </w:tr>
      <w:tr w:rsidR="00063AE4" w:rsidRPr="009D05E3" w14:paraId="4A5E1ABF" w14:textId="77777777" w:rsidTr="00FC2C40">
        <w:trPr>
          <w:trHeight w:val="169"/>
        </w:trPr>
        <w:tc>
          <w:tcPr>
            <w:tcW w:w="1886" w:type="dxa"/>
          </w:tcPr>
          <w:p w14:paraId="3EA97EBB" w14:textId="6292E04B" w:rsidR="00063AE4" w:rsidRPr="00A11BB0" w:rsidRDefault="00A459CC" w:rsidP="00456761">
            <w:pPr>
              <w:spacing w:after="0"/>
              <w:jc w:val="center"/>
              <w:rPr>
                <w:rFonts w:ascii="Arial" w:hAnsi="Arial" w:cs="Arial"/>
                <w:lang w:val="en-GB"/>
              </w:rPr>
            </w:pPr>
            <w:r w:rsidRPr="00A11BB0">
              <w:rPr>
                <w:rFonts w:ascii="Arial" w:hAnsi="Arial" w:cs="Arial"/>
                <w:lang w:val="en-GB"/>
              </w:rPr>
              <w:t>23</w:t>
            </w:r>
          </w:p>
        </w:tc>
        <w:tc>
          <w:tcPr>
            <w:tcW w:w="2078" w:type="dxa"/>
          </w:tcPr>
          <w:p w14:paraId="076FAA1F" w14:textId="02F54264" w:rsidR="00063AE4" w:rsidRPr="00A11BB0" w:rsidRDefault="00063AE4" w:rsidP="00063AE4">
            <w:pPr>
              <w:spacing w:after="0" w:line="240" w:lineRule="auto"/>
              <w:rPr>
                <w:rFonts w:ascii="Arial" w:hAnsi="Arial" w:cs="Arial"/>
                <w:lang w:val="en-GB"/>
              </w:rPr>
            </w:pPr>
            <w:r w:rsidRPr="00A11BB0">
              <w:rPr>
                <w:rFonts w:ascii="Arial" w:hAnsi="Arial" w:cs="Arial"/>
              </w:rPr>
              <w:t>Nedbank</w:t>
            </w:r>
          </w:p>
        </w:tc>
        <w:tc>
          <w:tcPr>
            <w:tcW w:w="2691" w:type="dxa"/>
          </w:tcPr>
          <w:p w14:paraId="61DE2719" w14:textId="344BCA1B" w:rsidR="00063AE4" w:rsidRPr="00A11BB0" w:rsidRDefault="00063AE4" w:rsidP="00063AE4">
            <w:pPr>
              <w:spacing w:after="0" w:line="240" w:lineRule="auto"/>
              <w:rPr>
                <w:rFonts w:ascii="Arial" w:hAnsi="Arial" w:cs="Arial"/>
                <w:lang w:val="en-GB"/>
              </w:rPr>
            </w:pPr>
            <w:r w:rsidRPr="00A11BB0">
              <w:rPr>
                <w:rFonts w:ascii="Arial" w:hAnsi="Arial" w:cs="Arial"/>
              </w:rPr>
              <w:t>-</w:t>
            </w:r>
          </w:p>
        </w:tc>
        <w:tc>
          <w:tcPr>
            <w:tcW w:w="7903" w:type="dxa"/>
            <w:shd w:val="clear" w:color="auto" w:fill="auto"/>
          </w:tcPr>
          <w:p w14:paraId="228EE0FF" w14:textId="5A953092" w:rsidR="00063AE4" w:rsidRPr="00A11BB0" w:rsidRDefault="00063AE4" w:rsidP="00063AE4">
            <w:pPr>
              <w:spacing w:after="0" w:line="240" w:lineRule="auto"/>
              <w:rPr>
                <w:rFonts w:ascii="Arial" w:eastAsia="Times New Roman" w:hAnsi="Arial" w:cs="Arial"/>
                <w:lang w:val="en-GB"/>
              </w:rPr>
            </w:pPr>
            <w:r w:rsidRPr="00A11BB0">
              <w:rPr>
                <w:rFonts w:ascii="Arial" w:hAnsi="Arial" w:cs="Arial"/>
                <w:lang w:val="en-GB"/>
              </w:rPr>
              <w:t>No comment</w:t>
            </w:r>
          </w:p>
        </w:tc>
        <w:tc>
          <w:tcPr>
            <w:tcW w:w="6416" w:type="dxa"/>
          </w:tcPr>
          <w:p w14:paraId="5E5A543A" w14:textId="287524D0" w:rsidR="00063AE4" w:rsidRPr="00A11BB0" w:rsidRDefault="00063AE4" w:rsidP="00063AE4">
            <w:pPr>
              <w:spacing w:after="0" w:line="240" w:lineRule="auto"/>
              <w:rPr>
                <w:rFonts w:ascii="Arial" w:eastAsia="Times New Roman" w:hAnsi="Arial" w:cs="Arial"/>
                <w:highlight w:val="yellow"/>
                <w:lang w:val="en-GB"/>
              </w:rPr>
            </w:pPr>
            <w:r w:rsidRPr="00A11BB0">
              <w:rPr>
                <w:rFonts w:ascii="Arial" w:eastAsia="Times New Roman" w:hAnsi="Arial" w:cs="Arial"/>
                <w:lang w:val="en-GB"/>
              </w:rPr>
              <w:t>Noted</w:t>
            </w:r>
          </w:p>
        </w:tc>
      </w:tr>
      <w:tr w:rsidR="004530F4" w:rsidRPr="009D05E3" w14:paraId="6A37B93D" w14:textId="77777777" w:rsidTr="00515BD8">
        <w:trPr>
          <w:trHeight w:val="96"/>
        </w:trPr>
        <w:tc>
          <w:tcPr>
            <w:tcW w:w="1886" w:type="dxa"/>
          </w:tcPr>
          <w:p w14:paraId="19D276D3" w14:textId="683AA070" w:rsidR="004530F4" w:rsidRPr="00A11BB0" w:rsidRDefault="00A459CC" w:rsidP="00456761">
            <w:pPr>
              <w:spacing w:after="0"/>
              <w:jc w:val="center"/>
              <w:rPr>
                <w:rFonts w:ascii="Arial" w:hAnsi="Arial" w:cs="Arial"/>
                <w:lang w:val="en-GB"/>
              </w:rPr>
            </w:pPr>
            <w:r w:rsidRPr="00A11BB0">
              <w:rPr>
                <w:rFonts w:ascii="Arial" w:hAnsi="Arial" w:cs="Arial"/>
                <w:lang w:val="en-GB"/>
              </w:rPr>
              <w:t>24</w:t>
            </w:r>
          </w:p>
        </w:tc>
        <w:tc>
          <w:tcPr>
            <w:tcW w:w="2078" w:type="dxa"/>
          </w:tcPr>
          <w:p w14:paraId="3A2547CE" w14:textId="13D98985" w:rsidR="004530F4" w:rsidRPr="00A11BB0" w:rsidRDefault="004530F4" w:rsidP="00063AE4">
            <w:pPr>
              <w:spacing w:after="0" w:line="240" w:lineRule="auto"/>
              <w:rPr>
                <w:rFonts w:ascii="Arial" w:hAnsi="Arial" w:cs="Arial"/>
              </w:rPr>
            </w:pPr>
            <w:r w:rsidRPr="00A11BB0">
              <w:rPr>
                <w:rFonts w:ascii="Arial" w:hAnsi="Arial" w:cs="Arial"/>
              </w:rPr>
              <w:t>BASA</w:t>
            </w:r>
          </w:p>
        </w:tc>
        <w:tc>
          <w:tcPr>
            <w:tcW w:w="2691" w:type="dxa"/>
          </w:tcPr>
          <w:p w14:paraId="56F7D1E1" w14:textId="2B22745A" w:rsidR="008C5C35" w:rsidRPr="00A11BB0" w:rsidRDefault="008C5C35" w:rsidP="002B4F9E">
            <w:pPr>
              <w:spacing w:afterLines="40" w:after="96" w:line="240" w:lineRule="auto"/>
              <w:rPr>
                <w:rFonts w:ascii="Arial" w:hAnsi="Arial" w:cs="Arial"/>
                <w:bCs/>
              </w:rPr>
            </w:pPr>
            <w:r w:rsidRPr="00A11BB0">
              <w:rPr>
                <w:rFonts w:ascii="Arial" w:hAnsi="Arial" w:cs="Arial"/>
                <w:bCs/>
              </w:rPr>
              <w:t>3. Definitions and Interpretations:</w:t>
            </w:r>
          </w:p>
          <w:p w14:paraId="43408ACB" w14:textId="120DE356" w:rsidR="008C5C35" w:rsidRPr="005274BE" w:rsidRDefault="008C5C35" w:rsidP="008C5C35">
            <w:pPr>
              <w:spacing w:after="0" w:line="240" w:lineRule="auto"/>
              <w:rPr>
                <w:rFonts w:ascii="Arial" w:hAnsi="Arial" w:cs="Arial"/>
                <w:sz w:val="20"/>
                <w:szCs w:val="20"/>
                <w:lang w:val="en-GB"/>
              </w:rPr>
            </w:pPr>
            <w:r w:rsidRPr="005274BE">
              <w:rPr>
                <w:rFonts w:ascii="Arial" w:hAnsi="Arial" w:cs="Arial"/>
                <w:bCs/>
                <w:sz w:val="20"/>
                <w:szCs w:val="20"/>
              </w:rPr>
              <w:t>“Hard Interconnections”; “</w:t>
            </w:r>
            <w:r w:rsidR="005274BE" w:rsidRPr="005274BE">
              <w:rPr>
                <w:rFonts w:ascii="Arial" w:hAnsi="Arial" w:cs="Arial"/>
                <w:bCs/>
                <w:sz w:val="20"/>
                <w:szCs w:val="20"/>
              </w:rPr>
              <w:t>C</w:t>
            </w:r>
            <w:r w:rsidRPr="005274BE">
              <w:rPr>
                <w:rFonts w:ascii="Arial" w:hAnsi="Arial" w:cs="Arial"/>
                <w:bCs/>
                <w:sz w:val="20"/>
                <w:szCs w:val="20"/>
              </w:rPr>
              <w:t>ritical shared services”; “</w:t>
            </w:r>
            <w:r w:rsidR="005274BE">
              <w:rPr>
                <w:rFonts w:ascii="Arial" w:hAnsi="Arial" w:cs="Arial"/>
                <w:bCs/>
                <w:sz w:val="20"/>
                <w:szCs w:val="20"/>
              </w:rPr>
              <w:t>E</w:t>
            </w:r>
            <w:r w:rsidRPr="005274BE">
              <w:rPr>
                <w:rFonts w:ascii="Arial" w:hAnsi="Arial" w:cs="Arial"/>
                <w:bCs/>
                <w:sz w:val="20"/>
                <w:szCs w:val="20"/>
              </w:rPr>
              <w:t>ssential services”</w:t>
            </w:r>
          </w:p>
        </w:tc>
        <w:tc>
          <w:tcPr>
            <w:tcW w:w="7903" w:type="dxa"/>
          </w:tcPr>
          <w:p w14:paraId="53CA3DA4" w14:textId="77777777" w:rsidR="00E6676C" w:rsidRPr="00A11BB0" w:rsidRDefault="00E6676C" w:rsidP="002B4F9E">
            <w:pPr>
              <w:pStyle w:val="Default"/>
              <w:spacing w:afterLines="40" w:after="96"/>
              <w:rPr>
                <w:bCs/>
                <w:color w:val="auto"/>
                <w:sz w:val="22"/>
                <w:szCs w:val="22"/>
              </w:rPr>
            </w:pPr>
            <w:r w:rsidRPr="00A11BB0">
              <w:rPr>
                <w:bCs/>
                <w:color w:val="auto"/>
                <w:sz w:val="22"/>
                <w:szCs w:val="22"/>
              </w:rPr>
              <w:t xml:space="preserve">The Banks whole strategic and operating models are based on the tight integration and interconnections of the Banking Group from a product, intellectual property, and systems point of view.  Whilst its theoretically possible, it would be a costly exercise and substantial challenge for the Bank to separate this and continue as to offer its differentiated retail banking </w:t>
            </w:r>
            <w:proofErr w:type="gramStart"/>
            <w:r w:rsidRPr="00A11BB0">
              <w:rPr>
                <w:bCs/>
                <w:color w:val="auto"/>
                <w:sz w:val="22"/>
                <w:szCs w:val="22"/>
              </w:rPr>
              <w:t>offering</w:t>
            </w:r>
            <w:proofErr w:type="gramEnd"/>
            <w:r w:rsidRPr="00A11BB0">
              <w:rPr>
                <w:bCs/>
                <w:color w:val="auto"/>
                <w:sz w:val="22"/>
                <w:szCs w:val="22"/>
              </w:rPr>
              <w:t xml:space="preserve"> </w:t>
            </w:r>
          </w:p>
          <w:p w14:paraId="1E19693C" w14:textId="10ABA99A" w:rsidR="004530F4" w:rsidRPr="00A11BB0" w:rsidRDefault="00E6676C" w:rsidP="00E6676C">
            <w:pPr>
              <w:pStyle w:val="Default"/>
              <w:spacing w:beforeLines="40" w:before="96" w:afterLines="40" w:after="96"/>
              <w:rPr>
                <w:bCs/>
                <w:sz w:val="22"/>
                <w:szCs w:val="22"/>
              </w:rPr>
            </w:pPr>
            <w:r w:rsidRPr="00A11BB0">
              <w:rPr>
                <w:bCs/>
                <w:sz w:val="22"/>
                <w:szCs w:val="22"/>
              </w:rPr>
              <w:t>Bank Operating System enables all products across the South Africa composite to operate on Bank apps, and therefore ecosystems are highly entrenched throughout the Bank Groups.</w:t>
            </w:r>
          </w:p>
        </w:tc>
        <w:tc>
          <w:tcPr>
            <w:tcW w:w="6416" w:type="dxa"/>
            <w:shd w:val="clear" w:color="auto" w:fill="auto"/>
          </w:tcPr>
          <w:p w14:paraId="4FE6F451" w14:textId="7355F294" w:rsidR="004530F4" w:rsidRPr="009D05E3" w:rsidRDefault="00305937" w:rsidP="00305937">
            <w:pPr>
              <w:spacing w:after="0" w:line="240" w:lineRule="auto"/>
              <w:rPr>
                <w:rFonts w:ascii="Arial" w:eastAsia="Times New Roman" w:hAnsi="Arial" w:cs="Arial"/>
                <w:sz w:val="20"/>
                <w:szCs w:val="20"/>
                <w:lang w:val="en-GB"/>
              </w:rPr>
            </w:pPr>
            <w:r w:rsidRPr="00305937">
              <w:rPr>
                <w:rFonts w:ascii="Arial" w:eastAsia="Times New Roman" w:hAnsi="Arial" w:cs="Arial"/>
                <w:lang w:val="en-GB"/>
              </w:rPr>
              <w:t>Noted</w:t>
            </w:r>
          </w:p>
        </w:tc>
      </w:tr>
      <w:tr w:rsidR="004530F4" w:rsidRPr="009D05E3" w14:paraId="3BD108F7" w14:textId="77777777" w:rsidTr="00515BD8">
        <w:trPr>
          <w:trHeight w:val="96"/>
        </w:trPr>
        <w:tc>
          <w:tcPr>
            <w:tcW w:w="1886" w:type="dxa"/>
          </w:tcPr>
          <w:p w14:paraId="73AD79BA" w14:textId="2C29E166" w:rsidR="004530F4" w:rsidRPr="00145A99" w:rsidRDefault="00A459CC" w:rsidP="00456761">
            <w:pPr>
              <w:spacing w:after="0"/>
              <w:jc w:val="center"/>
              <w:rPr>
                <w:rFonts w:ascii="Arial" w:hAnsi="Arial" w:cs="Arial"/>
                <w:lang w:val="en-GB"/>
              </w:rPr>
            </w:pPr>
            <w:r w:rsidRPr="00145A99">
              <w:rPr>
                <w:rFonts w:ascii="Arial" w:hAnsi="Arial" w:cs="Arial"/>
                <w:lang w:val="en-GB"/>
              </w:rPr>
              <w:lastRenderedPageBreak/>
              <w:t>25</w:t>
            </w:r>
          </w:p>
        </w:tc>
        <w:tc>
          <w:tcPr>
            <w:tcW w:w="2078" w:type="dxa"/>
          </w:tcPr>
          <w:p w14:paraId="6123C735" w14:textId="0BBF79F9" w:rsidR="004530F4" w:rsidRPr="00145A99" w:rsidRDefault="004530F4" w:rsidP="00063AE4">
            <w:pPr>
              <w:spacing w:after="0" w:line="240" w:lineRule="auto"/>
              <w:rPr>
                <w:rFonts w:ascii="Arial" w:hAnsi="Arial" w:cs="Arial"/>
              </w:rPr>
            </w:pPr>
            <w:r w:rsidRPr="00145A99">
              <w:rPr>
                <w:rFonts w:ascii="Arial" w:hAnsi="Arial" w:cs="Arial"/>
              </w:rPr>
              <w:t>BASA</w:t>
            </w:r>
          </w:p>
        </w:tc>
        <w:tc>
          <w:tcPr>
            <w:tcW w:w="2691" w:type="dxa"/>
          </w:tcPr>
          <w:p w14:paraId="6B93A33F" w14:textId="3801FAFC" w:rsidR="00C2118C" w:rsidRPr="00145A99" w:rsidRDefault="00C2118C" w:rsidP="002B4F9E">
            <w:pPr>
              <w:spacing w:afterLines="40" w:after="96" w:line="240" w:lineRule="auto"/>
              <w:rPr>
                <w:rFonts w:ascii="Arial" w:hAnsi="Arial" w:cs="Arial"/>
                <w:bCs/>
              </w:rPr>
            </w:pPr>
            <w:r w:rsidRPr="00145A99">
              <w:rPr>
                <w:rFonts w:ascii="Arial" w:hAnsi="Arial" w:cs="Arial"/>
                <w:bCs/>
              </w:rPr>
              <w:t>3.  Definitions and Interpretations:</w:t>
            </w:r>
          </w:p>
          <w:p w14:paraId="349E3929" w14:textId="3E787A04" w:rsidR="004530F4" w:rsidRPr="00145A99" w:rsidRDefault="00C2118C" w:rsidP="00C2118C">
            <w:pPr>
              <w:spacing w:after="0" w:line="240" w:lineRule="auto"/>
              <w:rPr>
                <w:rFonts w:ascii="Arial" w:hAnsi="Arial" w:cs="Arial"/>
                <w:lang w:val="en-GB"/>
              </w:rPr>
            </w:pPr>
            <w:r w:rsidRPr="00312F73">
              <w:rPr>
                <w:rFonts w:ascii="Arial" w:hAnsi="Arial" w:cs="Arial"/>
                <w:bCs/>
                <w:sz w:val="20"/>
                <w:szCs w:val="20"/>
              </w:rPr>
              <w:t>‘</w:t>
            </w:r>
            <w:r w:rsidR="00312F73" w:rsidRPr="00312F73">
              <w:rPr>
                <w:rFonts w:ascii="Arial" w:hAnsi="Arial" w:cs="Arial"/>
                <w:bCs/>
                <w:sz w:val="20"/>
                <w:szCs w:val="20"/>
              </w:rPr>
              <w:t>Transitional</w:t>
            </w:r>
            <w:r w:rsidRPr="00312F73">
              <w:rPr>
                <w:rFonts w:ascii="Arial" w:hAnsi="Arial" w:cs="Arial"/>
                <w:bCs/>
                <w:sz w:val="20"/>
                <w:szCs w:val="20"/>
              </w:rPr>
              <w:t xml:space="preserve"> service agreement (TSA)’</w:t>
            </w:r>
          </w:p>
        </w:tc>
        <w:tc>
          <w:tcPr>
            <w:tcW w:w="7903" w:type="dxa"/>
          </w:tcPr>
          <w:p w14:paraId="3503ABDE" w14:textId="280F8AF5" w:rsidR="004530F4" w:rsidRPr="00145A99" w:rsidRDefault="00EB3ED6" w:rsidP="002B4F9E">
            <w:pPr>
              <w:spacing w:afterLines="40" w:after="96" w:line="240" w:lineRule="auto"/>
              <w:rPr>
                <w:rFonts w:ascii="Arial" w:hAnsi="Arial" w:cs="Arial"/>
                <w:bCs/>
              </w:rPr>
            </w:pPr>
            <w:r w:rsidRPr="00145A99">
              <w:rPr>
                <w:rFonts w:ascii="Arial" w:hAnsi="Arial" w:cs="Arial"/>
                <w:b/>
              </w:rPr>
              <w:t>Clarify,</w:t>
            </w:r>
            <w:r w:rsidRPr="00145A99">
              <w:rPr>
                <w:rFonts w:ascii="Arial" w:hAnsi="Arial" w:cs="Arial"/>
                <w:bCs/>
              </w:rPr>
              <w:t xml:space="preserve"> what is the minimum set period that the designated institution needs to continue certain services</w:t>
            </w:r>
            <w:r w:rsidR="00312F73">
              <w:rPr>
                <w:rFonts w:ascii="Arial" w:hAnsi="Arial" w:cs="Arial"/>
                <w:bCs/>
              </w:rPr>
              <w:t>.</w:t>
            </w:r>
          </w:p>
        </w:tc>
        <w:tc>
          <w:tcPr>
            <w:tcW w:w="6416" w:type="dxa"/>
            <w:shd w:val="clear" w:color="auto" w:fill="auto"/>
          </w:tcPr>
          <w:p w14:paraId="3C0A85DE" w14:textId="6B1CF544" w:rsidR="006B5F74" w:rsidRDefault="00DD1726" w:rsidP="00063AE4">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3E2BE8">
              <w:rPr>
                <w:rFonts w:ascii="Arial" w:eastAsia="Times New Roman" w:hAnsi="Arial" w:cs="Arial"/>
                <w:lang w:val="en-GB"/>
              </w:rPr>
              <w:t>period</w:t>
            </w:r>
            <w:r>
              <w:rPr>
                <w:rFonts w:ascii="Arial" w:eastAsia="Times New Roman" w:hAnsi="Arial" w:cs="Arial"/>
                <w:lang w:val="en-GB"/>
              </w:rPr>
              <w:t xml:space="preserve"> for a </w:t>
            </w:r>
            <w:r w:rsidR="00DA0C99">
              <w:rPr>
                <w:rFonts w:ascii="Arial" w:eastAsia="Times New Roman" w:hAnsi="Arial" w:cs="Arial"/>
                <w:lang w:val="en-GB"/>
              </w:rPr>
              <w:t>transitional service agreement (TSA)</w:t>
            </w:r>
            <w:r>
              <w:rPr>
                <w:rFonts w:ascii="Arial" w:eastAsia="Times New Roman" w:hAnsi="Arial" w:cs="Arial"/>
                <w:lang w:val="en-GB"/>
              </w:rPr>
              <w:t xml:space="preserve"> will be </w:t>
            </w:r>
            <w:r w:rsidR="003E2BE8">
              <w:rPr>
                <w:rFonts w:ascii="Arial" w:eastAsia="Times New Roman" w:hAnsi="Arial" w:cs="Arial"/>
                <w:lang w:val="en-GB"/>
              </w:rPr>
              <w:t>driven by various factors</w:t>
            </w:r>
            <w:r w:rsidR="00E47A91">
              <w:rPr>
                <w:rFonts w:ascii="Arial" w:eastAsia="Times New Roman" w:hAnsi="Arial" w:cs="Arial"/>
                <w:lang w:val="en-GB"/>
              </w:rPr>
              <w:t>,</w:t>
            </w:r>
            <w:r w:rsidR="003E2BE8">
              <w:rPr>
                <w:rFonts w:ascii="Arial" w:eastAsia="Times New Roman" w:hAnsi="Arial" w:cs="Arial"/>
                <w:lang w:val="en-GB"/>
              </w:rPr>
              <w:t xml:space="preserve"> </w:t>
            </w:r>
            <w:r w:rsidR="00667763">
              <w:rPr>
                <w:rFonts w:ascii="Arial" w:eastAsia="Times New Roman" w:hAnsi="Arial" w:cs="Arial"/>
                <w:lang w:val="en-GB"/>
              </w:rPr>
              <w:t>unique to each transfer perimete</w:t>
            </w:r>
            <w:r w:rsidR="006C1670">
              <w:rPr>
                <w:rFonts w:ascii="Arial" w:eastAsia="Times New Roman" w:hAnsi="Arial" w:cs="Arial"/>
                <w:lang w:val="en-GB"/>
              </w:rPr>
              <w:t xml:space="preserve">r, such as the complexity of the </w:t>
            </w:r>
            <w:r w:rsidR="003D7A25">
              <w:rPr>
                <w:rFonts w:ascii="Arial" w:eastAsia="Times New Roman" w:hAnsi="Arial" w:cs="Arial"/>
                <w:lang w:val="en-GB"/>
              </w:rPr>
              <w:t>requirements</w:t>
            </w:r>
            <w:r w:rsidR="006C1670">
              <w:rPr>
                <w:rFonts w:ascii="Arial" w:eastAsia="Times New Roman" w:hAnsi="Arial" w:cs="Arial"/>
                <w:lang w:val="en-GB"/>
              </w:rPr>
              <w:t>, resources needed and tim</w:t>
            </w:r>
            <w:r w:rsidR="00DA0C99">
              <w:rPr>
                <w:rFonts w:ascii="Arial" w:eastAsia="Times New Roman" w:hAnsi="Arial" w:cs="Arial"/>
                <w:lang w:val="en-GB"/>
              </w:rPr>
              <w:t xml:space="preserve">e </w:t>
            </w:r>
            <w:r w:rsidR="00182605">
              <w:rPr>
                <w:rFonts w:ascii="Arial" w:eastAsia="Times New Roman" w:hAnsi="Arial" w:cs="Arial"/>
                <w:lang w:val="en-GB"/>
              </w:rPr>
              <w:t xml:space="preserve">for the acquirer to </w:t>
            </w:r>
            <w:r w:rsidR="006C1670">
              <w:rPr>
                <w:rFonts w:ascii="Arial" w:eastAsia="Times New Roman" w:hAnsi="Arial" w:cs="Arial"/>
                <w:lang w:val="en-GB"/>
              </w:rPr>
              <w:t xml:space="preserve">put the capabilities in place.  </w:t>
            </w:r>
          </w:p>
          <w:p w14:paraId="7806F1B9" w14:textId="77777777" w:rsidR="006B5F74" w:rsidRDefault="006B5F74" w:rsidP="00063AE4">
            <w:pPr>
              <w:spacing w:after="0" w:line="240" w:lineRule="auto"/>
              <w:jc w:val="both"/>
              <w:rPr>
                <w:rFonts w:ascii="Arial" w:eastAsia="Times New Roman" w:hAnsi="Arial" w:cs="Arial"/>
                <w:lang w:val="en-GB"/>
              </w:rPr>
            </w:pPr>
          </w:p>
          <w:p w14:paraId="3BB62BC3" w14:textId="4477F148" w:rsidR="004530F4" w:rsidRDefault="00CC6DD3" w:rsidP="00063AE4">
            <w:pPr>
              <w:spacing w:after="0" w:line="240" w:lineRule="auto"/>
              <w:jc w:val="both"/>
              <w:rPr>
                <w:rFonts w:ascii="Arial" w:eastAsia="Times New Roman" w:hAnsi="Arial" w:cs="Arial"/>
                <w:lang w:val="en-GB"/>
              </w:rPr>
            </w:pPr>
            <w:r>
              <w:rPr>
                <w:rFonts w:ascii="Arial" w:eastAsia="Times New Roman" w:hAnsi="Arial" w:cs="Arial"/>
                <w:lang w:val="en-GB"/>
              </w:rPr>
              <w:t xml:space="preserve">Therefore, the </w:t>
            </w:r>
            <w:r w:rsidR="003D7A25">
              <w:rPr>
                <w:rFonts w:ascii="Arial" w:eastAsia="Times New Roman" w:hAnsi="Arial" w:cs="Arial"/>
                <w:lang w:val="en-GB"/>
              </w:rPr>
              <w:t xml:space="preserve">TSA period </w:t>
            </w:r>
            <w:r w:rsidR="005A3234">
              <w:rPr>
                <w:rFonts w:ascii="Arial" w:eastAsia="Times New Roman" w:hAnsi="Arial" w:cs="Arial"/>
                <w:lang w:val="en-GB"/>
              </w:rPr>
              <w:t>will</w:t>
            </w:r>
            <w:r>
              <w:rPr>
                <w:rFonts w:ascii="Arial" w:eastAsia="Times New Roman" w:hAnsi="Arial" w:cs="Arial"/>
                <w:lang w:val="en-GB"/>
              </w:rPr>
              <w:t xml:space="preserve"> </w:t>
            </w:r>
            <w:r w:rsidR="00632B1C">
              <w:rPr>
                <w:rFonts w:ascii="Arial" w:eastAsia="Times New Roman" w:hAnsi="Arial" w:cs="Arial"/>
                <w:lang w:val="en-GB"/>
              </w:rPr>
              <w:t>vary on a case</w:t>
            </w:r>
            <w:r w:rsidR="002A4F61">
              <w:rPr>
                <w:rFonts w:ascii="Arial" w:eastAsia="Times New Roman" w:hAnsi="Arial" w:cs="Arial"/>
                <w:lang w:val="en-GB"/>
              </w:rPr>
              <w:t>-</w:t>
            </w:r>
            <w:r w:rsidR="00632B1C">
              <w:rPr>
                <w:rFonts w:ascii="Arial" w:eastAsia="Times New Roman" w:hAnsi="Arial" w:cs="Arial"/>
                <w:lang w:val="en-GB"/>
              </w:rPr>
              <w:t>by</w:t>
            </w:r>
            <w:r w:rsidR="002A4F61">
              <w:rPr>
                <w:rFonts w:ascii="Arial" w:eastAsia="Times New Roman" w:hAnsi="Arial" w:cs="Arial"/>
                <w:lang w:val="en-GB"/>
              </w:rPr>
              <w:t>-</w:t>
            </w:r>
            <w:r w:rsidR="00632B1C">
              <w:rPr>
                <w:rFonts w:ascii="Arial" w:eastAsia="Times New Roman" w:hAnsi="Arial" w:cs="Arial"/>
                <w:lang w:val="en-GB"/>
              </w:rPr>
              <w:t>case basis.</w:t>
            </w:r>
          </w:p>
          <w:p w14:paraId="68E5328C" w14:textId="4A8E8748" w:rsidR="00632B1C" w:rsidRPr="00145A99" w:rsidRDefault="00632B1C" w:rsidP="00063AE4">
            <w:pPr>
              <w:spacing w:after="0" w:line="240" w:lineRule="auto"/>
              <w:jc w:val="both"/>
              <w:rPr>
                <w:rFonts w:ascii="Arial" w:eastAsia="Times New Roman" w:hAnsi="Arial" w:cs="Arial"/>
                <w:lang w:val="en-GB"/>
              </w:rPr>
            </w:pPr>
          </w:p>
        </w:tc>
      </w:tr>
      <w:tr w:rsidR="00063AE4" w:rsidRPr="009D05E3" w14:paraId="3CFB6567" w14:textId="77777777" w:rsidTr="00515BD8">
        <w:trPr>
          <w:trHeight w:val="96"/>
        </w:trPr>
        <w:tc>
          <w:tcPr>
            <w:tcW w:w="1886" w:type="dxa"/>
            <w:shd w:val="clear" w:color="auto" w:fill="auto"/>
          </w:tcPr>
          <w:p w14:paraId="1734FDE3" w14:textId="5DB8D16E" w:rsidR="00063AE4" w:rsidRPr="00145A99" w:rsidRDefault="00A459CC" w:rsidP="00456761">
            <w:pPr>
              <w:spacing w:after="0"/>
              <w:jc w:val="center"/>
              <w:rPr>
                <w:rFonts w:ascii="Arial" w:hAnsi="Arial" w:cs="Arial"/>
                <w:lang w:val="en-GB"/>
              </w:rPr>
            </w:pPr>
            <w:r w:rsidRPr="00145A99">
              <w:rPr>
                <w:rFonts w:ascii="Arial" w:hAnsi="Arial" w:cs="Arial"/>
                <w:lang w:val="en-GB"/>
              </w:rPr>
              <w:t>26</w:t>
            </w:r>
          </w:p>
        </w:tc>
        <w:tc>
          <w:tcPr>
            <w:tcW w:w="2078" w:type="dxa"/>
          </w:tcPr>
          <w:p w14:paraId="66FCA18A" w14:textId="16009A5F" w:rsidR="00063AE4" w:rsidRPr="00145A99" w:rsidRDefault="00063AE4" w:rsidP="00063AE4">
            <w:pPr>
              <w:spacing w:after="0" w:line="240" w:lineRule="auto"/>
              <w:rPr>
                <w:rFonts w:ascii="Arial" w:hAnsi="Arial" w:cs="Arial"/>
                <w:lang w:val="en-GB"/>
              </w:rPr>
            </w:pPr>
            <w:r w:rsidRPr="00145A99">
              <w:rPr>
                <w:rFonts w:ascii="Arial" w:hAnsi="Arial" w:cs="Arial"/>
              </w:rPr>
              <w:t>BASA</w:t>
            </w:r>
          </w:p>
        </w:tc>
        <w:tc>
          <w:tcPr>
            <w:tcW w:w="2691" w:type="dxa"/>
          </w:tcPr>
          <w:p w14:paraId="04CE0E31" w14:textId="43D45464" w:rsidR="00063AE4" w:rsidRPr="00145A99" w:rsidRDefault="00063AE4" w:rsidP="00063AE4">
            <w:pPr>
              <w:spacing w:after="0" w:line="240" w:lineRule="auto"/>
              <w:rPr>
                <w:rFonts w:ascii="Arial" w:hAnsi="Arial" w:cs="Arial"/>
                <w:lang w:val="en-GB"/>
              </w:rPr>
            </w:pPr>
            <w:r w:rsidRPr="00145A99">
              <w:rPr>
                <w:rFonts w:ascii="Arial" w:hAnsi="Arial" w:cs="Arial"/>
                <w:lang w:val="en-GB"/>
              </w:rPr>
              <w:t>3.1</w:t>
            </w:r>
            <w:r w:rsidR="007532ED">
              <w:rPr>
                <w:rFonts w:ascii="Arial" w:hAnsi="Arial" w:cs="Arial"/>
                <w:lang w:val="en-GB"/>
              </w:rPr>
              <w:t xml:space="preserve"> </w:t>
            </w:r>
          </w:p>
        </w:tc>
        <w:tc>
          <w:tcPr>
            <w:tcW w:w="7903" w:type="dxa"/>
          </w:tcPr>
          <w:p w14:paraId="79C2DDA0" w14:textId="77777777" w:rsidR="00996BD4" w:rsidRPr="00145A99" w:rsidRDefault="00996BD4" w:rsidP="002B4F9E">
            <w:pPr>
              <w:spacing w:afterLines="40" w:after="96" w:line="240" w:lineRule="auto"/>
              <w:rPr>
                <w:rFonts w:ascii="Arial" w:hAnsi="Arial" w:cs="Arial"/>
                <w:bCs/>
              </w:rPr>
            </w:pPr>
            <w:r w:rsidRPr="00145A99">
              <w:rPr>
                <w:rFonts w:ascii="Arial" w:hAnsi="Arial" w:cs="Arial"/>
                <w:bCs/>
              </w:rPr>
              <w:t xml:space="preserve">“The Act”: we </w:t>
            </w:r>
            <w:r w:rsidRPr="00145A99">
              <w:rPr>
                <w:rFonts w:ascii="Arial" w:hAnsi="Arial" w:cs="Arial"/>
                <w:b/>
              </w:rPr>
              <w:t>recommend</w:t>
            </w:r>
            <w:r w:rsidRPr="00145A99">
              <w:rPr>
                <w:rFonts w:ascii="Arial" w:hAnsi="Arial" w:cs="Arial"/>
                <w:bCs/>
              </w:rPr>
              <w:t xml:space="preserve"> deleting “as amended by FSLA act” as it is implied, as are all other amendments to the FRSA, 2017.</w:t>
            </w:r>
          </w:p>
          <w:p w14:paraId="43BD4F2B" w14:textId="77777777" w:rsidR="00996BD4" w:rsidRPr="00145A99" w:rsidRDefault="00996BD4" w:rsidP="00996BD4">
            <w:pPr>
              <w:autoSpaceDE w:val="0"/>
              <w:autoSpaceDN w:val="0"/>
              <w:adjustRightInd w:val="0"/>
              <w:spacing w:beforeLines="40" w:before="96" w:afterLines="40" w:after="96" w:line="240" w:lineRule="auto"/>
              <w:rPr>
                <w:rFonts w:ascii="Arial" w:hAnsi="Arial" w:cs="Arial"/>
                <w:bCs/>
              </w:rPr>
            </w:pPr>
            <w:r w:rsidRPr="00145A99">
              <w:rPr>
                <w:rFonts w:ascii="Arial" w:hAnsi="Arial" w:cs="Arial"/>
                <w:bCs/>
              </w:rPr>
              <w:t xml:space="preserve">“Asset </w:t>
            </w:r>
            <w:r w:rsidRPr="00883D71">
              <w:rPr>
                <w:rFonts w:ascii="Arial" w:hAnsi="Arial" w:cs="Arial"/>
                <w:bCs/>
                <w:color w:val="000000" w:themeColor="text1"/>
              </w:rPr>
              <w:t xml:space="preserve">management company” and “bridge institution”: kindly provide clarification on whether the asset management company will be registered at CIPC with a Collective Investment Scheme license? Additional clarity requested whether the bridge bank is not also “a company </w:t>
            </w:r>
            <w:r w:rsidRPr="00145A99">
              <w:rPr>
                <w:rFonts w:ascii="Arial" w:hAnsi="Arial" w:cs="Arial"/>
                <w:bCs/>
              </w:rPr>
              <w:t>incorporated in terms of section 166F of the Act” like the “bridge institution”.</w:t>
            </w:r>
          </w:p>
          <w:p w14:paraId="5092EAD4" w14:textId="77777777" w:rsidR="00996BD4" w:rsidRPr="00145A99" w:rsidRDefault="00996BD4" w:rsidP="00996BD4">
            <w:pPr>
              <w:autoSpaceDE w:val="0"/>
              <w:autoSpaceDN w:val="0"/>
              <w:adjustRightInd w:val="0"/>
              <w:spacing w:beforeLines="40" w:before="96" w:afterLines="40" w:after="96" w:line="240" w:lineRule="auto"/>
              <w:rPr>
                <w:rFonts w:ascii="Arial" w:hAnsi="Arial" w:cs="Arial"/>
                <w:bCs/>
              </w:rPr>
            </w:pPr>
            <w:r w:rsidRPr="00145A99">
              <w:rPr>
                <w:rFonts w:ascii="Arial" w:hAnsi="Arial" w:cs="Arial"/>
                <w:bCs/>
              </w:rPr>
              <w:t xml:space="preserve">“Financial contracts”: financial contracts have also been defined in the Stays and Moratoria draft standard. </w:t>
            </w:r>
            <w:r w:rsidRPr="00145A99">
              <w:rPr>
                <w:rFonts w:ascii="Arial" w:hAnsi="Arial" w:cs="Arial"/>
                <w:b/>
              </w:rPr>
              <w:t>Recommended</w:t>
            </w:r>
            <w:r w:rsidRPr="00145A99">
              <w:rPr>
                <w:rFonts w:ascii="Arial" w:hAnsi="Arial" w:cs="Arial"/>
                <w:bCs/>
              </w:rPr>
              <w:t xml:space="preserve"> to remove this from the draft Stays and Moratoria standard and including here only. Additionally, it should be noted that master agreements are only referenced in this definition, whereas in the Stays and Moratoria discussion paper it is a separate definition. </w:t>
            </w:r>
            <w:r w:rsidRPr="00145A99">
              <w:rPr>
                <w:rFonts w:ascii="Arial" w:hAnsi="Arial" w:cs="Arial"/>
                <w:b/>
              </w:rPr>
              <w:t>Recommend</w:t>
            </w:r>
            <w:r w:rsidRPr="00145A99">
              <w:rPr>
                <w:rFonts w:ascii="Arial" w:hAnsi="Arial" w:cs="Arial"/>
                <w:bCs/>
              </w:rPr>
              <w:t xml:space="preserve"> removing this reference from the Standard as it is not referred to again elsewhere.  </w:t>
            </w:r>
          </w:p>
          <w:p w14:paraId="2F47A86C" w14:textId="77777777" w:rsidR="00996BD4" w:rsidRPr="00145A99" w:rsidRDefault="00996BD4" w:rsidP="00996BD4">
            <w:pPr>
              <w:autoSpaceDE w:val="0"/>
              <w:autoSpaceDN w:val="0"/>
              <w:adjustRightInd w:val="0"/>
              <w:spacing w:beforeLines="40" w:before="96" w:afterLines="40" w:after="96" w:line="240" w:lineRule="auto"/>
              <w:rPr>
                <w:rFonts w:ascii="Arial" w:hAnsi="Arial" w:cs="Arial"/>
                <w:bCs/>
              </w:rPr>
            </w:pPr>
            <w:r w:rsidRPr="00145A99">
              <w:rPr>
                <w:rFonts w:ascii="Arial" w:hAnsi="Arial" w:cs="Arial"/>
                <w:bCs/>
              </w:rPr>
              <w:t xml:space="preserve">“Residual institution”: the definition of residual institution does not consider the possibility of an institution to return to a business-as-usual scenario as that contemplated in the “Ending too big to fail: </w:t>
            </w:r>
          </w:p>
          <w:p w14:paraId="70032638" w14:textId="6B15162B" w:rsidR="00063AE4" w:rsidRPr="00145A99" w:rsidRDefault="00996BD4" w:rsidP="00996BD4">
            <w:pPr>
              <w:spacing w:after="0" w:line="240" w:lineRule="auto"/>
              <w:rPr>
                <w:rFonts w:ascii="Arial" w:eastAsia="Times New Roman" w:hAnsi="Arial" w:cs="Arial"/>
                <w:lang w:val="en-GB"/>
              </w:rPr>
            </w:pPr>
            <w:r w:rsidRPr="00145A99">
              <w:rPr>
                <w:rFonts w:ascii="Arial" w:hAnsi="Arial" w:cs="Arial"/>
                <w:bCs/>
              </w:rPr>
              <w:t xml:space="preserve">South Africa’s intended approach to bank resolution” discussion paper page 20 “Open and closed resolution strategies”. </w:t>
            </w:r>
            <w:r w:rsidRPr="00145A99">
              <w:rPr>
                <w:rFonts w:ascii="Arial" w:hAnsi="Arial" w:cs="Arial"/>
                <w:b/>
              </w:rPr>
              <w:t>Clarify</w:t>
            </w:r>
            <w:r w:rsidRPr="00145A99">
              <w:rPr>
                <w:rFonts w:ascii="Arial" w:hAnsi="Arial" w:cs="Arial"/>
                <w:bCs/>
              </w:rPr>
              <w:t xml:space="preserve"> the difference in meaning between “liquidation” and “wind down”.</w:t>
            </w:r>
          </w:p>
        </w:tc>
        <w:tc>
          <w:tcPr>
            <w:tcW w:w="6416" w:type="dxa"/>
            <w:shd w:val="clear" w:color="auto" w:fill="auto"/>
          </w:tcPr>
          <w:p w14:paraId="36179B86" w14:textId="2585E36D" w:rsidR="0024284E" w:rsidRPr="00ED6D44" w:rsidRDefault="0024284E" w:rsidP="00063AE4">
            <w:pPr>
              <w:spacing w:after="0" w:line="240" w:lineRule="auto"/>
              <w:jc w:val="both"/>
              <w:rPr>
                <w:rFonts w:ascii="Arial" w:eastAsia="Times New Roman" w:hAnsi="Arial" w:cs="Arial"/>
                <w:b/>
                <w:bCs/>
                <w:i/>
                <w:iCs/>
                <w:lang w:val="en-GB"/>
              </w:rPr>
            </w:pPr>
            <w:r w:rsidRPr="00ED6D44">
              <w:rPr>
                <w:rFonts w:ascii="Arial" w:eastAsia="Times New Roman" w:hAnsi="Arial" w:cs="Arial"/>
                <w:b/>
                <w:bCs/>
                <w:i/>
                <w:iCs/>
                <w:lang w:val="en-GB"/>
              </w:rPr>
              <w:t>Recommendation to delete “as amended by the FSLA Act”:</w:t>
            </w:r>
          </w:p>
          <w:p w14:paraId="6AF7C87D" w14:textId="598D7BF8" w:rsidR="000976F0" w:rsidRDefault="00121C95" w:rsidP="00063AE4">
            <w:pPr>
              <w:spacing w:after="0" w:line="240" w:lineRule="auto"/>
              <w:jc w:val="both"/>
              <w:rPr>
                <w:rFonts w:ascii="Arial" w:eastAsia="Times New Roman" w:hAnsi="Arial" w:cs="Arial"/>
                <w:lang w:val="en-GB"/>
              </w:rPr>
            </w:pPr>
            <w:r w:rsidRPr="00ED6D44">
              <w:rPr>
                <w:rFonts w:ascii="Arial" w:eastAsia="Times New Roman" w:hAnsi="Arial" w:cs="Arial"/>
                <w:lang w:val="en-GB"/>
              </w:rPr>
              <w:t>The implementation of the FSLAA has not yet come into effect, therefore until such time</w:t>
            </w:r>
            <w:r w:rsidR="00C1567A">
              <w:rPr>
                <w:rFonts w:ascii="Arial" w:eastAsia="Times New Roman" w:hAnsi="Arial" w:cs="Arial"/>
                <w:lang w:val="en-GB"/>
              </w:rPr>
              <w:t>,</w:t>
            </w:r>
            <w:r w:rsidRPr="00ED6D44">
              <w:rPr>
                <w:rFonts w:ascii="Arial" w:eastAsia="Times New Roman" w:hAnsi="Arial" w:cs="Arial"/>
                <w:lang w:val="en-GB"/>
              </w:rPr>
              <w:t xml:space="preserve"> it is necessary to define “the Act” as the exi</w:t>
            </w:r>
            <w:r w:rsidR="000976F0" w:rsidRPr="00ED6D44">
              <w:rPr>
                <w:rFonts w:ascii="Arial" w:eastAsia="Times New Roman" w:hAnsi="Arial" w:cs="Arial"/>
                <w:lang w:val="en-GB"/>
              </w:rPr>
              <w:t>sting FSR</w:t>
            </w:r>
            <w:r w:rsidR="00F23889" w:rsidRPr="00ED6D44">
              <w:rPr>
                <w:rFonts w:ascii="Arial" w:eastAsia="Times New Roman" w:hAnsi="Arial" w:cs="Arial"/>
                <w:lang w:val="en-GB"/>
              </w:rPr>
              <w:t xml:space="preserve"> </w:t>
            </w:r>
            <w:r w:rsidR="000976F0" w:rsidRPr="00ED6D44">
              <w:rPr>
                <w:rFonts w:ascii="Arial" w:eastAsia="Times New Roman" w:hAnsi="Arial" w:cs="Arial"/>
                <w:lang w:val="en-GB"/>
              </w:rPr>
              <w:t>Act,</w:t>
            </w:r>
            <w:r w:rsidRPr="00ED6D44">
              <w:rPr>
                <w:rFonts w:ascii="Arial" w:eastAsia="Times New Roman" w:hAnsi="Arial" w:cs="Arial"/>
                <w:lang w:val="en-GB"/>
              </w:rPr>
              <w:t xml:space="preserve"> as amended by the</w:t>
            </w:r>
            <w:r w:rsidR="000976F0" w:rsidRPr="00ED6D44">
              <w:rPr>
                <w:rFonts w:ascii="Arial" w:eastAsia="Times New Roman" w:hAnsi="Arial" w:cs="Arial"/>
                <w:lang w:val="en-GB"/>
              </w:rPr>
              <w:t xml:space="preserve"> FSLA Act.</w:t>
            </w:r>
          </w:p>
          <w:p w14:paraId="4A9F1E07" w14:textId="77777777" w:rsidR="000976F0" w:rsidRDefault="000976F0" w:rsidP="00063AE4">
            <w:pPr>
              <w:spacing w:after="0" w:line="240" w:lineRule="auto"/>
              <w:jc w:val="both"/>
              <w:rPr>
                <w:rFonts w:ascii="Arial" w:eastAsia="Times New Roman" w:hAnsi="Arial" w:cs="Arial"/>
                <w:lang w:val="en-GB"/>
              </w:rPr>
            </w:pPr>
          </w:p>
          <w:p w14:paraId="36965B13" w14:textId="62818F0F" w:rsidR="00063AE4" w:rsidRDefault="006B5306" w:rsidP="00063AE4">
            <w:pPr>
              <w:spacing w:after="0" w:line="240" w:lineRule="auto"/>
              <w:jc w:val="both"/>
              <w:rPr>
                <w:rFonts w:ascii="Arial" w:eastAsia="Times New Roman" w:hAnsi="Arial" w:cs="Arial"/>
                <w:lang w:val="en-GB"/>
              </w:rPr>
            </w:pPr>
            <w:r>
              <w:rPr>
                <w:rFonts w:ascii="Arial" w:eastAsia="Times New Roman" w:hAnsi="Arial" w:cs="Arial"/>
                <w:lang w:val="en-GB"/>
              </w:rPr>
              <w:t xml:space="preserve">Disagree with the recommendation. </w:t>
            </w:r>
          </w:p>
          <w:p w14:paraId="5257FC7B" w14:textId="147DD55A" w:rsidR="0024284E" w:rsidRDefault="0024284E" w:rsidP="00063AE4">
            <w:pPr>
              <w:spacing w:after="0" w:line="240" w:lineRule="auto"/>
              <w:jc w:val="both"/>
              <w:rPr>
                <w:rFonts w:ascii="Arial" w:eastAsia="Times New Roman" w:hAnsi="Arial" w:cs="Arial"/>
                <w:lang w:val="en-GB"/>
              </w:rPr>
            </w:pPr>
          </w:p>
          <w:p w14:paraId="72EAD9E6" w14:textId="2084DC24" w:rsidR="00C84660" w:rsidRPr="002F21B0" w:rsidRDefault="00C84660" w:rsidP="00063AE4">
            <w:pPr>
              <w:spacing w:after="0" w:line="240" w:lineRule="auto"/>
              <w:jc w:val="both"/>
              <w:rPr>
                <w:rFonts w:ascii="Arial" w:eastAsia="Times New Roman" w:hAnsi="Arial" w:cs="Arial"/>
                <w:lang w:val="en-GB"/>
              </w:rPr>
            </w:pPr>
            <w:r w:rsidRPr="0051060F">
              <w:rPr>
                <w:rFonts w:ascii="Arial" w:eastAsia="Times New Roman" w:hAnsi="Arial" w:cs="Arial"/>
                <w:b/>
                <w:bCs/>
                <w:lang w:val="en-GB"/>
              </w:rPr>
              <w:t>Asset Management Company</w:t>
            </w:r>
            <w:r w:rsidRPr="002F21B0">
              <w:rPr>
                <w:rFonts w:ascii="Arial" w:eastAsia="Times New Roman" w:hAnsi="Arial" w:cs="Arial"/>
                <w:lang w:val="en-GB"/>
              </w:rPr>
              <w:t>:</w:t>
            </w:r>
          </w:p>
          <w:p w14:paraId="0EAFA241" w14:textId="1F5A126F" w:rsidR="00780C45" w:rsidRPr="00780C45" w:rsidRDefault="004978CC" w:rsidP="00063AE4">
            <w:pPr>
              <w:spacing w:after="0" w:line="240" w:lineRule="auto"/>
              <w:jc w:val="both"/>
              <w:rPr>
                <w:rFonts w:ascii="Arial" w:eastAsia="Times New Roman" w:hAnsi="Arial" w:cs="Arial"/>
                <w:color w:val="000000" w:themeColor="text1"/>
                <w:lang w:val="en-GB"/>
              </w:rPr>
            </w:pPr>
            <w:r w:rsidRPr="00780C45">
              <w:rPr>
                <w:rFonts w:ascii="Arial" w:eastAsia="Times New Roman" w:hAnsi="Arial" w:cs="Arial"/>
                <w:color w:val="000000" w:themeColor="text1"/>
                <w:lang w:val="en-GB"/>
              </w:rPr>
              <w:t xml:space="preserve">As per the definition in the Standard, the </w:t>
            </w:r>
            <w:r w:rsidR="00780C45" w:rsidRPr="00780C45">
              <w:rPr>
                <w:rFonts w:ascii="Arial" w:eastAsia="Times New Roman" w:hAnsi="Arial" w:cs="Arial"/>
                <w:color w:val="000000" w:themeColor="text1"/>
                <w:lang w:val="en-GB"/>
              </w:rPr>
              <w:t>purpose</w:t>
            </w:r>
            <w:r w:rsidRPr="00780C45">
              <w:rPr>
                <w:rFonts w:ascii="Arial" w:eastAsia="Times New Roman" w:hAnsi="Arial" w:cs="Arial"/>
                <w:color w:val="000000" w:themeColor="text1"/>
                <w:lang w:val="en-GB"/>
              </w:rPr>
              <w:t xml:space="preserve"> of this particular asset management company is to </w:t>
            </w:r>
            <w:r w:rsidR="00780C45" w:rsidRPr="00780C45">
              <w:rPr>
                <w:rFonts w:ascii="Arial" w:eastAsia="Times New Roman" w:hAnsi="Arial" w:cs="Arial"/>
                <w:color w:val="000000" w:themeColor="text1"/>
                <w:lang w:val="en-GB"/>
              </w:rPr>
              <w:t xml:space="preserve">manage impaired </w:t>
            </w:r>
            <w:r w:rsidR="00BF2015">
              <w:rPr>
                <w:rFonts w:ascii="Arial" w:eastAsia="Times New Roman" w:hAnsi="Arial" w:cs="Arial"/>
                <w:color w:val="000000" w:themeColor="text1"/>
                <w:lang w:val="en-GB"/>
              </w:rPr>
              <w:t xml:space="preserve">or </w:t>
            </w:r>
            <w:r w:rsidR="00780C45" w:rsidRPr="00780C45">
              <w:rPr>
                <w:rFonts w:ascii="Arial" w:eastAsia="Times New Roman" w:hAnsi="Arial" w:cs="Arial"/>
                <w:color w:val="000000" w:themeColor="text1"/>
                <w:lang w:val="en-GB"/>
              </w:rPr>
              <w:t xml:space="preserve">non-performing assets </w:t>
            </w:r>
            <w:r w:rsidR="0074643F">
              <w:rPr>
                <w:rFonts w:ascii="Arial" w:eastAsia="Times New Roman" w:hAnsi="Arial" w:cs="Arial"/>
                <w:color w:val="000000" w:themeColor="text1"/>
                <w:lang w:val="en-GB"/>
              </w:rPr>
              <w:t>to</w:t>
            </w:r>
            <w:r w:rsidR="00780C45" w:rsidRPr="00780C45">
              <w:rPr>
                <w:rFonts w:ascii="Arial" w:eastAsia="Times New Roman" w:hAnsi="Arial" w:cs="Arial"/>
                <w:color w:val="000000" w:themeColor="text1"/>
                <w:lang w:val="en-GB"/>
              </w:rPr>
              <w:t xml:space="preserve"> maximise their value (</w:t>
            </w:r>
            <w:r w:rsidR="0074643F">
              <w:rPr>
                <w:rFonts w:ascii="Arial" w:eastAsia="Times New Roman" w:hAnsi="Arial" w:cs="Arial"/>
                <w:color w:val="000000" w:themeColor="text1"/>
                <w:lang w:val="en-GB"/>
              </w:rPr>
              <w:t>i.e.,</w:t>
            </w:r>
            <w:r w:rsidR="00780C45" w:rsidRPr="00780C45">
              <w:rPr>
                <w:rFonts w:ascii="Arial" w:eastAsia="Times New Roman" w:hAnsi="Arial" w:cs="Arial"/>
                <w:color w:val="000000" w:themeColor="text1"/>
                <w:lang w:val="en-GB"/>
              </w:rPr>
              <w:t xml:space="preserve"> ‘sweat’ th</w:t>
            </w:r>
            <w:r w:rsidR="0074643F">
              <w:rPr>
                <w:rFonts w:ascii="Arial" w:eastAsia="Times New Roman" w:hAnsi="Arial" w:cs="Arial"/>
                <w:color w:val="000000" w:themeColor="text1"/>
                <w:lang w:val="en-GB"/>
              </w:rPr>
              <w:t>e</w:t>
            </w:r>
            <w:r w:rsidR="00780C45" w:rsidRPr="00780C45">
              <w:rPr>
                <w:rFonts w:ascii="Arial" w:eastAsia="Times New Roman" w:hAnsi="Arial" w:cs="Arial"/>
                <w:color w:val="000000" w:themeColor="text1"/>
                <w:lang w:val="en-GB"/>
              </w:rPr>
              <w:t xml:space="preserve"> assets). Therefore, its function will not be that of an ‘ordinary’ Asset Management </w:t>
            </w:r>
            <w:r w:rsidR="0074643F">
              <w:rPr>
                <w:rFonts w:ascii="Arial" w:eastAsia="Times New Roman" w:hAnsi="Arial" w:cs="Arial"/>
                <w:color w:val="000000" w:themeColor="text1"/>
                <w:lang w:val="en-GB"/>
              </w:rPr>
              <w:t>C</w:t>
            </w:r>
            <w:r w:rsidR="00780C45" w:rsidRPr="00780C45">
              <w:rPr>
                <w:rFonts w:ascii="Arial" w:eastAsia="Times New Roman" w:hAnsi="Arial" w:cs="Arial"/>
                <w:color w:val="000000" w:themeColor="text1"/>
                <w:lang w:val="en-GB"/>
              </w:rPr>
              <w:t>ompany that might require a Collective Investment Scheme licence.</w:t>
            </w:r>
          </w:p>
          <w:p w14:paraId="474A8F5C" w14:textId="126A85EE" w:rsidR="00C84660" w:rsidRDefault="00C84660" w:rsidP="00063AE4">
            <w:pPr>
              <w:spacing w:after="0" w:line="240" w:lineRule="auto"/>
              <w:jc w:val="both"/>
              <w:rPr>
                <w:rFonts w:ascii="Arial" w:eastAsia="Times New Roman" w:hAnsi="Arial" w:cs="Arial"/>
                <w:lang w:val="en-GB"/>
              </w:rPr>
            </w:pPr>
          </w:p>
          <w:p w14:paraId="1BA0B635" w14:textId="7D8820C0" w:rsidR="00C84660" w:rsidRPr="002F21B0" w:rsidRDefault="00C84660" w:rsidP="00063AE4">
            <w:pPr>
              <w:spacing w:after="0" w:line="240" w:lineRule="auto"/>
              <w:jc w:val="both"/>
              <w:rPr>
                <w:rFonts w:ascii="Arial" w:eastAsia="Times New Roman" w:hAnsi="Arial" w:cs="Arial"/>
                <w:b/>
                <w:bCs/>
                <w:lang w:val="en-GB"/>
              </w:rPr>
            </w:pPr>
            <w:r w:rsidRPr="0051060F">
              <w:rPr>
                <w:rFonts w:ascii="Arial" w:eastAsia="Times New Roman" w:hAnsi="Arial" w:cs="Arial"/>
                <w:b/>
                <w:bCs/>
                <w:lang w:val="en-GB"/>
              </w:rPr>
              <w:t>Bridge institution</w:t>
            </w:r>
            <w:r w:rsidRPr="002F21B0">
              <w:rPr>
                <w:rFonts w:ascii="Arial" w:eastAsia="Times New Roman" w:hAnsi="Arial" w:cs="Arial"/>
                <w:b/>
                <w:bCs/>
                <w:lang w:val="en-GB"/>
              </w:rPr>
              <w:t>:</w:t>
            </w:r>
          </w:p>
          <w:p w14:paraId="08EE82A2" w14:textId="43D3DD18" w:rsidR="00C84660" w:rsidRDefault="00074401" w:rsidP="00063AE4">
            <w:pPr>
              <w:spacing w:after="0" w:line="240" w:lineRule="auto"/>
              <w:jc w:val="both"/>
              <w:rPr>
                <w:rFonts w:ascii="Arial" w:eastAsia="Times New Roman" w:hAnsi="Arial" w:cs="Arial"/>
                <w:lang w:val="en-GB"/>
              </w:rPr>
            </w:pPr>
            <w:r>
              <w:rPr>
                <w:rFonts w:ascii="Arial" w:eastAsia="Times New Roman" w:hAnsi="Arial" w:cs="Arial"/>
                <w:lang w:val="en-GB"/>
              </w:rPr>
              <w:t xml:space="preserve">A </w:t>
            </w:r>
            <w:r w:rsidR="00010AB0">
              <w:rPr>
                <w:rFonts w:ascii="Arial" w:eastAsia="Times New Roman" w:hAnsi="Arial" w:cs="Arial"/>
                <w:lang w:val="en-GB"/>
              </w:rPr>
              <w:t xml:space="preserve">Bridge institution is a company incorporated in terms of section 166F of the Act. The </w:t>
            </w:r>
            <w:r w:rsidR="00B264CE">
              <w:rPr>
                <w:rFonts w:ascii="Arial" w:eastAsia="Times New Roman" w:hAnsi="Arial" w:cs="Arial"/>
                <w:lang w:val="en-GB"/>
              </w:rPr>
              <w:t xml:space="preserve">Standard </w:t>
            </w:r>
            <w:r>
              <w:rPr>
                <w:rFonts w:ascii="Arial" w:eastAsia="Times New Roman" w:hAnsi="Arial" w:cs="Arial"/>
                <w:lang w:val="en-GB"/>
              </w:rPr>
              <w:t xml:space="preserve">defines it as </w:t>
            </w:r>
            <w:r w:rsidR="00883D71">
              <w:rPr>
                <w:rFonts w:ascii="Arial" w:eastAsia="Times New Roman" w:hAnsi="Arial" w:cs="Arial"/>
                <w:lang w:val="en-GB"/>
              </w:rPr>
              <w:t>such,</w:t>
            </w:r>
            <w:r>
              <w:rPr>
                <w:rFonts w:ascii="Arial" w:eastAsia="Times New Roman" w:hAnsi="Arial" w:cs="Arial"/>
                <w:lang w:val="en-GB"/>
              </w:rPr>
              <w:t xml:space="preserve"> and </w:t>
            </w:r>
            <w:proofErr w:type="gramStart"/>
            <w:r w:rsidR="00883D71">
              <w:rPr>
                <w:rFonts w:ascii="Arial" w:eastAsia="Times New Roman" w:hAnsi="Arial" w:cs="Arial"/>
                <w:lang w:val="en-GB"/>
              </w:rPr>
              <w:t>the  Standard</w:t>
            </w:r>
            <w:proofErr w:type="gramEnd"/>
            <w:r w:rsidR="00883D71">
              <w:rPr>
                <w:rFonts w:ascii="Arial" w:eastAsia="Times New Roman" w:hAnsi="Arial" w:cs="Arial"/>
                <w:lang w:val="en-GB"/>
              </w:rPr>
              <w:t xml:space="preserve"> </w:t>
            </w:r>
            <w:r w:rsidR="00B264CE">
              <w:rPr>
                <w:rFonts w:ascii="Arial" w:eastAsia="Times New Roman" w:hAnsi="Arial" w:cs="Arial"/>
                <w:lang w:val="en-GB"/>
              </w:rPr>
              <w:t xml:space="preserve">only </w:t>
            </w:r>
            <w:r>
              <w:rPr>
                <w:rFonts w:ascii="Arial" w:eastAsia="Times New Roman" w:hAnsi="Arial" w:cs="Arial"/>
                <w:lang w:val="en-GB"/>
              </w:rPr>
              <w:t>refers</w:t>
            </w:r>
            <w:r w:rsidR="00B264CE">
              <w:rPr>
                <w:rFonts w:ascii="Arial" w:eastAsia="Times New Roman" w:hAnsi="Arial" w:cs="Arial"/>
                <w:lang w:val="en-GB"/>
              </w:rPr>
              <w:t xml:space="preserve"> to</w:t>
            </w:r>
            <w:r w:rsidR="00883D71">
              <w:rPr>
                <w:rFonts w:ascii="Arial" w:eastAsia="Times New Roman" w:hAnsi="Arial" w:cs="Arial"/>
                <w:lang w:val="en-GB"/>
              </w:rPr>
              <w:t xml:space="preserve"> a</w:t>
            </w:r>
            <w:r w:rsidR="00B264CE">
              <w:rPr>
                <w:rFonts w:ascii="Arial" w:eastAsia="Times New Roman" w:hAnsi="Arial" w:cs="Arial"/>
                <w:lang w:val="en-GB"/>
              </w:rPr>
              <w:t xml:space="preserve"> </w:t>
            </w:r>
            <w:r w:rsidR="00B264CE" w:rsidRPr="005E53FD">
              <w:rPr>
                <w:rFonts w:ascii="Arial" w:eastAsia="Times New Roman" w:hAnsi="Arial" w:cs="Arial"/>
                <w:i/>
                <w:iCs/>
                <w:lang w:val="en-GB"/>
              </w:rPr>
              <w:t xml:space="preserve">bridge </w:t>
            </w:r>
            <w:r w:rsidR="00B264CE" w:rsidRPr="005E53FD">
              <w:rPr>
                <w:rFonts w:ascii="Arial" w:eastAsia="Times New Roman" w:hAnsi="Arial" w:cs="Arial"/>
                <w:i/>
                <w:iCs/>
                <w:u w:val="single"/>
                <w:lang w:val="en-GB"/>
              </w:rPr>
              <w:t>institution</w:t>
            </w:r>
            <w:r w:rsidR="00B264CE">
              <w:rPr>
                <w:rFonts w:ascii="Arial" w:eastAsia="Times New Roman" w:hAnsi="Arial" w:cs="Arial"/>
                <w:lang w:val="en-GB"/>
              </w:rPr>
              <w:t xml:space="preserve"> and not </w:t>
            </w:r>
            <w:r w:rsidR="00B264CE" w:rsidRPr="005E53FD">
              <w:rPr>
                <w:rFonts w:ascii="Arial" w:eastAsia="Times New Roman" w:hAnsi="Arial" w:cs="Arial"/>
                <w:i/>
                <w:iCs/>
                <w:lang w:val="en-GB"/>
              </w:rPr>
              <w:t xml:space="preserve">bridge </w:t>
            </w:r>
            <w:r w:rsidR="00B264CE" w:rsidRPr="005E53FD">
              <w:rPr>
                <w:rFonts w:ascii="Arial" w:eastAsia="Times New Roman" w:hAnsi="Arial" w:cs="Arial"/>
                <w:i/>
                <w:iCs/>
                <w:u w:val="single"/>
                <w:lang w:val="en-GB"/>
              </w:rPr>
              <w:t>bank</w:t>
            </w:r>
            <w:r w:rsidRPr="005E53FD">
              <w:rPr>
                <w:rFonts w:ascii="Arial" w:eastAsia="Times New Roman" w:hAnsi="Arial" w:cs="Arial"/>
                <w:u w:val="single"/>
                <w:lang w:val="en-GB"/>
              </w:rPr>
              <w:t>.</w:t>
            </w:r>
          </w:p>
          <w:p w14:paraId="009F21CD" w14:textId="77777777" w:rsidR="00010AB0" w:rsidRDefault="00010AB0" w:rsidP="00063AE4">
            <w:pPr>
              <w:spacing w:after="0" w:line="240" w:lineRule="auto"/>
              <w:jc w:val="both"/>
              <w:rPr>
                <w:rFonts w:ascii="Arial" w:eastAsia="Times New Roman" w:hAnsi="Arial" w:cs="Arial"/>
                <w:i/>
                <w:iCs/>
                <w:lang w:val="en-GB"/>
              </w:rPr>
            </w:pPr>
          </w:p>
          <w:p w14:paraId="0E57CFDE" w14:textId="2724941B" w:rsidR="00C84660" w:rsidRPr="002F21B0" w:rsidRDefault="00C84660" w:rsidP="00063AE4">
            <w:pPr>
              <w:spacing w:after="0" w:line="240" w:lineRule="auto"/>
              <w:jc w:val="both"/>
              <w:rPr>
                <w:rFonts w:ascii="Arial" w:eastAsia="Times New Roman" w:hAnsi="Arial" w:cs="Arial"/>
                <w:b/>
                <w:bCs/>
                <w:lang w:val="en-GB"/>
              </w:rPr>
            </w:pPr>
            <w:r w:rsidRPr="0051060F">
              <w:rPr>
                <w:rFonts w:ascii="Arial" w:eastAsia="Times New Roman" w:hAnsi="Arial" w:cs="Arial"/>
                <w:b/>
                <w:bCs/>
                <w:lang w:val="en-GB"/>
              </w:rPr>
              <w:t>Financial contracts</w:t>
            </w:r>
            <w:r w:rsidR="007924FA" w:rsidRPr="0051060F">
              <w:rPr>
                <w:rFonts w:ascii="Arial" w:eastAsia="Times New Roman" w:hAnsi="Arial" w:cs="Arial"/>
                <w:b/>
                <w:bCs/>
                <w:lang w:val="en-GB"/>
              </w:rPr>
              <w:t xml:space="preserve"> definition</w:t>
            </w:r>
            <w:r w:rsidRPr="002F21B0">
              <w:rPr>
                <w:rFonts w:ascii="Arial" w:eastAsia="Times New Roman" w:hAnsi="Arial" w:cs="Arial"/>
                <w:b/>
                <w:bCs/>
                <w:lang w:val="en-GB"/>
              </w:rPr>
              <w:t>:</w:t>
            </w:r>
          </w:p>
          <w:p w14:paraId="6308CF95" w14:textId="391B3D53" w:rsidR="00572AC9" w:rsidRDefault="00572AC9" w:rsidP="00572AC9">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F22F64">
              <w:rPr>
                <w:rFonts w:ascii="Arial" w:eastAsia="Times New Roman" w:hAnsi="Arial" w:cs="Arial"/>
                <w:lang w:val="en-GB"/>
              </w:rPr>
              <w:t>Stays and Moratoria</w:t>
            </w:r>
            <w:r>
              <w:rPr>
                <w:rFonts w:ascii="Arial" w:eastAsia="Times New Roman" w:hAnsi="Arial" w:cs="Arial"/>
                <w:lang w:val="en-GB"/>
              </w:rPr>
              <w:t xml:space="preserve"> Standard has ‘covered contracts’ not ‘financial contracts’ under </w:t>
            </w:r>
            <w:r w:rsidR="003216D1">
              <w:rPr>
                <w:rFonts w:ascii="Arial" w:eastAsia="Times New Roman" w:hAnsi="Arial" w:cs="Arial"/>
                <w:lang w:val="en-GB"/>
              </w:rPr>
              <w:t>definitions. In</w:t>
            </w:r>
            <w:r>
              <w:rPr>
                <w:rFonts w:ascii="Arial" w:eastAsia="Times New Roman" w:hAnsi="Arial" w:cs="Arial"/>
                <w:lang w:val="en-GB"/>
              </w:rPr>
              <w:t xml:space="preserve"> addition, referencing definition</w:t>
            </w:r>
            <w:r w:rsidR="003C6B0B">
              <w:rPr>
                <w:rFonts w:ascii="Arial" w:eastAsia="Times New Roman" w:hAnsi="Arial" w:cs="Arial"/>
                <w:lang w:val="en-GB"/>
              </w:rPr>
              <w:t>s</w:t>
            </w:r>
            <w:r>
              <w:rPr>
                <w:rFonts w:ascii="Arial" w:eastAsia="Times New Roman" w:hAnsi="Arial" w:cs="Arial"/>
                <w:lang w:val="en-GB"/>
              </w:rPr>
              <w:t xml:space="preserve"> to another Standard opens the risk of edits and or deletions </w:t>
            </w:r>
            <w:r w:rsidR="003216D1">
              <w:rPr>
                <w:rFonts w:ascii="Arial" w:eastAsia="Times New Roman" w:hAnsi="Arial" w:cs="Arial"/>
                <w:lang w:val="en-GB"/>
              </w:rPr>
              <w:t>i</w:t>
            </w:r>
            <w:r>
              <w:rPr>
                <w:rFonts w:ascii="Arial" w:eastAsia="Times New Roman" w:hAnsi="Arial" w:cs="Arial"/>
                <w:lang w:val="en-GB"/>
              </w:rPr>
              <w:t>n another Standard which may not be applicable for the purposes of this Standard.</w:t>
            </w:r>
            <w:r w:rsidR="00903BF6">
              <w:rPr>
                <w:rFonts w:ascii="Arial" w:eastAsia="Times New Roman" w:hAnsi="Arial" w:cs="Arial"/>
                <w:lang w:val="en-GB"/>
              </w:rPr>
              <w:t xml:space="preserve"> In addition,</w:t>
            </w:r>
            <w:r w:rsidR="007816FC">
              <w:rPr>
                <w:rFonts w:ascii="Arial" w:eastAsia="Times New Roman" w:hAnsi="Arial" w:cs="Arial"/>
                <w:lang w:val="en-GB"/>
              </w:rPr>
              <w:t xml:space="preserve"> the revised Standard </w:t>
            </w:r>
            <w:r w:rsidR="00903BF6">
              <w:rPr>
                <w:rFonts w:ascii="Arial" w:eastAsia="Times New Roman" w:hAnsi="Arial" w:cs="Arial"/>
                <w:lang w:val="en-GB"/>
              </w:rPr>
              <w:t>now includes</w:t>
            </w:r>
            <w:r w:rsidR="007816FC">
              <w:rPr>
                <w:rFonts w:ascii="Arial" w:eastAsia="Times New Roman" w:hAnsi="Arial" w:cs="Arial"/>
                <w:lang w:val="en-GB"/>
              </w:rPr>
              <w:t xml:space="preserve"> the definition for Master Agreement</w:t>
            </w:r>
            <w:r w:rsidR="00903BF6">
              <w:rPr>
                <w:rFonts w:ascii="Arial" w:eastAsia="Times New Roman" w:hAnsi="Arial" w:cs="Arial"/>
                <w:lang w:val="en-GB"/>
              </w:rPr>
              <w:t>s</w:t>
            </w:r>
          </w:p>
          <w:p w14:paraId="5D80AE2D" w14:textId="2CA6EC76" w:rsidR="00572AC9" w:rsidRDefault="00572AC9" w:rsidP="00063AE4">
            <w:pPr>
              <w:spacing w:after="0" w:line="240" w:lineRule="auto"/>
              <w:jc w:val="both"/>
              <w:rPr>
                <w:rFonts w:ascii="Arial" w:eastAsia="Times New Roman" w:hAnsi="Arial" w:cs="Arial"/>
                <w:lang w:val="en-GB"/>
              </w:rPr>
            </w:pPr>
          </w:p>
          <w:p w14:paraId="1ACA24DD" w14:textId="164110A9" w:rsidR="00572AC9" w:rsidRDefault="005E53FD" w:rsidP="00063AE4">
            <w:pPr>
              <w:spacing w:after="0" w:line="240" w:lineRule="auto"/>
              <w:jc w:val="both"/>
              <w:rPr>
                <w:rFonts w:ascii="Arial" w:eastAsia="Times New Roman" w:hAnsi="Arial" w:cs="Arial"/>
                <w:lang w:val="en-GB"/>
              </w:rPr>
            </w:pPr>
            <w:r>
              <w:rPr>
                <w:rFonts w:ascii="Arial" w:eastAsia="Times New Roman" w:hAnsi="Arial" w:cs="Arial"/>
                <w:lang w:val="en-GB"/>
              </w:rPr>
              <w:t>Disagree with the recommendation.</w:t>
            </w:r>
          </w:p>
          <w:p w14:paraId="4E4F9FBC" w14:textId="77777777" w:rsidR="00572AC9" w:rsidRDefault="00572AC9" w:rsidP="00063AE4">
            <w:pPr>
              <w:spacing w:after="0" w:line="240" w:lineRule="auto"/>
              <w:jc w:val="both"/>
              <w:rPr>
                <w:rFonts w:ascii="Arial" w:eastAsia="Times New Roman" w:hAnsi="Arial" w:cs="Arial"/>
                <w:lang w:val="en-GB"/>
              </w:rPr>
            </w:pPr>
          </w:p>
          <w:p w14:paraId="1E06A879" w14:textId="7EA403AB" w:rsidR="00DB336A" w:rsidRPr="002F21B0" w:rsidRDefault="00DB336A" w:rsidP="00063AE4">
            <w:pPr>
              <w:spacing w:after="0" w:line="240" w:lineRule="auto"/>
              <w:jc w:val="both"/>
              <w:rPr>
                <w:rFonts w:ascii="Arial" w:eastAsia="Times New Roman" w:hAnsi="Arial" w:cs="Arial"/>
                <w:b/>
                <w:bCs/>
                <w:lang w:val="en-GB"/>
              </w:rPr>
            </w:pPr>
            <w:r w:rsidRPr="0051060F">
              <w:rPr>
                <w:rFonts w:ascii="Arial" w:eastAsia="Times New Roman" w:hAnsi="Arial" w:cs="Arial"/>
                <w:b/>
                <w:bCs/>
                <w:lang w:val="en-GB"/>
              </w:rPr>
              <w:t>Residual institution</w:t>
            </w:r>
            <w:r w:rsidRPr="002F21B0">
              <w:rPr>
                <w:rFonts w:ascii="Arial" w:eastAsia="Times New Roman" w:hAnsi="Arial" w:cs="Arial"/>
                <w:b/>
                <w:bCs/>
                <w:lang w:val="en-GB"/>
              </w:rPr>
              <w:t>:</w:t>
            </w:r>
          </w:p>
          <w:p w14:paraId="5EEE7476" w14:textId="652A1FF6" w:rsidR="00DB336A" w:rsidRDefault="00060557" w:rsidP="00063AE4">
            <w:pPr>
              <w:spacing w:after="0" w:line="240" w:lineRule="auto"/>
              <w:jc w:val="both"/>
              <w:rPr>
                <w:rFonts w:ascii="Arial" w:eastAsia="Times New Roman" w:hAnsi="Arial" w:cs="Arial"/>
                <w:lang w:val="en-GB"/>
              </w:rPr>
            </w:pPr>
            <w:r>
              <w:rPr>
                <w:rFonts w:ascii="Arial" w:eastAsia="Times New Roman" w:hAnsi="Arial" w:cs="Arial"/>
                <w:lang w:val="en-GB"/>
              </w:rPr>
              <w:t xml:space="preserve">The definition of </w:t>
            </w:r>
            <w:r w:rsidR="003C6B0B">
              <w:rPr>
                <w:rFonts w:ascii="Arial" w:eastAsia="Times New Roman" w:hAnsi="Arial" w:cs="Arial"/>
                <w:lang w:val="en-GB"/>
              </w:rPr>
              <w:t xml:space="preserve">a </w:t>
            </w:r>
            <w:r>
              <w:rPr>
                <w:rFonts w:ascii="Arial" w:eastAsia="Times New Roman" w:hAnsi="Arial" w:cs="Arial"/>
                <w:lang w:val="en-GB"/>
              </w:rPr>
              <w:t>residual institution</w:t>
            </w:r>
            <w:r w:rsidR="003C6B0B">
              <w:rPr>
                <w:rFonts w:ascii="Arial" w:eastAsia="Times New Roman" w:hAnsi="Arial" w:cs="Arial"/>
                <w:lang w:val="en-GB"/>
              </w:rPr>
              <w:t xml:space="preserve"> in the Standard </w:t>
            </w:r>
            <w:r>
              <w:rPr>
                <w:rFonts w:ascii="Arial" w:eastAsia="Times New Roman" w:hAnsi="Arial" w:cs="Arial"/>
                <w:lang w:val="en-GB"/>
              </w:rPr>
              <w:t>bears the meaning</w:t>
            </w:r>
            <w:r w:rsidR="003C6B0B">
              <w:rPr>
                <w:rFonts w:ascii="Arial" w:eastAsia="Times New Roman" w:hAnsi="Arial" w:cs="Arial"/>
                <w:lang w:val="en-GB"/>
              </w:rPr>
              <w:t xml:space="preserve"> necessary for correct interpretation and context for the </w:t>
            </w:r>
            <w:r w:rsidR="006B05B0">
              <w:rPr>
                <w:rFonts w:ascii="Arial" w:eastAsia="Times New Roman" w:hAnsi="Arial" w:cs="Arial"/>
                <w:lang w:val="en-GB"/>
              </w:rPr>
              <w:t xml:space="preserve">Standard. The Authorities would like to point the respondent to note the </w:t>
            </w:r>
            <w:r w:rsidR="006B4854">
              <w:rPr>
                <w:rFonts w:ascii="Arial" w:eastAsia="Times New Roman" w:hAnsi="Arial" w:cs="Arial"/>
                <w:lang w:val="en-GB"/>
              </w:rPr>
              <w:t>difference between a residual institution and a surviving institution.</w:t>
            </w:r>
          </w:p>
          <w:p w14:paraId="36D77D76" w14:textId="77777777" w:rsidR="00EA1D2F" w:rsidRDefault="00EA1D2F" w:rsidP="00063AE4">
            <w:pPr>
              <w:spacing w:after="0" w:line="240" w:lineRule="auto"/>
              <w:jc w:val="both"/>
              <w:rPr>
                <w:rFonts w:ascii="Arial" w:eastAsia="Times New Roman" w:hAnsi="Arial" w:cs="Arial"/>
                <w:lang w:val="en-GB"/>
              </w:rPr>
            </w:pPr>
          </w:p>
          <w:p w14:paraId="6767F8BC" w14:textId="5928D2F9" w:rsidR="00EA1D2F" w:rsidRPr="0051060F" w:rsidRDefault="00545B24" w:rsidP="00063AE4">
            <w:pPr>
              <w:spacing w:after="0" w:line="240" w:lineRule="auto"/>
              <w:jc w:val="both"/>
              <w:rPr>
                <w:rFonts w:ascii="Arial" w:eastAsia="Times New Roman" w:hAnsi="Arial" w:cs="Arial"/>
                <w:color w:val="FF0000"/>
                <w:lang w:val="en-GB"/>
              </w:rPr>
            </w:pPr>
            <w:r w:rsidRPr="0051060F">
              <w:rPr>
                <w:rFonts w:ascii="Arial" w:eastAsia="Times New Roman" w:hAnsi="Arial" w:cs="Arial"/>
                <w:b/>
                <w:bCs/>
                <w:color w:val="000000" w:themeColor="text1"/>
                <w:lang w:val="en-GB"/>
              </w:rPr>
              <w:t xml:space="preserve">SA’s intended approach to bank resolution paper </w:t>
            </w:r>
            <w:r w:rsidR="004C531B" w:rsidRPr="0051060F">
              <w:rPr>
                <w:rFonts w:ascii="Arial" w:eastAsia="Times New Roman" w:hAnsi="Arial" w:cs="Arial"/>
                <w:b/>
                <w:bCs/>
                <w:color w:val="000000" w:themeColor="text1"/>
                <w:lang w:val="en-GB"/>
              </w:rPr>
              <w:t>- d</w:t>
            </w:r>
            <w:r w:rsidRPr="0051060F">
              <w:rPr>
                <w:rFonts w:ascii="Arial" w:eastAsia="Times New Roman" w:hAnsi="Arial" w:cs="Arial"/>
                <w:b/>
                <w:bCs/>
                <w:color w:val="000000" w:themeColor="text1"/>
                <w:lang w:val="en-GB"/>
              </w:rPr>
              <w:t>ifference between liquidation and wind-down</w:t>
            </w:r>
            <w:r w:rsidR="00637D44" w:rsidRPr="0051060F">
              <w:rPr>
                <w:rFonts w:ascii="Arial" w:eastAsia="Times New Roman" w:hAnsi="Arial" w:cs="Arial"/>
                <w:color w:val="FF0000"/>
                <w:lang w:val="en-GB"/>
              </w:rPr>
              <w:t>:</w:t>
            </w:r>
          </w:p>
          <w:p w14:paraId="43DE29EE" w14:textId="5E5EC002" w:rsidR="00537A47" w:rsidRPr="00637D44" w:rsidRDefault="00F63436" w:rsidP="00063AE4">
            <w:pPr>
              <w:spacing w:after="0" w:line="240" w:lineRule="auto"/>
              <w:jc w:val="both"/>
              <w:rPr>
                <w:rFonts w:ascii="Arial" w:eastAsia="Times New Roman" w:hAnsi="Arial" w:cs="Arial"/>
                <w:i/>
                <w:iCs/>
                <w:lang w:val="en-GB"/>
              </w:rPr>
            </w:pPr>
            <w:r>
              <w:rPr>
                <w:rFonts w:ascii="Arial" w:eastAsia="Times New Roman" w:hAnsi="Arial" w:cs="Arial"/>
                <w:lang w:val="en-GB"/>
              </w:rPr>
              <w:t>L</w:t>
            </w:r>
            <w:r w:rsidRPr="0074643F">
              <w:rPr>
                <w:rFonts w:ascii="Arial" w:eastAsia="Times New Roman" w:hAnsi="Arial" w:cs="Arial"/>
                <w:lang w:val="en-GB"/>
              </w:rPr>
              <w:t>iquidation is a specific process governed by legislation that results in a company being deregistered</w:t>
            </w:r>
            <w:r>
              <w:rPr>
                <w:rFonts w:ascii="Arial" w:eastAsia="Times New Roman" w:hAnsi="Arial" w:cs="Arial"/>
                <w:lang w:val="en-GB"/>
              </w:rPr>
              <w:t>.</w:t>
            </w:r>
            <w:r w:rsidR="00F057C1">
              <w:rPr>
                <w:rFonts w:ascii="Arial" w:eastAsia="Times New Roman" w:hAnsi="Arial" w:cs="Arial"/>
                <w:lang w:val="en-GB"/>
              </w:rPr>
              <w:t xml:space="preserve"> A wind</w:t>
            </w:r>
            <w:r w:rsidR="0071556B">
              <w:rPr>
                <w:rFonts w:ascii="Arial" w:eastAsia="Times New Roman" w:hAnsi="Arial" w:cs="Arial"/>
                <w:lang w:val="en-GB"/>
              </w:rPr>
              <w:t>-</w:t>
            </w:r>
            <w:r w:rsidR="00F057C1">
              <w:rPr>
                <w:rFonts w:ascii="Arial" w:eastAsia="Times New Roman" w:hAnsi="Arial" w:cs="Arial"/>
                <w:lang w:val="en-GB"/>
              </w:rPr>
              <w:t xml:space="preserve">down entails any process </w:t>
            </w:r>
            <w:r w:rsidR="00F057C1" w:rsidRPr="0074643F">
              <w:rPr>
                <w:rFonts w:ascii="Arial" w:eastAsia="Times New Roman" w:hAnsi="Arial" w:cs="Arial"/>
                <w:lang w:val="en-GB"/>
              </w:rPr>
              <w:t xml:space="preserve">that any business may use to reduce or cease some or all operations that may or may not result in the deregistration of </w:t>
            </w:r>
            <w:r w:rsidR="00B22001">
              <w:rPr>
                <w:rFonts w:ascii="Arial" w:eastAsia="Times New Roman" w:hAnsi="Arial" w:cs="Arial"/>
                <w:lang w:val="en-GB"/>
              </w:rPr>
              <w:t xml:space="preserve">the </w:t>
            </w:r>
            <w:r w:rsidR="00F057C1" w:rsidRPr="0074643F">
              <w:rPr>
                <w:rFonts w:ascii="Arial" w:eastAsia="Times New Roman" w:hAnsi="Arial" w:cs="Arial"/>
                <w:lang w:val="en-GB"/>
              </w:rPr>
              <w:t>said business</w:t>
            </w:r>
            <w:r w:rsidR="00F102AE" w:rsidRPr="0074643F">
              <w:rPr>
                <w:rFonts w:ascii="Arial" w:eastAsia="Times New Roman" w:hAnsi="Arial" w:cs="Arial"/>
                <w:lang w:val="en-GB"/>
              </w:rPr>
              <w:t>.</w:t>
            </w:r>
            <w:r w:rsidR="00F102AE">
              <w:rPr>
                <w:rFonts w:ascii="Arial" w:eastAsia="Times New Roman" w:hAnsi="Arial" w:cs="Arial"/>
                <w:lang w:val="en-GB"/>
              </w:rPr>
              <w:t xml:space="preserve"> </w:t>
            </w:r>
            <w:r w:rsidR="0071556B">
              <w:rPr>
                <w:rFonts w:ascii="Arial" w:eastAsia="Times New Roman" w:hAnsi="Arial" w:cs="Arial"/>
                <w:lang w:val="en-GB"/>
              </w:rPr>
              <w:t xml:space="preserve"> Therefore, </w:t>
            </w:r>
            <w:r w:rsidR="0071556B" w:rsidRPr="0074643F">
              <w:rPr>
                <w:rFonts w:ascii="Arial" w:eastAsia="Times New Roman" w:hAnsi="Arial" w:cs="Arial"/>
                <w:lang w:val="en-GB"/>
              </w:rPr>
              <w:t xml:space="preserve">a liquidation is </w:t>
            </w:r>
            <w:r w:rsidR="0074643F">
              <w:rPr>
                <w:rFonts w:ascii="Arial" w:eastAsia="Times New Roman" w:hAnsi="Arial" w:cs="Arial"/>
                <w:lang w:val="en-GB"/>
              </w:rPr>
              <w:t xml:space="preserve">always </w:t>
            </w:r>
            <w:r w:rsidR="0071556B" w:rsidRPr="0074643F">
              <w:rPr>
                <w:rFonts w:ascii="Arial" w:eastAsia="Times New Roman" w:hAnsi="Arial" w:cs="Arial"/>
                <w:lang w:val="en-GB"/>
              </w:rPr>
              <w:t>a wind-down but not every wind-down is a liquidation</w:t>
            </w:r>
            <w:r w:rsidR="0071556B">
              <w:rPr>
                <w:rFonts w:ascii="Arial" w:eastAsia="Times New Roman" w:hAnsi="Arial" w:cs="Arial"/>
                <w:lang w:val="en-GB"/>
              </w:rPr>
              <w:t>.</w:t>
            </w:r>
          </w:p>
        </w:tc>
      </w:tr>
      <w:tr w:rsidR="006B77FA" w:rsidRPr="009D05E3" w14:paraId="7E5A381A" w14:textId="0A1C5DD9" w:rsidTr="00A85B2D">
        <w:tc>
          <w:tcPr>
            <w:tcW w:w="20974" w:type="dxa"/>
            <w:gridSpan w:val="5"/>
            <w:shd w:val="clear" w:color="auto" w:fill="D9D9D9" w:themeFill="background1" w:themeFillShade="D9"/>
          </w:tcPr>
          <w:p w14:paraId="7D48F1A5" w14:textId="622FEFF0" w:rsidR="006B77FA" w:rsidRPr="009D05E3" w:rsidRDefault="006B77FA" w:rsidP="00532AB8">
            <w:pPr>
              <w:pStyle w:val="ListParagraph"/>
              <w:jc w:val="center"/>
              <w:rPr>
                <w:rFonts w:ascii="Arial" w:hAnsi="Arial" w:cs="Arial"/>
                <w:b/>
                <w:sz w:val="32"/>
                <w:szCs w:val="32"/>
                <w:lang w:val="en-GB"/>
              </w:rPr>
            </w:pPr>
            <w:r>
              <w:rPr>
                <w:rFonts w:ascii="Arial" w:hAnsi="Arial" w:cs="Arial"/>
                <w:b/>
                <w:sz w:val="32"/>
                <w:szCs w:val="32"/>
                <w:lang w:val="en-GB"/>
              </w:rPr>
              <w:lastRenderedPageBreak/>
              <w:t>4.Roles and responsibilities</w:t>
            </w:r>
          </w:p>
        </w:tc>
      </w:tr>
      <w:tr w:rsidR="00063AE4" w:rsidRPr="009D05E3" w14:paraId="30959394" w14:textId="77777777" w:rsidTr="00FC2C40">
        <w:tc>
          <w:tcPr>
            <w:tcW w:w="1886" w:type="dxa"/>
          </w:tcPr>
          <w:p w14:paraId="1A3F8E7F" w14:textId="57AF9507" w:rsidR="00063AE4" w:rsidRPr="00213FAA" w:rsidRDefault="00A459CC" w:rsidP="00456761">
            <w:pPr>
              <w:spacing w:after="0"/>
              <w:jc w:val="center"/>
              <w:rPr>
                <w:rFonts w:ascii="Arial" w:hAnsi="Arial" w:cs="Arial"/>
                <w:lang w:val="en-GB"/>
              </w:rPr>
            </w:pPr>
            <w:r w:rsidRPr="00213FAA">
              <w:rPr>
                <w:rFonts w:ascii="Arial" w:hAnsi="Arial" w:cs="Arial"/>
                <w:lang w:val="en-GB"/>
              </w:rPr>
              <w:t>27</w:t>
            </w:r>
          </w:p>
        </w:tc>
        <w:tc>
          <w:tcPr>
            <w:tcW w:w="2078" w:type="dxa"/>
          </w:tcPr>
          <w:p w14:paraId="134A4AF1" w14:textId="2D8A1DF2" w:rsidR="00063AE4" w:rsidRPr="00213FAA" w:rsidRDefault="00063AE4" w:rsidP="00063AE4">
            <w:pPr>
              <w:spacing w:after="0" w:line="240" w:lineRule="auto"/>
              <w:rPr>
                <w:rFonts w:ascii="Arial" w:hAnsi="Arial" w:cs="Arial"/>
                <w:lang w:val="en-GB"/>
              </w:rPr>
            </w:pPr>
            <w:r w:rsidRPr="00213FAA">
              <w:rPr>
                <w:rFonts w:ascii="Arial" w:hAnsi="Arial" w:cs="Arial"/>
              </w:rPr>
              <w:t>CLS</w:t>
            </w:r>
          </w:p>
        </w:tc>
        <w:tc>
          <w:tcPr>
            <w:tcW w:w="2691" w:type="dxa"/>
          </w:tcPr>
          <w:p w14:paraId="2429B7BB" w14:textId="4DE8A519" w:rsidR="00063AE4" w:rsidRPr="00213FAA" w:rsidRDefault="00063AE4" w:rsidP="00063AE4">
            <w:pPr>
              <w:spacing w:after="0" w:line="240" w:lineRule="auto"/>
              <w:rPr>
                <w:rFonts w:ascii="Arial" w:hAnsi="Arial" w:cs="Arial"/>
                <w:lang w:val="en-GB"/>
              </w:rPr>
            </w:pPr>
            <w:r w:rsidRPr="00213FAA">
              <w:rPr>
                <w:rFonts w:ascii="Arial" w:hAnsi="Arial" w:cs="Arial"/>
                <w:lang w:val="en-GB"/>
              </w:rPr>
              <w:t>-</w:t>
            </w:r>
          </w:p>
        </w:tc>
        <w:tc>
          <w:tcPr>
            <w:tcW w:w="7903" w:type="dxa"/>
          </w:tcPr>
          <w:p w14:paraId="6F7A4519" w14:textId="42013EAE" w:rsidR="00063AE4" w:rsidRPr="00213FAA" w:rsidRDefault="00063AE4" w:rsidP="00063AE4">
            <w:pPr>
              <w:spacing w:after="0" w:line="240" w:lineRule="auto"/>
              <w:rPr>
                <w:rFonts w:ascii="Arial" w:eastAsia="Times New Roman" w:hAnsi="Arial" w:cs="Arial"/>
                <w:lang w:val="en-GB"/>
              </w:rPr>
            </w:pPr>
            <w:r w:rsidRPr="00213FAA">
              <w:rPr>
                <w:rFonts w:ascii="Arial" w:eastAsia="Times New Roman" w:hAnsi="Arial" w:cs="Arial"/>
                <w:lang w:val="en-GB"/>
              </w:rPr>
              <w:t>No comment</w:t>
            </w:r>
          </w:p>
        </w:tc>
        <w:tc>
          <w:tcPr>
            <w:tcW w:w="6416" w:type="dxa"/>
          </w:tcPr>
          <w:p w14:paraId="40B9BD07" w14:textId="2F6F511E" w:rsidR="00063AE4" w:rsidRPr="00213FAA" w:rsidRDefault="00063AE4" w:rsidP="00C11722">
            <w:pPr>
              <w:spacing w:after="0"/>
              <w:jc w:val="both"/>
              <w:rPr>
                <w:rFonts w:ascii="Arial" w:eastAsia="Times New Roman" w:hAnsi="Arial" w:cs="Arial"/>
                <w:lang w:val="en-GB"/>
              </w:rPr>
            </w:pPr>
            <w:r w:rsidRPr="00213FAA">
              <w:rPr>
                <w:rFonts w:ascii="Arial" w:eastAsia="Times New Roman" w:hAnsi="Arial" w:cs="Arial"/>
                <w:lang w:val="en-GB"/>
              </w:rPr>
              <w:t>Noted</w:t>
            </w:r>
          </w:p>
        </w:tc>
      </w:tr>
      <w:tr w:rsidR="00063AE4" w:rsidRPr="009D05E3" w14:paraId="019B1576" w14:textId="77777777" w:rsidTr="00FC2C40">
        <w:tc>
          <w:tcPr>
            <w:tcW w:w="1886" w:type="dxa"/>
          </w:tcPr>
          <w:p w14:paraId="4AB0B8BF" w14:textId="24850823" w:rsidR="00063AE4" w:rsidRPr="00213FAA" w:rsidRDefault="00A459CC" w:rsidP="00456761">
            <w:pPr>
              <w:spacing w:after="0"/>
              <w:jc w:val="center"/>
              <w:rPr>
                <w:rFonts w:ascii="Arial" w:hAnsi="Arial" w:cs="Arial"/>
                <w:lang w:val="en-GB"/>
              </w:rPr>
            </w:pPr>
            <w:r w:rsidRPr="00213FAA">
              <w:rPr>
                <w:rFonts w:ascii="Arial" w:hAnsi="Arial" w:cs="Arial"/>
                <w:lang w:val="en-GB"/>
              </w:rPr>
              <w:t>28</w:t>
            </w:r>
          </w:p>
        </w:tc>
        <w:tc>
          <w:tcPr>
            <w:tcW w:w="2078" w:type="dxa"/>
          </w:tcPr>
          <w:p w14:paraId="78AC4F46" w14:textId="26AB90A7" w:rsidR="00063AE4" w:rsidRPr="00213FAA" w:rsidRDefault="00063AE4" w:rsidP="00063AE4">
            <w:pPr>
              <w:spacing w:after="0" w:line="240" w:lineRule="auto"/>
              <w:rPr>
                <w:rFonts w:ascii="Arial" w:hAnsi="Arial" w:cs="Arial"/>
                <w:lang w:val="en-GB"/>
              </w:rPr>
            </w:pPr>
            <w:r w:rsidRPr="00213FAA">
              <w:rPr>
                <w:rFonts w:ascii="Arial" w:hAnsi="Arial" w:cs="Arial"/>
              </w:rPr>
              <w:t>FirstRand</w:t>
            </w:r>
          </w:p>
        </w:tc>
        <w:tc>
          <w:tcPr>
            <w:tcW w:w="2691" w:type="dxa"/>
          </w:tcPr>
          <w:p w14:paraId="056A331C" w14:textId="5DB7A3E7" w:rsidR="00063AE4" w:rsidRPr="00213FAA" w:rsidRDefault="00063AE4" w:rsidP="00063AE4">
            <w:pPr>
              <w:spacing w:after="0" w:line="240" w:lineRule="auto"/>
              <w:rPr>
                <w:rFonts w:ascii="Arial" w:hAnsi="Arial" w:cs="Arial"/>
                <w:lang w:val="en-GB"/>
              </w:rPr>
            </w:pPr>
            <w:r w:rsidRPr="00213FAA">
              <w:rPr>
                <w:rFonts w:ascii="Arial" w:hAnsi="Arial" w:cs="Arial"/>
                <w:lang w:val="en-GB"/>
              </w:rPr>
              <w:t>-</w:t>
            </w:r>
          </w:p>
        </w:tc>
        <w:tc>
          <w:tcPr>
            <w:tcW w:w="7903" w:type="dxa"/>
          </w:tcPr>
          <w:p w14:paraId="56376441" w14:textId="1B8C0E89" w:rsidR="00063AE4" w:rsidRPr="00213FAA" w:rsidRDefault="00063AE4" w:rsidP="00063AE4">
            <w:pPr>
              <w:spacing w:after="0" w:line="240" w:lineRule="auto"/>
              <w:rPr>
                <w:rFonts w:ascii="Arial" w:eastAsia="Times New Roman" w:hAnsi="Arial" w:cs="Arial"/>
                <w:lang w:val="en-GB"/>
              </w:rPr>
            </w:pPr>
            <w:r w:rsidRPr="00213FAA">
              <w:rPr>
                <w:rFonts w:ascii="Arial" w:eastAsia="Times New Roman" w:hAnsi="Arial" w:cs="Arial"/>
                <w:lang w:val="en-GB"/>
              </w:rPr>
              <w:t>No comment</w:t>
            </w:r>
          </w:p>
        </w:tc>
        <w:tc>
          <w:tcPr>
            <w:tcW w:w="6416" w:type="dxa"/>
          </w:tcPr>
          <w:p w14:paraId="260DFC77" w14:textId="522BF0E7" w:rsidR="00063AE4" w:rsidRPr="00213FAA" w:rsidRDefault="00063AE4" w:rsidP="00063AE4">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063AE4" w:rsidRPr="009D05E3" w14:paraId="59DAC849" w14:textId="77777777" w:rsidTr="00FC2C40">
        <w:tc>
          <w:tcPr>
            <w:tcW w:w="1886" w:type="dxa"/>
          </w:tcPr>
          <w:p w14:paraId="439022FB" w14:textId="790AF700" w:rsidR="00063AE4" w:rsidRPr="00213FAA" w:rsidRDefault="00A459CC" w:rsidP="00456761">
            <w:pPr>
              <w:spacing w:after="0"/>
              <w:jc w:val="center"/>
              <w:rPr>
                <w:rFonts w:ascii="Arial" w:hAnsi="Arial" w:cs="Arial"/>
                <w:lang w:val="en-GB"/>
              </w:rPr>
            </w:pPr>
            <w:r w:rsidRPr="00213FAA">
              <w:rPr>
                <w:rFonts w:ascii="Arial" w:hAnsi="Arial" w:cs="Arial"/>
                <w:lang w:val="en-GB"/>
              </w:rPr>
              <w:t>29</w:t>
            </w:r>
          </w:p>
        </w:tc>
        <w:tc>
          <w:tcPr>
            <w:tcW w:w="2078" w:type="dxa"/>
          </w:tcPr>
          <w:p w14:paraId="0B9AD1C7" w14:textId="25FCB4A0" w:rsidR="00063AE4" w:rsidRPr="00213FAA" w:rsidRDefault="00164473" w:rsidP="00063AE4">
            <w:pPr>
              <w:spacing w:after="0" w:line="240" w:lineRule="auto"/>
              <w:rPr>
                <w:rFonts w:ascii="Arial" w:hAnsi="Arial" w:cs="Arial"/>
                <w:lang w:val="en-GB"/>
              </w:rPr>
            </w:pPr>
            <w:r w:rsidRPr="00213FAA">
              <w:rPr>
                <w:rFonts w:ascii="Arial" w:hAnsi="Arial" w:cs="Arial"/>
              </w:rPr>
              <w:t>Grindrod</w:t>
            </w:r>
          </w:p>
        </w:tc>
        <w:tc>
          <w:tcPr>
            <w:tcW w:w="2691" w:type="dxa"/>
          </w:tcPr>
          <w:p w14:paraId="4D6E638F" w14:textId="632FE217" w:rsidR="00063AE4" w:rsidRPr="00213FAA" w:rsidRDefault="00063AE4" w:rsidP="00063AE4">
            <w:pPr>
              <w:spacing w:after="0" w:line="240" w:lineRule="auto"/>
              <w:rPr>
                <w:rFonts w:ascii="Arial" w:hAnsi="Arial" w:cs="Arial"/>
                <w:lang w:val="en-GB"/>
              </w:rPr>
            </w:pPr>
            <w:r w:rsidRPr="00213FAA">
              <w:rPr>
                <w:rFonts w:ascii="Arial" w:hAnsi="Arial" w:cs="Arial"/>
                <w:lang w:val="en-GB"/>
              </w:rPr>
              <w:t>-</w:t>
            </w:r>
          </w:p>
        </w:tc>
        <w:tc>
          <w:tcPr>
            <w:tcW w:w="7903" w:type="dxa"/>
          </w:tcPr>
          <w:p w14:paraId="1EEE3B7E" w14:textId="3F017794" w:rsidR="00063AE4" w:rsidRPr="00213FAA" w:rsidRDefault="00063AE4" w:rsidP="00063AE4">
            <w:pPr>
              <w:spacing w:after="0" w:line="240" w:lineRule="auto"/>
              <w:rPr>
                <w:rFonts w:ascii="Arial" w:eastAsia="Times New Roman" w:hAnsi="Arial" w:cs="Arial"/>
                <w:lang w:val="en-GB"/>
              </w:rPr>
            </w:pPr>
            <w:r w:rsidRPr="00213FAA">
              <w:rPr>
                <w:rFonts w:ascii="Arial" w:hAnsi="Arial" w:cs="Arial"/>
                <w:lang w:val="en-GB"/>
              </w:rPr>
              <w:t>No comment</w:t>
            </w:r>
          </w:p>
        </w:tc>
        <w:tc>
          <w:tcPr>
            <w:tcW w:w="6416" w:type="dxa"/>
          </w:tcPr>
          <w:p w14:paraId="346D22BF" w14:textId="36553FD5" w:rsidR="00063AE4" w:rsidRPr="00213FAA" w:rsidRDefault="00063AE4" w:rsidP="00063AE4">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063AE4" w:rsidRPr="009D05E3" w14:paraId="7AAE3558" w14:textId="77777777" w:rsidTr="00FC2C40">
        <w:tc>
          <w:tcPr>
            <w:tcW w:w="1886" w:type="dxa"/>
          </w:tcPr>
          <w:p w14:paraId="2995A62E" w14:textId="46041FD0" w:rsidR="00063AE4" w:rsidRPr="00213FAA" w:rsidRDefault="00A459CC" w:rsidP="00456761">
            <w:pPr>
              <w:spacing w:after="0"/>
              <w:jc w:val="center"/>
              <w:rPr>
                <w:rFonts w:ascii="Arial" w:hAnsi="Arial" w:cs="Arial"/>
                <w:lang w:val="en-GB"/>
              </w:rPr>
            </w:pPr>
            <w:r w:rsidRPr="00213FAA">
              <w:rPr>
                <w:rFonts w:ascii="Arial" w:hAnsi="Arial" w:cs="Arial"/>
                <w:lang w:val="en-GB"/>
              </w:rPr>
              <w:t>30</w:t>
            </w:r>
          </w:p>
        </w:tc>
        <w:tc>
          <w:tcPr>
            <w:tcW w:w="2078" w:type="dxa"/>
          </w:tcPr>
          <w:p w14:paraId="6D14EA15" w14:textId="0891F1AB" w:rsidR="00063AE4" w:rsidRPr="00213FAA" w:rsidRDefault="00063AE4" w:rsidP="00063AE4">
            <w:pPr>
              <w:spacing w:after="0" w:line="240" w:lineRule="auto"/>
              <w:rPr>
                <w:rFonts w:ascii="Arial" w:hAnsi="Arial" w:cs="Arial"/>
                <w:lang w:val="en-GB"/>
              </w:rPr>
            </w:pPr>
            <w:r w:rsidRPr="00213FAA">
              <w:rPr>
                <w:rFonts w:ascii="Arial" w:hAnsi="Arial" w:cs="Arial"/>
              </w:rPr>
              <w:t>Habib Bank</w:t>
            </w:r>
          </w:p>
        </w:tc>
        <w:tc>
          <w:tcPr>
            <w:tcW w:w="2691" w:type="dxa"/>
          </w:tcPr>
          <w:p w14:paraId="7D4C3B06" w14:textId="6149558B" w:rsidR="00063AE4" w:rsidRPr="00213FAA" w:rsidRDefault="00063AE4" w:rsidP="00063AE4">
            <w:pPr>
              <w:spacing w:after="0" w:line="240" w:lineRule="auto"/>
              <w:rPr>
                <w:rFonts w:ascii="Arial" w:hAnsi="Arial" w:cs="Arial"/>
              </w:rPr>
            </w:pPr>
            <w:r w:rsidRPr="00213FAA">
              <w:rPr>
                <w:rFonts w:ascii="Arial" w:hAnsi="Arial" w:cs="Arial"/>
              </w:rPr>
              <w:t>-</w:t>
            </w:r>
          </w:p>
        </w:tc>
        <w:tc>
          <w:tcPr>
            <w:tcW w:w="7903" w:type="dxa"/>
          </w:tcPr>
          <w:p w14:paraId="2A3A1F02" w14:textId="5563A0F1" w:rsidR="00063AE4" w:rsidRPr="00213FAA" w:rsidRDefault="00063AE4" w:rsidP="00063AE4">
            <w:pPr>
              <w:spacing w:after="0" w:line="240" w:lineRule="auto"/>
              <w:rPr>
                <w:rFonts w:ascii="Arial" w:hAnsi="Arial" w:cs="Arial"/>
              </w:rPr>
            </w:pPr>
            <w:r w:rsidRPr="00213FAA">
              <w:rPr>
                <w:rFonts w:ascii="Arial" w:hAnsi="Arial" w:cs="Arial"/>
                <w:lang w:val="en-GB"/>
              </w:rPr>
              <w:t>No comment</w:t>
            </w:r>
          </w:p>
        </w:tc>
        <w:tc>
          <w:tcPr>
            <w:tcW w:w="6416" w:type="dxa"/>
          </w:tcPr>
          <w:p w14:paraId="4C8A8F74" w14:textId="6A222985" w:rsidR="00063AE4" w:rsidRPr="00213FAA" w:rsidRDefault="00063AE4" w:rsidP="00063AE4">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063AE4" w:rsidRPr="009D05E3" w14:paraId="61C869B6" w14:textId="77777777" w:rsidTr="00FC2C40">
        <w:tc>
          <w:tcPr>
            <w:tcW w:w="1886" w:type="dxa"/>
          </w:tcPr>
          <w:p w14:paraId="2DA08839" w14:textId="278D0DE0" w:rsidR="00063AE4" w:rsidRPr="00213FAA" w:rsidRDefault="00A459CC" w:rsidP="00456761">
            <w:pPr>
              <w:spacing w:after="0"/>
              <w:jc w:val="center"/>
              <w:rPr>
                <w:rFonts w:ascii="Arial" w:hAnsi="Arial" w:cs="Arial"/>
                <w:lang w:val="en-GB"/>
              </w:rPr>
            </w:pPr>
            <w:r w:rsidRPr="00213FAA">
              <w:rPr>
                <w:rFonts w:ascii="Arial" w:hAnsi="Arial" w:cs="Arial"/>
                <w:lang w:val="en-GB"/>
              </w:rPr>
              <w:t>31</w:t>
            </w:r>
          </w:p>
        </w:tc>
        <w:tc>
          <w:tcPr>
            <w:tcW w:w="2078" w:type="dxa"/>
          </w:tcPr>
          <w:p w14:paraId="0296B3F9" w14:textId="61F0D98D" w:rsidR="00063AE4" w:rsidRPr="00213FAA" w:rsidRDefault="00063AE4" w:rsidP="00063AE4">
            <w:pPr>
              <w:spacing w:after="0" w:line="240" w:lineRule="auto"/>
              <w:rPr>
                <w:rFonts w:ascii="Arial" w:hAnsi="Arial" w:cs="Arial"/>
                <w:lang w:val="en-GB"/>
              </w:rPr>
            </w:pPr>
            <w:r w:rsidRPr="00213FAA">
              <w:rPr>
                <w:rFonts w:ascii="Arial" w:hAnsi="Arial" w:cs="Arial"/>
              </w:rPr>
              <w:t>JSE</w:t>
            </w:r>
          </w:p>
        </w:tc>
        <w:tc>
          <w:tcPr>
            <w:tcW w:w="2691" w:type="dxa"/>
            <w:shd w:val="clear" w:color="auto" w:fill="auto"/>
          </w:tcPr>
          <w:p w14:paraId="6A8312F3" w14:textId="3F1A612A" w:rsidR="00063AE4" w:rsidRPr="00213FAA" w:rsidRDefault="00063AE4" w:rsidP="00063AE4">
            <w:pPr>
              <w:spacing w:after="0" w:line="240" w:lineRule="auto"/>
              <w:rPr>
                <w:rFonts w:ascii="Arial" w:hAnsi="Arial" w:cs="Arial"/>
              </w:rPr>
            </w:pPr>
            <w:r w:rsidRPr="00213FAA">
              <w:rPr>
                <w:rFonts w:ascii="Arial" w:hAnsi="Arial" w:cs="Arial"/>
              </w:rPr>
              <w:t>-</w:t>
            </w:r>
          </w:p>
        </w:tc>
        <w:tc>
          <w:tcPr>
            <w:tcW w:w="7903" w:type="dxa"/>
            <w:shd w:val="clear" w:color="auto" w:fill="auto"/>
          </w:tcPr>
          <w:p w14:paraId="669C2842" w14:textId="720E64F1" w:rsidR="00063AE4" w:rsidRPr="00213FAA" w:rsidRDefault="00063AE4" w:rsidP="00063AE4">
            <w:pPr>
              <w:spacing w:after="0" w:line="240" w:lineRule="auto"/>
              <w:rPr>
                <w:rFonts w:ascii="Arial" w:hAnsi="Arial" w:cs="Arial"/>
              </w:rPr>
            </w:pPr>
            <w:r w:rsidRPr="00213FAA">
              <w:rPr>
                <w:rFonts w:ascii="Arial" w:hAnsi="Arial" w:cs="Arial"/>
                <w:lang w:val="en-GB"/>
              </w:rPr>
              <w:t>No comment</w:t>
            </w:r>
          </w:p>
        </w:tc>
        <w:tc>
          <w:tcPr>
            <w:tcW w:w="6416" w:type="dxa"/>
          </w:tcPr>
          <w:p w14:paraId="027BC886" w14:textId="2D4365D7" w:rsidR="00063AE4" w:rsidRPr="00213FAA" w:rsidRDefault="00063AE4" w:rsidP="00063AE4">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063AE4" w:rsidRPr="009D05E3" w14:paraId="15DAD0AC" w14:textId="77777777" w:rsidTr="00FC2C40">
        <w:trPr>
          <w:trHeight w:val="70"/>
        </w:trPr>
        <w:tc>
          <w:tcPr>
            <w:tcW w:w="1886" w:type="dxa"/>
          </w:tcPr>
          <w:p w14:paraId="1799438E" w14:textId="41F5861C" w:rsidR="00063AE4" w:rsidRPr="00213FAA" w:rsidRDefault="00A459CC" w:rsidP="00456761">
            <w:pPr>
              <w:spacing w:after="0"/>
              <w:jc w:val="center"/>
              <w:rPr>
                <w:rFonts w:ascii="Arial" w:hAnsi="Arial" w:cs="Arial"/>
                <w:lang w:val="en-GB"/>
              </w:rPr>
            </w:pPr>
            <w:r w:rsidRPr="00213FAA">
              <w:rPr>
                <w:rFonts w:ascii="Arial" w:hAnsi="Arial" w:cs="Arial"/>
                <w:lang w:val="en-GB"/>
              </w:rPr>
              <w:t>32</w:t>
            </w:r>
          </w:p>
        </w:tc>
        <w:tc>
          <w:tcPr>
            <w:tcW w:w="2078" w:type="dxa"/>
          </w:tcPr>
          <w:p w14:paraId="6DC14A6B" w14:textId="6FD6EB68" w:rsidR="00063AE4" w:rsidRPr="00213FAA" w:rsidRDefault="00063AE4" w:rsidP="00C11722">
            <w:pPr>
              <w:spacing w:after="100" w:afterAutospacing="1" w:line="240" w:lineRule="auto"/>
              <w:rPr>
                <w:rFonts w:ascii="Arial" w:hAnsi="Arial" w:cs="Arial"/>
                <w:lang w:val="en-GB"/>
              </w:rPr>
            </w:pPr>
            <w:r w:rsidRPr="00213FAA">
              <w:rPr>
                <w:rFonts w:ascii="Arial" w:hAnsi="Arial" w:cs="Arial"/>
              </w:rPr>
              <w:t>MMH</w:t>
            </w:r>
          </w:p>
        </w:tc>
        <w:tc>
          <w:tcPr>
            <w:tcW w:w="2691" w:type="dxa"/>
          </w:tcPr>
          <w:p w14:paraId="2B50CEAD" w14:textId="5656A6F6" w:rsidR="00063AE4" w:rsidRPr="00213FAA" w:rsidRDefault="00063AE4" w:rsidP="00063AE4">
            <w:pPr>
              <w:spacing w:after="0" w:line="240" w:lineRule="auto"/>
              <w:rPr>
                <w:rFonts w:ascii="Arial" w:hAnsi="Arial" w:cs="Arial"/>
              </w:rPr>
            </w:pPr>
            <w:r w:rsidRPr="00213FAA">
              <w:rPr>
                <w:rFonts w:ascii="Arial" w:hAnsi="Arial" w:cs="Arial"/>
              </w:rPr>
              <w:t>-</w:t>
            </w:r>
          </w:p>
        </w:tc>
        <w:tc>
          <w:tcPr>
            <w:tcW w:w="7903" w:type="dxa"/>
            <w:shd w:val="clear" w:color="auto" w:fill="auto"/>
          </w:tcPr>
          <w:p w14:paraId="6FBA055C" w14:textId="55501790" w:rsidR="00063AE4" w:rsidRPr="00213FAA" w:rsidRDefault="00063AE4" w:rsidP="00063AE4">
            <w:pPr>
              <w:spacing w:after="0" w:line="240" w:lineRule="auto"/>
              <w:rPr>
                <w:rFonts w:ascii="Arial" w:eastAsia="Times New Roman" w:hAnsi="Arial" w:cs="Arial"/>
                <w:lang w:val="en-GB"/>
              </w:rPr>
            </w:pPr>
            <w:r w:rsidRPr="00213FAA">
              <w:rPr>
                <w:rFonts w:ascii="Arial" w:hAnsi="Arial" w:cs="Arial"/>
                <w:lang w:val="en-GB"/>
              </w:rPr>
              <w:t>No comment</w:t>
            </w:r>
          </w:p>
        </w:tc>
        <w:tc>
          <w:tcPr>
            <w:tcW w:w="6416" w:type="dxa"/>
          </w:tcPr>
          <w:p w14:paraId="7029FCF9" w14:textId="7CA4D43D" w:rsidR="00063AE4" w:rsidRPr="00213FAA" w:rsidRDefault="00063AE4" w:rsidP="00C11722">
            <w:pPr>
              <w:tabs>
                <w:tab w:val="left" w:pos="1725"/>
              </w:tabs>
              <w:spacing w:after="0"/>
              <w:jc w:val="both"/>
              <w:rPr>
                <w:rFonts w:ascii="Arial" w:eastAsia="Times New Roman" w:hAnsi="Arial" w:cs="Arial"/>
                <w:lang w:val="en-GB"/>
              </w:rPr>
            </w:pPr>
            <w:r w:rsidRPr="00213FAA">
              <w:rPr>
                <w:rFonts w:ascii="Arial" w:eastAsia="Times New Roman" w:hAnsi="Arial" w:cs="Arial"/>
                <w:lang w:val="en-GB"/>
              </w:rPr>
              <w:t>Noted</w:t>
            </w:r>
          </w:p>
        </w:tc>
      </w:tr>
      <w:tr w:rsidR="00063AE4" w:rsidRPr="009D05E3" w14:paraId="15A4EFB9" w14:textId="77777777" w:rsidTr="00FC2C40">
        <w:tc>
          <w:tcPr>
            <w:tcW w:w="1886" w:type="dxa"/>
            <w:shd w:val="clear" w:color="auto" w:fill="auto"/>
          </w:tcPr>
          <w:p w14:paraId="068425D6" w14:textId="7FE5F4D1" w:rsidR="00063AE4" w:rsidRPr="00213FAA" w:rsidRDefault="00A459CC" w:rsidP="00456761">
            <w:pPr>
              <w:spacing w:after="0"/>
              <w:jc w:val="center"/>
              <w:rPr>
                <w:rFonts w:ascii="Arial" w:hAnsi="Arial" w:cs="Arial"/>
                <w:lang w:val="en-GB"/>
              </w:rPr>
            </w:pPr>
            <w:r w:rsidRPr="00213FAA">
              <w:rPr>
                <w:rFonts w:ascii="Arial" w:hAnsi="Arial" w:cs="Arial"/>
                <w:lang w:val="en-GB"/>
              </w:rPr>
              <w:t>33</w:t>
            </w:r>
          </w:p>
        </w:tc>
        <w:tc>
          <w:tcPr>
            <w:tcW w:w="2078" w:type="dxa"/>
            <w:shd w:val="clear" w:color="auto" w:fill="auto"/>
          </w:tcPr>
          <w:p w14:paraId="16AC43EF" w14:textId="2311F848" w:rsidR="00063AE4" w:rsidRPr="00213FAA" w:rsidRDefault="00063AE4" w:rsidP="00063AE4">
            <w:pPr>
              <w:spacing w:after="0" w:line="240" w:lineRule="auto"/>
              <w:rPr>
                <w:rFonts w:ascii="Arial" w:hAnsi="Arial" w:cs="Arial"/>
                <w:lang w:val="en-GB"/>
              </w:rPr>
            </w:pPr>
            <w:r w:rsidRPr="00213FAA">
              <w:rPr>
                <w:rFonts w:ascii="Arial" w:hAnsi="Arial" w:cs="Arial"/>
              </w:rPr>
              <w:t>Nedbank</w:t>
            </w:r>
          </w:p>
        </w:tc>
        <w:tc>
          <w:tcPr>
            <w:tcW w:w="2691" w:type="dxa"/>
            <w:shd w:val="clear" w:color="auto" w:fill="auto"/>
          </w:tcPr>
          <w:p w14:paraId="69B6DC59" w14:textId="6740F804" w:rsidR="00063AE4" w:rsidRPr="00213FAA" w:rsidRDefault="00063AE4" w:rsidP="00063AE4">
            <w:pPr>
              <w:spacing w:after="0" w:line="240" w:lineRule="auto"/>
              <w:rPr>
                <w:rFonts w:ascii="Arial" w:hAnsi="Arial" w:cs="Arial"/>
              </w:rPr>
            </w:pPr>
            <w:r w:rsidRPr="00213FAA">
              <w:rPr>
                <w:rFonts w:ascii="Arial" w:hAnsi="Arial" w:cs="Arial"/>
              </w:rPr>
              <w:t>-</w:t>
            </w:r>
          </w:p>
        </w:tc>
        <w:tc>
          <w:tcPr>
            <w:tcW w:w="7903" w:type="dxa"/>
            <w:shd w:val="clear" w:color="auto" w:fill="auto"/>
          </w:tcPr>
          <w:p w14:paraId="273028D6" w14:textId="42779DE0" w:rsidR="00063AE4" w:rsidRPr="00213FAA" w:rsidRDefault="00063AE4" w:rsidP="00063AE4">
            <w:pPr>
              <w:spacing w:after="0" w:line="240" w:lineRule="auto"/>
              <w:rPr>
                <w:rFonts w:ascii="Arial" w:eastAsia="Times New Roman" w:hAnsi="Arial" w:cs="Arial"/>
                <w:lang w:val="en-GB"/>
              </w:rPr>
            </w:pPr>
            <w:r w:rsidRPr="00213FAA">
              <w:rPr>
                <w:rFonts w:ascii="Arial" w:hAnsi="Arial" w:cs="Arial"/>
                <w:lang w:val="en-GB"/>
              </w:rPr>
              <w:t>No comment</w:t>
            </w:r>
          </w:p>
        </w:tc>
        <w:tc>
          <w:tcPr>
            <w:tcW w:w="6416" w:type="dxa"/>
            <w:shd w:val="clear" w:color="auto" w:fill="auto"/>
          </w:tcPr>
          <w:p w14:paraId="25C51AE1" w14:textId="01F06DD9" w:rsidR="00063AE4" w:rsidRPr="00213FAA" w:rsidRDefault="00063AE4" w:rsidP="00063AE4">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0120123C" w14:textId="77777777" w:rsidTr="00FC2C40">
        <w:tc>
          <w:tcPr>
            <w:tcW w:w="1886" w:type="dxa"/>
            <w:shd w:val="clear" w:color="auto" w:fill="auto"/>
          </w:tcPr>
          <w:p w14:paraId="39427CA0" w14:textId="4D32FFC7" w:rsidR="00A459CC" w:rsidRPr="00213FAA" w:rsidRDefault="00A459CC" w:rsidP="00456761">
            <w:pPr>
              <w:spacing w:after="0"/>
              <w:jc w:val="center"/>
              <w:rPr>
                <w:rFonts w:ascii="Arial" w:hAnsi="Arial" w:cs="Arial"/>
                <w:lang w:val="en-GB"/>
              </w:rPr>
            </w:pPr>
            <w:r w:rsidRPr="00213FAA">
              <w:rPr>
                <w:rFonts w:ascii="Arial" w:hAnsi="Arial" w:cs="Arial"/>
                <w:lang w:val="en-GB"/>
              </w:rPr>
              <w:t>34</w:t>
            </w:r>
          </w:p>
        </w:tc>
        <w:tc>
          <w:tcPr>
            <w:tcW w:w="2078" w:type="dxa"/>
            <w:shd w:val="clear" w:color="auto" w:fill="auto"/>
          </w:tcPr>
          <w:p w14:paraId="46B3D360" w14:textId="036EB39B" w:rsidR="00A459CC" w:rsidRPr="00213FAA" w:rsidRDefault="00A459CC" w:rsidP="00A459CC">
            <w:pPr>
              <w:spacing w:after="0" w:line="240" w:lineRule="auto"/>
              <w:rPr>
                <w:rFonts w:ascii="Arial" w:hAnsi="Arial" w:cs="Arial"/>
                <w:lang w:val="en-GB"/>
              </w:rPr>
            </w:pPr>
            <w:r w:rsidRPr="00213FAA">
              <w:rPr>
                <w:rFonts w:ascii="Arial" w:hAnsi="Arial" w:cs="Arial"/>
              </w:rPr>
              <w:t>BASA</w:t>
            </w:r>
          </w:p>
        </w:tc>
        <w:tc>
          <w:tcPr>
            <w:tcW w:w="2691" w:type="dxa"/>
            <w:shd w:val="clear" w:color="auto" w:fill="auto"/>
          </w:tcPr>
          <w:p w14:paraId="7BC0EE20" w14:textId="1F370A19" w:rsidR="00A459CC" w:rsidRPr="00213FAA" w:rsidRDefault="00A459CC" w:rsidP="00A459CC">
            <w:pPr>
              <w:spacing w:after="0" w:line="240" w:lineRule="auto"/>
              <w:rPr>
                <w:rFonts w:ascii="Arial" w:hAnsi="Arial" w:cs="Arial"/>
                <w:lang w:val="en-GB"/>
              </w:rPr>
            </w:pPr>
            <w:r w:rsidRPr="00213FAA">
              <w:rPr>
                <w:rFonts w:ascii="Arial" w:hAnsi="Arial" w:cs="Arial"/>
              </w:rPr>
              <w:t>-</w:t>
            </w:r>
          </w:p>
        </w:tc>
        <w:tc>
          <w:tcPr>
            <w:tcW w:w="7903" w:type="dxa"/>
            <w:shd w:val="clear" w:color="auto" w:fill="auto"/>
          </w:tcPr>
          <w:p w14:paraId="337C432D" w14:textId="1D8B2412" w:rsidR="00A459CC" w:rsidRPr="00213FAA" w:rsidRDefault="00A459CC" w:rsidP="00A459CC">
            <w:pPr>
              <w:spacing w:after="0" w:line="240" w:lineRule="auto"/>
              <w:rPr>
                <w:rFonts w:ascii="Arial" w:eastAsia="Times New Roman" w:hAnsi="Arial" w:cs="Arial"/>
                <w:lang w:val="en-GB"/>
              </w:rPr>
            </w:pPr>
            <w:r w:rsidRPr="00213FAA">
              <w:rPr>
                <w:rFonts w:ascii="Arial" w:hAnsi="Arial" w:cs="Arial"/>
                <w:lang w:val="en-GB"/>
              </w:rPr>
              <w:t>No comment</w:t>
            </w:r>
          </w:p>
        </w:tc>
        <w:tc>
          <w:tcPr>
            <w:tcW w:w="6416" w:type="dxa"/>
            <w:shd w:val="clear" w:color="auto" w:fill="auto"/>
          </w:tcPr>
          <w:p w14:paraId="4129F16F" w14:textId="7DF388D9" w:rsidR="00A459CC" w:rsidRPr="00213FAA" w:rsidRDefault="00A459CC" w:rsidP="00A459CC">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D04055" w:rsidRPr="009D05E3" w14:paraId="3582C9E6" w14:textId="444EFFBC" w:rsidTr="00B44A61">
        <w:tc>
          <w:tcPr>
            <w:tcW w:w="20974" w:type="dxa"/>
            <w:gridSpan w:val="5"/>
            <w:shd w:val="clear" w:color="auto" w:fill="D9D9D9" w:themeFill="background1" w:themeFillShade="D9"/>
          </w:tcPr>
          <w:p w14:paraId="25B599A1" w14:textId="3BB97DB3" w:rsidR="00D04055" w:rsidRPr="009D05E3" w:rsidRDefault="00D04055" w:rsidP="00532AB8">
            <w:pPr>
              <w:pStyle w:val="ListParagraph"/>
              <w:jc w:val="center"/>
              <w:rPr>
                <w:rFonts w:ascii="Arial" w:hAnsi="Arial" w:cs="Arial"/>
                <w:b/>
                <w:sz w:val="32"/>
                <w:szCs w:val="32"/>
                <w:lang w:val="en-GB"/>
              </w:rPr>
            </w:pPr>
            <w:r>
              <w:rPr>
                <w:rFonts w:ascii="Arial" w:hAnsi="Arial" w:cs="Arial"/>
                <w:b/>
                <w:sz w:val="32"/>
                <w:szCs w:val="32"/>
                <w:lang w:val="en-GB"/>
              </w:rPr>
              <w:t>5.</w:t>
            </w:r>
            <w:r w:rsidRPr="00532AB8">
              <w:rPr>
                <w:rFonts w:ascii="Arial" w:hAnsi="Arial" w:cs="Arial"/>
                <w:b/>
                <w:sz w:val="32"/>
                <w:szCs w:val="32"/>
                <w:lang w:val="en-GB"/>
              </w:rPr>
              <w:t>Application</w:t>
            </w:r>
          </w:p>
        </w:tc>
      </w:tr>
      <w:tr w:rsidR="00A459CC" w:rsidRPr="009D05E3" w14:paraId="52BC7542" w14:textId="77777777" w:rsidTr="00FC2C40">
        <w:tc>
          <w:tcPr>
            <w:tcW w:w="1886" w:type="dxa"/>
            <w:vAlign w:val="bottom"/>
          </w:tcPr>
          <w:p w14:paraId="60BDCA95" w14:textId="1875DF5F" w:rsidR="00A459CC" w:rsidRPr="00213FAA" w:rsidRDefault="00FB6E7A" w:rsidP="00456761">
            <w:pPr>
              <w:spacing w:after="0"/>
              <w:jc w:val="center"/>
              <w:rPr>
                <w:rFonts w:ascii="Arial" w:hAnsi="Arial" w:cs="Arial"/>
                <w:lang w:val="en-GB"/>
              </w:rPr>
            </w:pPr>
            <w:r w:rsidRPr="00213FAA">
              <w:rPr>
                <w:rFonts w:ascii="Arial" w:hAnsi="Arial" w:cs="Arial"/>
                <w:lang w:val="en-GB"/>
              </w:rPr>
              <w:t>35</w:t>
            </w:r>
          </w:p>
        </w:tc>
        <w:tc>
          <w:tcPr>
            <w:tcW w:w="2078" w:type="dxa"/>
          </w:tcPr>
          <w:p w14:paraId="6C11A65E" w14:textId="2C594710" w:rsidR="00A459CC" w:rsidRPr="00213FAA" w:rsidRDefault="00A459CC" w:rsidP="00A459CC">
            <w:pPr>
              <w:spacing w:after="0" w:line="240" w:lineRule="auto"/>
              <w:rPr>
                <w:rFonts w:ascii="Arial" w:hAnsi="Arial" w:cs="Arial"/>
                <w:lang w:val="en-GB"/>
              </w:rPr>
            </w:pPr>
            <w:r w:rsidRPr="00213FAA">
              <w:rPr>
                <w:rFonts w:ascii="Arial" w:hAnsi="Arial" w:cs="Arial"/>
              </w:rPr>
              <w:t>CLS</w:t>
            </w:r>
          </w:p>
        </w:tc>
        <w:tc>
          <w:tcPr>
            <w:tcW w:w="2691" w:type="dxa"/>
          </w:tcPr>
          <w:p w14:paraId="7C286818" w14:textId="13EFF0B5" w:rsidR="00A459CC" w:rsidRPr="00213FAA" w:rsidRDefault="00A459CC" w:rsidP="00A459CC">
            <w:pPr>
              <w:spacing w:after="0" w:line="240" w:lineRule="auto"/>
              <w:rPr>
                <w:rFonts w:ascii="Arial" w:hAnsi="Arial" w:cs="Arial"/>
                <w:lang w:val="en-GB"/>
              </w:rPr>
            </w:pPr>
            <w:r w:rsidRPr="00213FAA">
              <w:rPr>
                <w:rFonts w:ascii="Arial" w:hAnsi="Arial" w:cs="Arial"/>
                <w:lang w:val="en-GB"/>
              </w:rPr>
              <w:t>-</w:t>
            </w:r>
          </w:p>
        </w:tc>
        <w:tc>
          <w:tcPr>
            <w:tcW w:w="7903" w:type="dxa"/>
          </w:tcPr>
          <w:p w14:paraId="352E5BFA" w14:textId="4BA4CA72" w:rsidR="00A459CC" w:rsidRPr="00213FAA" w:rsidRDefault="00A459CC" w:rsidP="00A459CC">
            <w:pPr>
              <w:spacing w:after="0" w:line="240" w:lineRule="auto"/>
              <w:rPr>
                <w:rFonts w:ascii="Arial" w:hAnsi="Arial" w:cs="Arial"/>
                <w:lang w:val="en-GB"/>
              </w:rPr>
            </w:pPr>
            <w:r w:rsidRPr="00213FAA">
              <w:rPr>
                <w:rFonts w:ascii="Arial" w:hAnsi="Arial" w:cs="Arial"/>
                <w:lang w:val="en-GB"/>
              </w:rPr>
              <w:t>No comment</w:t>
            </w:r>
          </w:p>
        </w:tc>
        <w:tc>
          <w:tcPr>
            <w:tcW w:w="6416" w:type="dxa"/>
          </w:tcPr>
          <w:p w14:paraId="4E8B5804" w14:textId="2DED0518" w:rsidR="00A459CC" w:rsidRPr="00213FAA" w:rsidRDefault="00A459CC" w:rsidP="00A459CC">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014842ED" w14:textId="77777777" w:rsidTr="00FC2C40">
        <w:tc>
          <w:tcPr>
            <w:tcW w:w="1886" w:type="dxa"/>
            <w:vAlign w:val="bottom"/>
          </w:tcPr>
          <w:p w14:paraId="30F976C1" w14:textId="1062318A" w:rsidR="00A459CC" w:rsidRPr="00213FAA" w:rsidRDefault="00FB6E7A" w:rsidP="00456761">
            <w:pPr>
              <w:spacing w:after="0"/>
              <w:jc w:val="center"/>
              <w:rPr>
                <w:rFonts w:ascii="Arial" w:hAnsi="Arial" w:cs="Arial"/>
                <w:lang w:val="en-GB"/>
              </w:rPr>
            </w:pPr>
            <w:r w:rsidRPr="00213FAA">
              <w:rPr>
                <w:rFonts w:ascii="Arial" w:hAnsi="Arial" w:cs="Arial"/>
                <w:lang w:val="en-GB"/>
              </w:rPr>
              <w:t>36</w:t>
            </w:r>
          </w:p>
        </w:tc>
        <w:tc>
          <w:tcPr>
            <w:tcW w:w="2078" w:type="dxa"/>
          </w:tcPr>
          <w:p w14:paraId="6D4D95DD" w14:textId="78080C86" w:rsidR="00A459CC" w:rsidRPr="00213FAA" w:rsidRDefault="00A459CC" w:rsidP="00FB6E7A">
            <w:pPr>
              <w:spacing w:after="0" w:line="240" w:lineRule="auto"/>
              <w:rPr>
                <w:rFonts w:ascii="Arial" w:hAnsi="Arial" w:cs="Arial"/>
                <w:lang w:val="en-GB"/>
              </w:rPr>
            </w:pPr>
            <w:r w:rsidRPr="00213FAA">
              <w:rPr>
                <w:rFonts w:ascii="Arial" w:hAnsi="Arial" w:cs="Arial"/>
              </w:rPr>
              <w:t>FirstRand</w:t>
            </w:r>
          </w:p>
        </w:tc>
        <w:tc>
          <w:tcPr>
            <w:tcW w:w="2691" w:type="dxa"/>
          </w:tcPr>
          <w:p w14:paraId="547B31A0" w14:textId="7AC5BB4F" w:rsidR="00A459CC" w:rsidRPr="00213FAA" w:rsidRDefault="00A459CC" w:rsidP="00FB6E7A">
            <w:pPr>
              <w:spacing w:after="0" w:line="240" w:lineRule="auto"/>
              <w:rPr>
                <w:rFonts w:ascii="Arial" w:hAnsi="Arial" w:cs="Arial"/>
                <w:lang w:val="en-GB"/>
              </w:rPr>
            </w:pPr>
            <w:r w:rsidRPr="00213FAA">
              <w:rPr>
                <w:rFonts w:ascii="Arial" w:hAnsi="Arial" w:cs="Arial"/>
                <w:lang w:val="en-GB"/>
              </w:rPr>
              <w:t>-</w:t>
            </w:r>
          </w:p>
        </w:tc>
        <w:tc>
          <w:tcPr>
            <w:tcW w:w="7903" w:type="dxa"/>
          </w:tcPr>
          <w:p w14:paraId="709CFF4F" w14:textId="2ED8E3CF" w:rsidR="00A459CC" w:rsidRPr="00213FAA" w:rsidRDefault="00A459CC" w:rsidP="00FB6E7A">
            <w:pPr>
              <w:spacing w:after="0" w:line="240" w:lineRule="auto"/>
              <w:rPr>
                <w:rFonts w:ascii="Arial" w:eastAsia="Times New Roman" w:hAnsi="Arial" w:cs="Arial"/>
                <w:lang w:val="en-GB"/>
              </w:rPr>
            </w:pPr>
            <w:r w:rsidRPr="00213FAA">
              <w:rPr>
                <w:rFonts w:ascii="Arial" w:eastAsia="Times New Roman" w:hAnsi="Arial" w:cs="Arial"/>
                <w:lang w:val="en-GB"/>
              </w:rPr>
              <w:t>No comment</w:t>
            </w:r>
          </w:p>
        </w:tc>
        <w:tc>
          <w:tcPr>
            <w:tcW w:w="6416" w:type="dxa"/>
          </w:tcPr>
          <w:p w14:paraId="1000945C" w14:textId="7F1769BC" w:rsidR="00A459CC" w:rsidRPr="00213FAA" w:rsidRDefault="00A459CC" w:rsidP="00FB6E7A">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4DF62E45" w14:textId="77777777" w:rsidTr="00FC2C40">
        <w:tc>
          <w:tcPr>
            <w:tcW w:w="1886" w:type="dxa"/>
            <w:vAlign w:val="bottom"/>
          </w:tcPr>
          <w:p w14:paraId="4C3C25BC" w14:textId="56E411D7" w:rsidR="00A459CC" w:rsidRPr="00213FAA" w:rsidRDefault="00FB6E7A" w:rsidP="00456761">
            <w:pPr>
              <w:spacing w:after="0"/>
              <w:jc w:val="center"/>
              <w:rPr>
                <w:rFonts w:ascii="Arial" w:hAnsi="Arial" w:cs="Arial"/>
                <w:lang w:val="en-GB"/>
              </w:rPr>
            </w:pPr>
            <w:r w:rsidRPr="00213FAA">
              <w:rPr>
                <w:rFonts w:ascii="Arial" w:hAnsi="Arial" w:cs="Arial"/>
                <w:lang w:val="en-GB"/>
              </w:rPr>
              <w:t>37</w:t>
            </w:r>
          </w:p>
        </w:tc>
        <w:tc>
          <w:tcPr>
            <w:tcW w:w="2078" w:type="dxa"/>
          </w:tcPr>
          <w:p w14:paraId="3A807A82" w14:textId="70AE3A8E" w:rsidR="00A459CC" w:rsidRPr="00213FAA" w:rsidRDefault="00164473" w:rsidP="00FB6E7A">
            <w:pPr>
              <w:spacing w:after="0" w:line="240" w:lineRule="auto"/>
              <w:rPr>
                <w:rFonts w:ascii="Arial" w:hAnsi="Arial" w:cs="Arial"/>
                <w:lang w:val="en-GB"/>
              </w:rPr>
            </w:pPr>
            <w:r w:rsidRPr="00213FAA">
              <w:rPr>
                <w:rFonts w:ascii="Arial" w:hAnsi="Arial" w:cs="Arial"/>
              </w:rPr>
              <w:t>Grindrod</w:t>
            </w:r>
          </w:p>
        </w:tc>
        <w:tc>
          <w:tcPr>
            <w:tcW w:w="2691" w:type="dxa"/>
          </w:tcPr>
          <w:p w14:paraId="6DE8B107" w14:textId="7D64E59A" w:rsidR="00A459CC" w:rsidRPr="00213FAA" w:rsidRDefault="00A459CC" w:rsidP="00FB6E7A">
            <w:pPr>
              <w:spacing w:after="0" w:line="240" w:lineRule="auto"/>
              <w:rPr>
                <w:rFonts w:ascii="Arial" w:hAnsi="Arial" w:cs="Arial"/>
                <w:lang w:val="en-GB"/>
              </w:rPr>
            </w:pPr>
            <w:r w:rsidRPr="00213FAA">
              <w:rPr>
                <w:rFonts w:ascii="Arial" w:hAnsi="Arial" w:cs="Arial"/>
                <w:lang w:val="en-GB"/>
              </w:rPr>
              <w:t>-</w:t>
            </w:r>
          </w:p>
        </w:tc>
        <w:tc>
          <w:tcPr>
            <w:tcW w:w="7903" w:type="dxa"/>
          </w:tcPr>
          <w:p w14:paraId="58F2D88B" w14:textId="22C93DA8" w:rsidR="00A459CC" w:rsidRPr="00213FAA" w:rsidRDefault="00A459CC" w:rsidP="00FB6E7A">
            <w:pPr>
              <w:spacing w:after="0" w:line="240" w:lineRule="auto"/>
              <w:rPr>
                <w:rFonts w:ascii="Arial" w:eastAsia="Times New Roman" w:hAnsi="Arial" w:cs="Arial"/>
                <w:lang w:val="en-GB"/>
              </w:rPr>
            </w:pPr>
            <w:r w:rsidRPr="00213FAA">
              <w:rPr>
                <w:rFonts w:ascii="Arial" w:hAnsi="Arial" w:cs="Arial"/>
                <w:lang w:val="en-GB"/>
              </w:rPr>
              <w:t>No comment</w:t>
            </w:r>
          </w:p>
        </w:tc>
        <w:tc>
          <w:tcPr>
            <w:tcW w:w="6416" w:type="dxa"/>
          </w:tcPr>
          <w:p w14:paraId="19362A01" w14:textId="1D4F217D" w:rsidR="00A459CC" w:rsidRPr="00213FAA" w:rsidRDefault="00A459CC" w:rsidP="00FB6E7A">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33E8D17F" w14:textId="77777777" w:rsidTr="00FC2C40">
        <w:tc>
          <w:tcPr>
            <w:tcW w:w="1886" w:type="dxa"/>
            <w:vAlign w:val="bottom"/>
          </w:tcPr>
          <w:p w14:paraId="7859F8F6" w14:textId="756987ED" w:rsidR="00A459CC" w:rsidRPr="00213FAA" w:rsidRDefault="00FB6E7A" w:rsidP="00456761">
            <w:pPr>
              <w:spacing w:after="0"/>
              <w:jc w:val="center"/>
              <w:rPr>
                <w:rFonts w:ascii="Arial" w:hAnsi="Arial" w:cs="Arial"/>
                <w:lang w:val="en-GB"/>
              </w:rPr>
            </w:pPr>
            <w:r w:rsidRPr="00213FAA">
              <w:rPr>
                <w:rFonts w:ascii="Arial" w:hAnsi="Arial" w:cs="Arial"/>
                <w:lang w:val="en-GB"/>
              </w:rPr>
              <w:t>38</w:t>
            </w:r>
          </w:p>
        </w:tc>
        <w:tc>
          <w:tcPr>
            <w:tcW w:w="2078" w:type="dxa"/>
          </w:tcPr>
          <w:p w14:paraId="2EB0E4C9" w14:textId="7E7B8C55" w:rsidR="00A459CC" w:rsidRPr="00213FAA" w:rsidRDefault="00A459CC" w:rsidP="00FB6E7A">
            <w:pPr>
              <w:spacing w:after="0" w:line="240" w:lineRule="auto"/>
              <w:rPr>
                <w:rFonts w:ascii="Arial" w:hAnsi="Arial" w:cs="Arial"/>
                <w:lang w:val="en-GB"/>
              </w:rPr>
            </w:pPr>
            <w:r w:rsidRPr="00213FAA">
              <w:rPr>
                <w:rFonts w:ascii="Arial" w:hAnsi="Arial" w:cs="Arial"/>
              </w:rPr>
              <w:t>Habib Bank</w:t>
            </w:r>
          </w:p>
        </w:tc>
        <w:tc>
          <w:tcPr>
            <w:tcW w:w="2691" w:type="dxa"/>
          </w:tcPr>
          <w:p w14:paraId="38665EDF" w14:textId="61BD05BD" w:rsidR="00A459CC" w:rsidRPr="00213FAA" w:rsidRDefault="00A459CC" w:rsidP="00FB6E7A">
            <w:pPr>
              <w:spacing w:after="0" w:line="240" w:lineRule="auto"/>
              <w:rPr>
                <w:rFonts w:ascii="Arial" w:hAnsi="Arial" w:cs="Arial"/>
                <w:lang w:val="en-GB"/>
              </w:rPr>
            </w:pPr>
            <w:r w:rsidRPr="00213FAA">
              <w:rPr>
                <w:rFonts w:ascii="Arial" w:hAnsi="Arial" w:cs="Arial"/>
              </w:rPr>
              <w:t>-</w:t>
            </w:r>
          </w:p>
        </w:tc>
        <w:tc>
          <w:tcPr>
            <w:tcW w:w="7903" w:type="dxa"/>
          </w:tcPr>
          <w:p w14:paraId="4A5253EC" w14:textId="2B921328" w:rsidR="00A459CC" w:rsidRPr="00213FAA" w:rsidRDefault="00A459CC" w:rsidP="00FB6E7A">
            <w:pPr>
              <w:spacing w:after="0" w:line="240" w:lineRule="auto"/>
              <w:rPr>
                <w:rFonts w:ascii="Arial" w:hAnsi="Arial" w:cs="Arial"/>
              </w:rPr>
            </w:pPr>
            <w:r w:rsidRPr="00213FAA">
              <w:rPr>
                <w:rFonts w:ascii="Arial" w:hAnsi="Arial" w:cs="Arial"/>
                <w:lang w:val="en-GB"/>
              </w:rPr>
              <w:t>No comment</w:t>
            </w:r>
          </w:p>
        </w:tc>
        <w:tc>
          <w:tcPr>
            <w:tcW w:w="6416" w:type="dxa"/>
          </w:tcPr>
          <w:p w14:paraId="536A6671" w14:textId="1DF5A3CD" w:rsidR="00A459CC" w:rsidRPr="00213FAA" w:rsidRDefault="00A459CC" w:rsidP="00FB6E7A">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3F67D0F0" w14:textId="77777777" w:rsidTr="00FC2C40">
        <w:tc>
          <w:tcPr>
            <w:tcW w:w="1886" w:type="dxa"/>
          </w:tcPr>
          <w:p w14:paraId="01B3FB5B" w14:textId="7EE22538" w:rsidR="00A459CC" w:rsidRPr="00213FAA" w:rsidRDefault="00FB6E7A" w:rsidP="00456761">
            <w:pPr>
              <w:spacing w:after="0"/>
              <w:jc w:val="center"/>
              <w:rPr>
                <w:rFonts w:ascii="Arial" w:hAnsi="Arial" w:cs="Arial"/>
                <w:lang w:val="en-GB"/>
              </w:rPr>
            </w:pPr>
            <w:r w:rsidRPr="00213FAA">
              <w:rPr>
                <w:rFonts w:ascii="Arial" w:hAnsi="Arial" w:cs="Arial"/>
                <w:lang w:val="en-GB"/>
              </w:rPr>
              <w:t>39</w:t>
            </w:r>
          </w:p>
        </w:tc>
        <w:tc>
          <w:tcPr>
            <w:tcW w:w="2078" w:type="dxa"/>
          </w:tcPr>
          <w:p w14:paraId="70BE8DD9" w14:textId="64C39DCD" w:rsidR="00A459CC" w:rsidRPr="00213FAA" w:rsidRDefault="00A459CC" w:rsidP="00FB6E7A">
            <w:pPr>
              <w:spacing w:after="0" w:line="240" w:lineRule="auto"/>
              <w:rPr>
                <w:rFonts w:ascii="Arial" w:hAnsi="Arial" w:cs="Arial"/>
                <w:lang w:val="en-GB"/>
              </w:rPr>
            </w:pPr>
            <w:r w:rsidRPr="00213FAA">
              <w:rPr>
                <w:rFonts w:ascii="Arial" w:hAnsi="Arial" w:cs="Arial"/>
              </w:rPr>
              <w:t>JSE</w:t>
            </w:r>
          </w:p>
        </w:tc>
        <w:tc>
          <w:tcPr>
            <w:tcW w:w="2691" w:type="dxa"/>
          </w:tcPr>
          <w:p w14:paraId="5954BC16" w14:textId="556577DC" w:rsidR="00A459CC" w:rsidRPr="00213FAA" w:rsidRDefault="00A459CC" w:rsidP="00FB6E7A">
            <w:pPr>
              <w:spacing w:after="0" w:line="240" w:lineRule="auto"/>
              <w:rPr>
                <w:rFonts w:ascii="Arial" w:hAnsi="Arial" w:cs="Arial"/>
                <w:lang w:val="en-GB"/>
              </w:rPr>
            </w:pPr>
            <w:r w:rsidRPr="00213FAA">
              <w:rPr>
                <w:rFonts w:ascii="Arial" w:hAnsi="Arial" w:cs="Arial"/>
              </w:rPr>
              <w:t>-</w:t>
            </w:r>
          </w:p>
        </w:tc>
        <w:tc>
          <w:tcPr>
            <w:tcW w:w="7903" w:type="dxa"/>
          </w:tcPr>
          <w:p w14:paraId="22C08B4F" w14:textId="30B411A2" w:rsidR="00A459CC" w:rsidRPr="00213FAA" w:rsidRDefault="00A459CC" w:rsidP="00FB6E7A">
            <w:pPr>
              <w:spacing w:after="0" w:line="240" w:lineRule="auto"/>
              <w:rPr>
                <w:rFonts w:ascii="Arial" w:hAnsi="Arial" w:cs="Arial"/>
                <w:lang w:val="en-GB"/>
              </w:rPr>
            </w:pPr>
            <w:r w:rsidRPr="00213FAA">
              <w:rPr>
                <w:rFonts w:ascii="Arial" w:hAnsi="Arial" w:cs="Arial"/>
                <w:lang w:val="en-GB"/>
              </w:rPr>
              <w:t>No comment</w:t>
            </w:r>
          </w:p>
        </w:tc>
        <w:tc>
          <w:tcPr>
            <w:tcW w:w="6416" w:type="dxa"/>
          </w:tcPr>
          <w:p w14:paraId="4FAD1E14" w14:textId="07153E1C" w:rsidR="00A459CC" w:rsidRPr="00213FAA" w:rsidRDefault="00A459CC" w:rsidP="00FB6E7A">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6B377D2B" w14:textId="77777777" w:rsidTr="00FC2C40">
        <w:trPr>
          <w:trHeight w:val="293"/>
        </w:trPr>
        <w:tc>
          <w:tcPr>
            <w:tcW w:w="1886" w:type="dxa"/>
          </w:tcPr>
          <w:p w14:paraId="272381CA" w14:textId="4DD5F6A9" w:rsidR="00A459CC" w:rsidRPr="00213FAA" w:rsidRDefault="00FB6E7A" w:rsidP="00456761">
            <w:pPr>
              <w:spacing w:after="0"/>
              <w:jc w:val="center"/>
              <w:rPr>
                <w:rFonts w:ascii="Arial" w:hAnsi="Arial" w:cs="Arial"/>
                <w:lang w:val="en-GB"/>
              </w:rPr>
            </w:pPr>
            <w:r w:rsidRPr="00213FAA">
              <w:rPr>
                <w:rFonts w:ascii="Arial" w:hAnsi="Arial" w:cs="Arial"/>
                <w:lang w:val="en-GB"/>
              </w:rPr>
              <w:t>40</w:t>
            </w:r>
          </w:p>
        </w:tc>
        <w:tc>
          <w:tcPr>
            <w:tcW w:w="2078" w:type="dxa"/>
          </w:tcPr>
          <w:p w14:paraId="1836F9AD" w14:textId="3F89A44E" w:rsidR="00A459CC" w:rsidRPr="00213FAA" w:rsidRDefault="00A459CC" w:rsidP="00FB6E7A">
            <w:pPr>
              <w:spacing w:after="0" w:line="240" w:lineRule="auto"/>
              <w:rPr>
                <w:rFonts w:ascii="Arial" w:hAnsi="Arial" w:cs="Arial"/>
                <w:lang w:val="en-GB"/>
              </w:rPr>
            </w:pPr>
            <w:r w:rsidRPr="00213FAA">
              <w:rPr>
                <w:rFonts w:ascii="Arial" w:hAnsi="Arial" w:cs="Arial"/>
              </w:rPr>
              <w:t>MMH</w:t>
            </w:r>
          </w:p>
        </w:tc>
        <w:tc>
          <w:tcPr>
            <w:tcW w:w="2691" w:type="dxa"/>
          </w:tcPr>
          <w:p w14:paraId="17639A59" w14:textId="39B08E36" w:rsidR="00A459CC" w:rsidRPr="00213FAA" w:rsidRDefault="00A459CC" w:rsidP="00FB6E7A">
            <w:pPr>
              <w:spacing w:after="0" w:line="240" w:lineRule="auto"/>
              <w:rPr>
                <w:rFonts w:ascii="Arial" w:hAnsi="Arial" w:cs="Arial"/>
              </w:rPr>
            </w:pPr>
            <w:r w:rsidRPr="00213FAA">
              <w:rPr>
                <w:rFonts w:ascii="Arial" w:hAnsi="Arial" w:cs="Arial"/>
              </w:rPr>
              <w:t>-</w:t>
            </w:r>
          </w:p>
        </w:tc>
        <w:tc>
          <w:tcPr>
            <w:tcW w:w="7903" w:type="dxa"/>
          </w:tcPr>
          <w:p w14:paraId="67ECD704" w14:textId="454C7267" w:rsidR="00A459CC" w:rsidRPr="00213FAA" w:rsidRDefault="00A459CC" w:rsidP="00FB6E7A">
            <w:pPr>
              <w:spacing w:after="0" w:line="240" w:lineRule="auto"/>
              <w:rPr>
                <w:rFonts w:ascii="Arial" w:hAnsi="Arial" w:cs="Arial"/>
              </w:rPr>
            </w:pPr>
            <w:r w:rsidRPr="00213FAA">
              <w:rPr>
                <w:rFonts w:ascii="Arial" w:hAnsi="Arial" w:cs="Arial"/>
                <w:lang w:val="en-GB"/>
              </w:rPr>
              <w:t>No comment</w:t>
            </w:r>
          </w:p>
        </w:tc>
        <w:tc>
          <w:tcPr>
            <w:tcW w:w="6416" w:type="dxa"/>
          </w:tcPr>
          <w:p w14:paraId="4BED5736" w14:textId="20CDA985" w:rsidR="00A459CC" w:rsidRPr="00213FAA" w:rsidRDefault="00A459CC" w:rsidP="00FB6E7A">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73E33EC5" w14:textId="77777777" w:rsidTr="00FC2C40">
        <w:trPr>
          <w:trHeight w:val="215"/>
        </w:trPr>
        <w:tc>
          <w:tcPr>
            <w:tcW w:w="1886" w:type="dxa"/>
          </w:tcPr>
          <w:p w14:paraId="4AC9D08F" w14:textId="3E754308" w:rsidR="00A459CC" w:rsidRPr="00213FAA" w:rsidRDefault="00FB6E7A" w:rsidP="00456761">
            <w:pPr>
              <w:spacing w:after="0"/>
              <w:jc w:val="center"/>
              <w:rPr>
                <w:rFonts w:ascii="Arial" w:hAnsi="Arial" w:cs="Arial"/>
                <w:lang w:val="en-GB"/>
              </w:rPr>
            </w:pPr>
            <w:r w:rsidRPr="00213FAA">
              <w:rPr>
                <w:rFonts w:ascii="Arial" w:hAnsi="Arial" w:cs="Arial"/>
                <w:lang w:val="en-GB"/>
              </w:rPr>
              <w:t>41</w:t>
            </w:r>
          </w:p>
        </w:tc>
        <w:tc>
          <w:tcPr>
            <w:tcW w:w="2078" w:type="dxa"/>
            <w:shd w:val="clear" w:color="auto" w:fill="auto"/>
          </w:tcPr>
          <w:p w14:paraId="3B52D431" w14:textId="1E710E38" w:rsidR="00A459CC" w:rsidRPr="00213FAA" w:rsidRDefault="00A459CC" w:rsidP="00FB6E7A">
            <w:pPr>
              <w:spacing w:after="0" w:line="240" w:lineRule="auto"/>
              <w:rPr>
                <w:rFonts w:ascii="Arial" w:hAnsi="Arial" w:cs="Arial"/>
                <w:lang w:val="en-GB"/>
              </w:rPr>
            </w:pPr>
            <w:r w:rsidRPr="00213FAA">
              <w:rPr>
                <w:rFonts w:ascii="Arial" w:hAnsi="Arial" w:cs="Arial"/>
              </w:rPr>
              <w:t>Nedbank</w:t>
            </w:r>
          </w:p>
        </w:tc>
        <w:tc>
          <w:tcPr>
            <w:tcW w:w="2691" w:type="dxa"/>
          </w:tcPr>
          <w:p w14:paraId="73A33842" w14:textId="38C92502" w:rsidR="00A459CC" w:rsidRPr="00213FAA" w:rsidRDefault="00A459CC" w:rsidP="00FB6E7A">
            <w:pPr>
              <w:spacing w:after="0" w:line="240" w:lineRule="auto"/>
              <w:rPr>
                <w:rFonts w:ascii="Arial" w:hAnsi="Arial" w:cs="Arial"/>
              </w:rPr>
            </w:pPr>
            <w:r w:rsidRPr="00213FAA">
              <w:rPr>
                <w:rFonts w:ascii="Arial" w:hAnsi="Arial" w:cs="Arial"/>
              </w:rPr>
              <w:t>-</w:t>
            </w:r>
          </w:p>
        </w:tc>
        <w:tc>
          <w:tcPr>
            <w:tcW w:w="7903" w:type="dxa"/>
          </w:tcPr>
          <w:p w14:paraId="57B241B9" w14:textId="179D93D2" w:rsidR="00A459CC" w:rsidRPr="00213FAA" w:rsidRDefault="00A459CC" w:rsidP="00FB6E7A">
            <w:pPr>
              <w:autoSpaceDE w:val="0"/>
              <w:autoSpaceDN w:val="0"/>
              <w:adjustRightInd w:val="0"/>
              <w:spacing w:after="0" w:line="240" w:lineRule="auto"/>
              <w:jc w:val="both"/>
              <w:rPr>
                <w:rFonts w:ascii="Arial" w:hAnsi="Arial" w:cs="Arial"/>
              </w:rPr>
            </w:pPr>
            <w:r w:rsidRPr="00213FAA">
              <w:rPr>
                <w:rFonts w:ascii="Arial" w:hAnsi="Arial" w:cs="Arial"/>
                <w:lang w:val="en-GB"/>
              </w:rPr>
              <w:t>No comment</w:t>
            </w:r>
          </w:p>
        </w:tc>
        <w:tc>
          <w:tcPr>
            <w:tcW w:w="6416" w:type="dxa"/>
          </w:tcPr>
          <w:p w14:paraId="6C9038E3" w14:textId="133CADD1" w:rsidR="00A459CC" w:rsidRPr="00213FAA" w:rsidRDefault="00A459CC" w:rsidP="00FB6E7A">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28C55D36" w14:textId="77777777" w:rsidTr="00515BD8">
        <w:tc>
          <w:tcPr>
            <w:tcW w:w="1886" w:type="dxa"/>
          </w:tcPr>
          <w:p w14:paraId="0CC761B4" w14:textId="4BF55D6D" w:rsidR="00A459CC" w:rsidRPr="00213FAA" w:rsidRDefault="00FB6E7A" w:rsidP="00456761">
            <w:pPr>
              <w:spacing w:after="0"/>
              <w:jc w:val="center"/>
              <w:rPr>
                <w:rFonts w:ascii="Arial" w:hAnsi="Arial" w:cs="Arial"/>
                <w:lang w:val="en-GB"/>
              </w:rPr>
            </w:pPr>
            <w:r w:rsidRPr="00213FAA">
              <w:rPr>
                <w:rFonts w:ascii="Arial" w:hAnsi="Arial" w:cs="Arial"/>
                <w:lang w:val="en-GB"/>
              </w:rPr>
              <w:t>42</w:t>
            </w:r>
          </w:p>
        </w:tc>
        <w:tc>
          <w:tcPr>
            <w:tcW w:w="2078" w:type="dxa"/>
            <w:shd w:val="clear" w:color="auto" w:fill="auto"/>
          </w:tcPr>
          <w:p w14:paraId="57FBFA0D" w14:textId="723B3190" w:rsidR="00A459CC" w:rsidRPr="00213FAA" w:rsidRDefault="00A459CC" w:rsidP="00A459CC">
            <w:pPr>
              <w:spacing w:after="0" w:line="240" w:lineRule="auto"/>
              <w:rPr>
                <w:rFonts w:ascii="Arial" w:hAnsi="Arial" w:cs="Arial"/>
                <w:lang w:val="en-GB"/>
              </w:rPr>
            </w:pPr>
            <w:r w:rsidRPr="00213FAA">
              <w:rPr>
                <w:rFonts w:ascii="Arial" w:hAnsi="Arial" w:cs="Arial"/>
              </w:rPr>
              <w:t>BASA</w:t>
            </w:r>
          </w:p>
        </w:tc>
        <w:tc>
          <w:tcPr>
            <w:tcW w:w="2691" w:type="dxa"/>
          </w:tcPr>
          <w:p w14:paraId="78B49F62" w14:textId="4248E68D" w:rsidR="00A459CC" w:rsidRPr="00213FAA" w:rsidRDefault="00A459CC" w:rsidP="00A459CC">
            <w:pPr>
              <w:spacing w:after="0" w:line="240" w:lineRule="auto"/>
              <w:rPr>
                <w:rFonts w:ascii="Arial" w:hAnsi="Arial" w:cs="Arial"/>
                <w:lang w:val="en-GB"/>
              </w:rPr>
            </w:pPr>
            <w:r w:rsidRPr="00213FAA">
              <w:rPr>
                <w:rFonts w:ascii="Arial" w:hAnsi="Arial" w:cs="Arial"/>
                <w:bCs/>
              </w:rPr>
              <w:t>5.</w:t>
            </w:r>
            <w:r w:rsidRPr="00213FAA">
              <w:rPr>
                <w:rFonts w:ascii="Arial" w:hAnsi="Arial" w:cs="Arial"/>
              </w:rPr>
              <w:t xml:space="preserve"> </w:t>
            </w:r>
            <w:r w:rsidRPr="00213FAA">
              <w:rPr>
                <w:rFonts w:ascii="Arial" w:hAnsi="Arial" w:cs="Arial"/>
                <w:bCs/>
              </w:rPr>
              <w:t xml:space="preserve">This Standard applies to all designated institutions, unless exempted by the </w:t>
            </w:r>
            <w:r w:rsidR="00CB39EB">
              <w:rPr>
                <w:rFonts w:ascii="Arial" w:hAnsi="Arial" w:cs="Arial"/>
                <w:bCs/>
              </w:rPr>
              <w:t xml:space="preserve">Prudential Authority. </w:t>
            </w:r>
          </w:p>
        </w:tc>
        <w:tc>
          <w:tcPr>
            <w:tcW w:w="7903" w:type="dxa"/>
          </w:tcPr>
          <w:p w14:paraId="07075AF9" w14:textId="77777777" w:rsidR="00A459CC" w:rsidRPr="00213FAA" w:rsidRDefault="00A459CC" w:rsidP="00A459CC">
            <w:pPr>
              <w:autoSpaceDE w:val="0"/>
              <w:autoSpaceDN w:val="0"/>
              <w:adjustRightInd w:val="0"/>
              <w:spacing w:after="0" w:line="240" w:lineRule="auto"/>
              <w:jc w:val="both"/>
              <w:rPr>
                <w:rFonts w:ascii="Arial" w:hAnsi="Arial" w:cs="Arial"/>
                <w:lang w:val="en-GB"/>
              </w:rPr>
            </w:pPr>
            <w:r w:rsidRPr="00213FAA">
              <w:rPr>
                <w:rFonts w:ascii="Arial" w:hAnsi="Arial" w:cs="Arial"/>
                <w:b/>
                <w:bCs/>
                <w:lang w:val="en-GB"/>
              </w:rPr>
              <w:t>Clarify</w:t>
            </w:r>
            <w:r w:rsidRPr="00213FAA">
              <w:rPr>
                <w:rFonts w:ascii="Arial" w:hAnsi="Arial" w:cs="Arial"/>
                <w:lang w:val="en-GB"/>
              </w:rPr>
              <w:t>, if this includes non-bank designated institutions, e.g., insurance companies.</w:t>
            </w:r>
          </w:p>
          <w:p w14:paraId="4039AE5E" w14:textId="77777777" w:rsidR="00A459CC" w:rsidRPr="00213FAA" w:rsidRDefault="00A459CC" w:rsidP="00A459CC">
            <w:pPr>
              <w:autoSpaceDE w:val="0"/>
              <w:autoSpaceDN w:val="0"/>
              <w:adjustRightInd w:val="0"/>
              <w:spacing w:after="0" w:line="240" w:lineRule="auto"/>
              <w:jc w:val="both"/>
              <w:rPr>
                <w:rFonts w:ascii="Arial" w:hAnsi="Arial" w:cs="Arial"/>
                <w:lang w:val="en-GB"/>
              </w:rPr>
            </w:pPr>
            <w:r w:rsidRPr="00213FAA">
              <w:rPr>
                <w:rFonts w:ascii="Arial" w:hAnsi="Arial" w:cs="Arial"/>
                <w:b/>
                <w:bCs/>
                <w:lang w:val="en-GB"/>
              </w:rPr>
              <w:t>Clarify</w:t>
            </w:r>
            <w:r w:rsidRPr="00213FAA">
              <w:rPr>
                <w:rFonts w:ascii="Arial" w:hAnsi="Arial" w:cs="Arial"/>
                <w:lang w:val="en-GB"/>
              </w:rPr>
              <w:t>, does the Standard apply to banks to which Open Bank Resolution would be applied, i.e., D-SIBs?</w:t>
            </w:r>
          </w:p>
          <w:p w14:paraId="4F2BE8CF" w14:textId="7FE3108E" w:rsidR="00A459CC" w:rsidRPr="00213FAA" w:rsidRDefault="00A459CC" w:rsidP="00A459CC">
            <w:pPr>
              <w:autoSpaceDE w:val="0"/>
              <w:autoSpaceDN w:val="0"/>
              <w:adjustRightInd w:val="0"/>
              <w:spacing w:after="0" w:line="240" w:lineRule="auto"/>
              <w:jc w:val="both"/>
              <w:rPr>
                <w:rFonts w:ascii="Arial" w:hAnsi="Arial" w:cs="Arial"/>
                <w:lang w:val="en-GB"/>
              </w:rPr>
            </w:pPr>
            <w:r w:rsidRPr="00213FAA">
              <w:rPr>
                <w:rFonts w:ascii="Arial" w:hAnsi="Arial" w:cs="Arial"/>
                <w:lang w:val="en-GB"/>
              </w:rPr>
              <w:t xml:space="preserve">Should there be a transfer of assets and liabilities, rather than retaining a bank in its current form under Open Banking, </w:t>
            </w:r>
            <w:r w:rsidRPr="00213FAA">
              <w:rPr>
                <w:rFonts w:ascii="Arial" w:hAnsi="Arial" w:cs="Arial"/>
                <w:b/>
                <w:bCs/>
                <w:lang w:val="en-GB"/>
              </w:rPr>
              <w:t>clarify</w:t>
            </w:r>
            <w:r w:rsidRPr="00213FAA">
              <w:rPr>
                <w:rFonts w:ascii="Arial" w:hAnsi="Arial" w:cs="Arial"/>
                <w:lang w:val="en-GB"/>
              </w:rPr>
              <w:t xml:space="preserve"> what would the implications for FLAC calibration be?</w:t>
            </w:r>
          </w:p>
        </w:tc>
        <w:tc>
          <w:tcPr>
            <w:tcW w:w="6416" w:type="dxa"/>
            <w:shd w:val="clear" w:color="auto" w:fill="auto"/>
          </w:tcPr>
          <w:p w14:paraId="09AA7736" w14:textId="6130A5C7" w:rsidR="00A459CC" w:rsidRPr="002F21B0" w:rsidRDefault="00FA1982" w:rsidP="00A459CC">
            <w:pPr>
              <w:spacing w:after="0" w:line="240" w:lineRule="auto"/>
              <w:jc w:val="both"/>
              <w:rPr>
                <w:rFonts w:ascii="Arial" w:eastAsia="Times New Roman" w:hAnsi="Arial" w:cs="Arial"/>
                <w:b/>
                <w:bCs/>
                <w:lang w:val="en-GB"/>
              </w:rPr>
            </w:pPr>
            <w:r w:rsidRPr="0051060F">
              <w:rPr>
                <w:rFonts w:ascii="Arial" w:eastAsia="Times New Roman" w:hAnsi="Arial" w:cs="Arial"/>
                <w:b/>
                <w:bCs/>
                <w:lang w:val="en-GB"/>
              </w:rPr>
              <w:t>Non-bank designated institution</w:t>
            </w:r>
            <w:r w:rsidRPr="002F21B0">
              <w:rPr>
                <w:rFonts w:ascii="Arial" w:eastAsia="Times New Roman" w:hAnsi="Arial" w:cs="Arial"/>
                <w:b/>
                <w:bCs/>
                <w:lang w:val="en-GB"/>
              </w:rPr>
              <w:t>:</w:t>
            </w:r>
          </w:p>
          <w:p w14:paraId="69F3579D" w14:textId="3C135AC7" w:rsidR="001F10CE" w:rsidRDefault="006E2BAD" w:rsidP="00A459CC">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4D17B9">
              <w:rPr>
                <w:rFonts w:ascii="Arial" w:eastAsia="Times New Roman" w:hAnsi="Arial" w:cs="Arial"/>
                <w:lang w:val="en-GB"/>
              </w:rPr>
              <w:t>Standard</w:t>
            </w:r>
            <w:r>
              <w:rPr>
                <w:rFonts w:ascii="Arial" w:eastAsia="Times New Roman" w:hAnsi="Arial" w:cs="Arial"/>
                <w:lang w:val="en-GB"/>
              </w:rPr>
              <w:t xml:space="preserve"> is applicable to a</w:t>
            </w:r>
            <w:r w:rsidR="004D17B9">
              <w:rPr>
                <w:rFonts w:ascii="Arial" w:eastAsia="Times New Roman" w:hAnsi="Arial" w:cs="Arial"/>
                <w:lang w:val="en-GB"/>
              </w:rPr>
              <w:t>ll</w:t>
            </w:r>
            <w:r>
              <w:rPr>
                <w:rFonts w:ascii="Arial" w:eastAsia="Times New Roman" w:hAnsi="Arial" w:cs="Arial"/>
                <w:lang w:val="en-GB"/>
              </w:rPr>
              <w:t xml:space="preserve"> </w:t>
            </w:r>
            <w:r w:rsidR="004D17B9">
              <w:rPr>
                <w:rFonts w:ascii="Arial" w:eastAsia="Times New Roman" w:hAnsi="Arial" w:cs="Arial"/>
                <w:lang w:val="en-GB"/>
              </w:rPr>
              <w:t>designated</w:t>
            </w:r>
            <w:r>
              <w:rPr>
                <w:rFonts w:ascii="Arial" w:eastAsia="Times New Roman" w:hAnsi="Arial" w:cs="Arial"/>
                <w:lang w:val="en-GB"/>
              </w:rPr>
              <w:t xml:space="preserve"> </w:t>
            </w:r>
            <w:r w:rsidR="004D17B9">
              <w:rPr>
                <w:rFonts w:ascii="Arial" w:eastAsia="Times New Roman" w:hAnsi="Arial" w:cs="Arial"/>
                <w:lang w:val="en-GB"/>
              </w:rPr>
              <w:t>intuitions</w:t>
            </w:r>
            <w:r>
              <w:rPr>
                <w:rFonts w:ascii="Arial" w:eastAsia="Times New Roman" w:hAnsi="Arial" w:cs="Arial"/>
                <w:lang w:val="en-GB"/>
              </w:rPr>
              <w:t xml:space="preserve"> as defined </w:t>
            </w:r>
            <w:r w:rsidR="004D17B9">
              <w:rPr>
                <w:rFonts w:ascii="Arial" w:eastAsia="Times New Roman" w:hAnsi="Arial" w:cs="Arial"/>
                <w:lang w:val="en-GB"/>
              </w:rPr>
              <w:t>in section 29(A) of the Act.</w:t>
            </w:r>
          </w:p>
          <w:p w14:paraId="4283AC1B" w14:textId="77777777" w:rsidR="00FA1982" w:rsidRDefault="00FA1982" w:rsidP="00A459CC">
            <w:pPr>
              <w:spacing w:after="0" w:line="240" w:lineRule="auto"/>
              <w:jc w:val="both"/>
              <w:rPr>
                <w:rFonts w:ascii="Arial" w:eastAsia="Times New Roman" w:hAnsi="Arial" w:cs="Arial"/>
                <w:lang w:val="en-GB"/>
              </w:rPr>
            </w:pPr>
          </w:p>
          <w:p w14:paraId="3468BD34" w14:textId="56160A51" w:rsidR="00FA1982" w:rsidRPr="002F21B0" w:rsidRDefault="00CF296F" w:rsidP="00A459CC">
            <w:pPr>
              <w:spacing w:after="0" w:line="240" w:lineRule="auto"/>
              <w:jc w:val="both"/>
              <w:rPr>
                <w:rFonts w:ascii="Arial" w:eastAsia="Times New Roman" w:hAnsi="Arial" w:cs="Arial"/>
                <w:lang w:val="en-GB"/>
              </w:rPr>
            </w:pPr>
            <w:r w:rsidRPr="0051060F">
              <w:rPr>
                <w:rFonts w:ascii="Arial" w:eastAsia="Times New Roman" w:hAnsi="Arial" w:cs="Arial"/>
                <w:b/>
                <w:bCs/>
                <w:lang w:val="en-GB"/>
              </w:rPr>
              <w:t>Applicability to open-bank resolution</w:t>
            </w:r>
            <w:r w:rsidRPr="002F21B0">
              <w:rPr>
                <w:rFonts w:ascii="Arial" w:eastAsia="Times New Roman" w:hAnsi="Arial" w:cs="Arial"/>
                <w:lang w:val="en-GB"/>
              </w:rPr>
              <w:t>:</w:t>
            </w:r>
          </w:p>
          <w:p w14:paraId="4AC7D7C0" w14:textId="26F16317" w:rsidR="004D17B9" w:rsidRDefault="004D17B9" w:rsidP="004D17B9">
            <w:pPr>
              <w:spacing w:after="0" w:line="240" w:lineRule="auto"/>
              <w:jc w:val="both"/>
              <w:rPr>
                <w:rFonts w:ascii="Arial" w:eastAsia="Times New Roman" w:hAnsi="Arial" w:cs="Arial"/>
                <w:lang w:val="en-GB"/>
              </w:rPr>
            </w:pPr>
            <w:r>
              <w:rPr>
                <w:rFonts w:ascii="Arial" w:eastAsia="Times New Roman" w:hAnsi="Arial" w:cs="Arial"/>
                <w:lang w:val="en-GB"/>
              </w:rPr>
              <w:t xml:space="preserve">The Standard is applicable to all designated </w:t>
            </w:r>
            <w:r w:rsidR="00DC75D8">
              <w:rPr>
                <w:rFonts w:ascii="Arial" w:eastAsia="Times New Roman" w:hAnsi="Arial" w:cs="Arial"/>
                <w:lang w:val="en-GB"/>
              </w:rPr>
              <w:t>intuitions (</w:t>
            </w:r>
            <w:r>
              <w:rPr>
                <w:rFonts w:ascii="Arial" w:eastAsia="Times New Roman" w:hAnsi="Arial" w:cs="Arial"/>
                <w:lang w:val="en-GB"/>
              </w:rPr>
              <w:t>as defined in section 29(A) of the Act</w:t>
            </w:r>
            <w:r w:rsidR="00E33978">
              <w:rPr>
                <w:rFonts w:ascii="Arial" w:eastAsia="Times New Roman" w:hAnsi="Arial" w:cs="Arial"/>
                <w:lang w:val="en-GB"/>
              </w:rPr>
              <w:t xml:space="preserve">) </w:t>
            </w:r>
            <w:r w:rsidR="00013822">
              <w:rPr>
                <w:rFonts w:ascii="Arial" w:eastAsia="Times New Roman" w:hAnsi="Arial" w:cs="Arial"/>
                <w:lang w:val="en-GB"/>
              </w:rPr>
              <w:t xml:space="preserve">unless the </w:t>
            </w:r>
            <w:r w:rsidR="00A95677">
              <w:rPr>
                <w:rFonts w:ascii="Arial" w:eastAsia="Times New Roman" w:hAnsi="Arial" w:cs="Arial"/>
                <w:lang w:val="en-GB"/>
              </w:rPr>
              <w:t>Reserve Bank</w:t>
            </w:r>
            <w:r w:rsidR="0019406A">
              <w:rPr>
                <w:rFonts w:ascii="Arial" w:eastAsia="Times New Roman" w:hAnsi="Arial" w:cs="Arial"/>
                <w:lang w:val="en-GB"/>
              </w:rPr>
              <w:t xml:space="preserve"> </w:t>
            </w:r>
            <w:r w:rsidR="00013822">
              <w:rPr>
                <w:rFonts w:ascii="Arial" w:eastAsia="Times New Roman" w:hAnsi="Arial" w:cs="Arial"/>
                <w:lang w:val="en-GB"/>
              </w:rPr>
              <w:t>determine</w:t>
            </w:r>
            <w:r w:rsidR="00A95677">
              <w:rPr>
                <w:rFonts w:ascii="Arial" w:eastAsia="Times New Roman" w:hAnsi="Arial" w:cs="Arial"/>
                <w:lang w:val="en-GB"/>
              </w:rPr>
              <w:t>s</w:t>
            </w:r>
            <w:r w:rsidR="00013822">
              <w:rPr>
                <w:rFonts w:ascii="Arial" w:eastAsia="Times New Roman" w:hAnsi="Arial" w:cs="Arial"/>
                <w:lang w:val="en-GB"/>
              </w:rPr>
              <w:t xml:space="preserve"> that this specific resolution tool will not be suitable for the specific </w:t>
            </w:r>
            <w:r w:rsidR="000E78FE">
              <w:rPr>
                <w:rFonts w:ascii="Arial" w:eastAsia="Times New Roman" w:hAnsi="Arial" w:cs="Arial"/>
                <w:lang w:val="en-GB"/>
              </w:rPr>
              <w:t>designated institution</w:t>
            </w:r>
            <w:r w:rsidR="00B52B11">
              <w:rPr>
                <w:rFonts w:ascii="Arial" w:eastAsia="Times New Roman" w:hAnsi="Arial" w:cs="Arial"/>
                <w:lang w:val="en-GB"/>
              </w:rPr>
              <w:t>s’ resolution strategy</w:t>
            </w:r>
            <w:r w:rsidR="000E78FE">
              <w:rPr>
                <w:rFonts w:ascii="Arial" w:eastAsia="Times New Roman" w:hAnsi="Arial" w:cs="Arial"/>
                <w:lang w:val="en-GB"/>
              </w:rPr>
              <w:t>.</w:t>
            </w:r>
          </w:p>
          <w:p w14:paraId="679C123F" w14:textId="6974D732" w:rsidR="000E78FE" w:rsidRDefault="000E78FE" w:rsidP="004D17B9">
            <w:pPr>
              <w:spacing w:after="0" w:line="240" w:lineRule="auto"/>
              <w:jc w:val="both"/>
              <w:rPr>
                <w:rFonts w:ascii="Arial" w:eastAsia="Times New Roman" w:hAnsi="Arial" w:cs="Arial"/>
                <w:lang w:val="en-GB"/>
              </w:rPr>
            </w:pPr>
          </w:p>
          <w:p w14:paraId="34B76E77" w14:textId="756C3C28" w:rsidR="005D1FD9" w:rsidRDefault="000E78FE" w:rsidP="004D17B9">
            <w:pPr>
              <w:spacing w:after="0" w:line="240" w:lineRule="auto"/>
              <w:jc w:val="both"/>
              <w:rPr>
                <w:rFonts w:ascii="Arial" w:eastAsia="Times New Roman" w:hAnsi="Arial" w:cs="Arial"/>
                <w:lang w:val="en-GB"/>
              </w:rPr>
            </w:pPr>
            <w:r>
              <w:rPr>
                <w:rFonts w:ascii="Arial" w:eastAsia="Times New Roman" w:hAnsi="Arial" w:cs="Arial"/>
                <w:lang w:val="en-GB"/>
              </w:rPr>
              <w:t xml:space="preserve">It is to be noted that resolution </w:t>
            </w:r>
            <w:r w:rsidR="000C461C">
              <w:rPr>
                <w:rFonts w:ascii="Arial" w:eastAsia="Times New Roman" w:hAnsi="Arial" w:cs="Arial"/>
                <w:lang w:val="en-GB"/>
              </w:rPr>
              <w:t>tools (</w:t>
            </w:r>
            <w:r w:rsidR="00285778">
              <w:rPr>
                <w:rFonts w:ascii="Arial" w:eastAsia="Times New Roman" w:hAnsi="Arial" w:cs="Arial"/>
                <w:lang w:val="en-GB"/>
              </w:rPr>
              <w:t xml:space="preserve">in a resolution strategy) </w:t>
            </w:r>
            <w:r>
              <w:rPr>
                <w:rFonts w:ascii="Arial" w:eastAsia="Times New Roman" w:hAnsi="Arial" w:cs="Arial"/>
                <w:lang w:val="en-GB"/>
              </w:rPr>
              <w:t xml:space="preserve">such as bail-in, transfers </w:t>
            </w:r>
            <w:r w:rsidR="002F6601">
              <w:rPr>
                <w:rFonts w:ascii="Arial" w:eastAsia="Times New Roman" w:hAnsi="Arial" w:cs="Arial"/>
                <w:lang w:val="en-GB"/>
              </w:rPr>
              <w:t>and</w:t>
            </w:r>
            <w:r w:rsidR="00B52B11">
              <w:rPr>
                <w:rFonts w:ascii="Arial" w:eastAsia="Times New Roman" w:hAnsi="Arial" w:cs="Arial"/>
                <w:lang w:val="en-GB"/>
              </w:rPr>
              <w:t xml:space="preserve"> other general tools </w:t>
            </w:r>
            <w:r w:rsidR="002F6601">
              <w:rPr>
                <w:rFonts w:ascii="Arial" w:eastAsia="Times New Roman" w:hAnsi="Arial" w:cs="Arial"/>
                <w:lang w:val="en-GB"/>
              </w:rPr>
              <w:t>may be used on a stand</w:t>
            </w:r>
            <w:r w:rsidR="00CF4042">
              <w:rPr>
                <w:rFonts w:ascii="Arial" w:eastAsia="Times New Roman" w:hAnsi="Arial" w:cs="Arial"/>
                <w:lang w:val="en-GB"/>
              </w:rPr>
              <w:t>-</w:t>
            </w:r>
            <w:r w:rsidR="002F6601">
              <w:rPr>
                <w:rFonts w:ascii="Arial" w:eastAsia="Times New Roman" w:hAnsi="Arial" w:cs="Arial"/>
                <w:lang w:val="en-GB"/>
              </w:rPr>
              <w:t xml:space="preserve">alone basis or in </w:t>
            </w:r>
            <w:r w:rsidR="005D1FD9">
              <w:rPr>
                <w:rFonts w:ascii="Arial" w:eastAsia="Times New Roman" w:hAnsi="Arial" w:cs="Arial"/>
                <w:lang w:val="en-GB"/>
              </w:rPr>
              <w:t>conjunction</w:t>
            </w:r>
            <w:r w:rsidR="002F6601">
              <w:rPr>
                <w:rFonts w:ascii="Arial" w:eastAsia="Times New Roman" w:hAnsi="Arial" w:cs="Arial"/>
                <w:lang w:val="en-GB"/>
              </w:rPr>
              <w:t xml:space="preserve"> with each other to achieve an orderly resolution.</w:t>
            </w:r>
            <w:r w:rsidR="00285778">
              <w:rPr>
                <w:rFonts w:ascii="Arial" w:eastAsia="Times New Roman" w:hAnsi="Arial" w:cs="Arial"/>
                <w:lang w:val="en-GB"/>
              </w:rPr>
              <w:t xml:space="preserve"> </w:t>
            </w:r>
          </w:p>
          <w:p w14:paraId="1C0B6FBE" w14:textId="23AF69BB" w:rsidR="00732170" w:rsidRDefault="00732170" w:rsidP="004D17B9">
            <w:pPr>
              <w:spacing w:after="0" w:line="240" w:lineRule="auto"/>
              <w:jc w:val="both"/>
              <w:rPr>
                <w:rFonts w:ascii="Arial" w:eastAsia="Times New Roman" w:hAnsi="Arial" w:cs="Arial"/>
                <w:lang w:val="en-GB"/>
              </w:rPr>
            </w:pPr>
          </w:p>
          <w:p w14:paraId="247BD3D4" w14:textId="5B141339" w:rsidR="005D4997" w:rsidRDefault="003833BB" w:rsidP="004D17B9">
            <w:pPr>
              <w:spacing w:after="0" w:line="240" w:lineRule="auto"/>
              <w:jc w:val="both"/>
              <w:rPr>
                <w:rFonts w:ascii="Arial" w:eastAsia="Times New Roman" w:hAnsi="Arial" w:cs="Arial"/>
                <w:lang w:val="en-GB"/>
              </w:rPr>
            </w:pPr>
            <w:r>
              <w:rPr>
                <w:rFonts w:ascii="Arial" w:eastAsia="Times New Roman" w:hAnsi="Arial" w:cs="Arial"/>
                <w:lang w:val="en-GB"/>
              </w:rPr>
              <w:t>For example,</w:t>
            </w:r>
            <w:r w:rsidR="005D4997">
              <w:rPr>
                <w:rFonts w:ascii="Arial" w:eastAsia="Times New Roman" w:hAnsi="Arial" w:cs="Arial"/>
                <w:lang w:val="en-GB"/>
              </w:rPr>
              <w:t xml:space="preserve"> if bail-in is the preferred resolution strategy for an open</w:t>
            </w:r>
            <w:r>
              <w:rPr>
                <w:rFonts w:ascii="Arial" w:eastAsia="Times New Roman" w:hAnsi="Arial" w:cs="Arial"/>
                <w:lang w:val="en-GB"/>
              </w:rPr>
              <w:t>-</w:t>
            </w:r>
            <w:r w:rsidR="005D4997">
              <w:rPr>
                <w:rFonts w:ascii="Arial" w:eastAsia="Times New Roman" w:hAnsi="Arial" w:cs="Arial"/>
                <w:lang w:val="en-GB"/>
              </w:rPr>
              <w:t>bank strategy</w:t>
            </w:r>
            <w:r w:rsidR="00EA5DC2">
              <w:rPr>
                <w:rFonts w:ascii="Arial" w:eastAsia="Times New Roman" w:hAnsi="Arial" w:cs="Arial"/>
                <w:lang w:val="en-GB"/>
              </w:rPr>
              <w:t xml:space="preserve"> for a particular designated institution</w:t>
            </w:r>
            <w:r w:rsidR="005D4997">
              <w:rPr>
                <w:rFonts w:ascii="Arial" w:eastAsia="Times New Roman" w:hAnsi="Arial" w:cs="Arial"/>
                <w:lang w:val="en-GB"/>
              </w:rPr>
              <w:t>, it doesn’t mean that partial transfers</w:t>
            </w:r>
            <w:r w:rsidR="005D1FD9">
              <w:rPr>
                <w:rFonts w:ascii="Arial" w:eastAsia="Times New Roman" w:hAnsi="Arial" w:cs="Arial"/>
                <w:lang w:val="en-GB"/>
              </w:rPr>
              <w:t xml:space="preserve">, </w:t>
            </w:r>
            <w:r w:rsidR="005D4997">
              <w:rPr>
                <w:rFonts w:ascii="Arial" w:eastAsia="Times New Roman" w:hAnsi="Arial" w:cs="Arial"/>
                <w:lang w:val="en-GB"/>
              </w:rPr>
              <w:t xml:space="preserve">asset separation </w:t>
            </w:r>
            <w:r w:rsidR="005D1FD9">
              <w:rPr>
                <w:rFonts w:ascii="Arial" w:eastAsia="Times New Roman" w:hAnsi="Arial" w:cs="Arial"/>
                <w:lang w:val="en-GB"/>
              </w:rPr>
              <w:t>and other general</w:t>
            </w:r>
            <w:r w:rsidR="0019406A">
              <w:rPr>
                <w:rFonts w:ascii="Arial" w:eastAsia="Times New Roman" w:hAnsi="Arial" w:cs="Arial"/>
                <w:lang w:val="en-GB"/>
              </w:rPr>
              <w:t xml:space="preserve"> resolution</w:t>
            </w:r>
            <w:r w:rsidR="005D1FD9">
              <w:rPr>
                <w:rFonts w:ascii="Arial" w:eastAsia="Times New Roman" w:hAnsi="Arial" w:cs="Arial"/>
                <w:lang w:val="en-GB"/>
              </w:rPr>
              <w:t xml:space="preserve"> tools </w:t>
            </w:r>
            <w:r w:rsidR="005D4997">
              <w:rPr>
                <w:rFonts w:ascii="Arial" w:eastAsia="Times New Roman" w:hAnsi="Arial" w:cs="Arial"/>
                <w:lang w:val="en-GB"/>
              </w:rPr>
              <w:t xml:space="preserve">cannot be used </w:t>
            </w:r>
            <w:r>
              <w:rPr>
                <w:rFonts w:ascii="Arial" w:eastAsia="Times New Roman" w:hAnsi="Arial" w:cs="Arial"/>
                <w:lang w:val="en-GB"/>
              </w:rPr>
              <w:t xml:space="preserve">in conjunction with bail-in </w:t>
            </w:r>
            <w:r w:rsidR="00EA5DC2">
              <w:rPr>
                <w:rFonts w:ascii="Arial" w:eastAsia="Times New Roman" w:hAnsi="Arial" w:cs="Arial"/>
                <w:lang w:val="en-GB"/>
              </w:rPr>
              <w:t>to deal with the issues that led to resolution.</w:t>
            </w:r>
          </w:p>
          <w:p w14:paraId="0802189B" w14:textId="4EE43B51" w:rsidR="00631312" w:rsidRDefault="00631312" w:rsidP="004D17B9">
            <w:pPr>
              <w:spacing w:after="0" w:line="240" w:lineRule="auto"/>
              <w:jc w:val="both"/>
              <w:rPr>
                <w:rFonts w:ascii="Arial" w:eastAsia="Times New Roman" w:hAnsi="Arial" w:cs="Arial"/>
                <w:lang w:val="en-GB"/>
              </w:rPr>
            </w:pPr>
          </w:p>
          <w:p w14:paraId="0A4CDB7D" w14:textId="285A6C87" w:rsidR="00631312" w:rsidRDefault="00E624E5" w:rsidP="004D17B9">
            <w:pPr>
              <w:spacing w:after="0" w:line="240" w:lineRule="auto"/>
              <w:jc w:val="both"/>
              <w:rPr>
                <w:rFonts w:ascii="Arial" w:eastAsia="Times New Roman" w:hAnsi="Arial" w:cs="Arial"/>
                <w:lang w:val="en-GB"/>
              </w:rPr>
            </w:pPr>
            <w:r w:rsidRPr="000151B0">
              <w:rPr>
                <w:rFonts w:ascii="Arial" w:eastAsia="Times New Roman" w:hAnsi="Arial" w:cs="Arial"/>
                <w:lang w:val="en-GB"/>
              </w:rPr>
              <w:t xml:space="preserve">The </w:t>
            </w:r>
            <w:r w:rsidR="00DA560E">
              <w:rPr>
                <w:rFonts w:ascii="Arial" w:eastAsia="Times New Roman" w:hAnsi="Arial" w:cs="Arial"/>
                <w:lang w:val="en-GB"/>
              </w:rPr>
              <w:t>Authorities</w:t>
            </w:r>
            <w:r w:rsidRPr="000151B0">
              <w:rPr>
                <w:rFonts w:ascii="Arial" w:eastAsia="Times New Roman" w:hAnsi="Arial" w:cs="Arial"/>
                <w:lang w:val="en-GB"/>
              </w:rPr>
              <w:t xml:space="preserve"> </w:t>
            </w:r>
            <w:r w:rsidR="00CC65F4" w:rsidRPr="000151B0">
              <w:rPr>
                <w:rFonts w:ascii="Arial" w:eastAsia="Times New Roman" w:hAnsi="Arial" w:cs="Arial"/>
                <w:lang w:val="en-GB"/>
              </w:rPr>
              <w:t>amended</w:t>
            </w:r>
            <w:r w:rsidRPr="000151B0">
              <w:rPr>
                <w:rFonts w:ascii="Arial" w:eastAsia="Times New Roman" w:hAnsi="Arial" w:cs="Arial"/>
                <w:lang w:val="en-GB"/>
              </w:rPr>
              <w:t xml:space="preserve"> the </w:t>
            </w:r>
            <w:r w:rsidR="00834A66" w:rsidRPr="000151B0">
              <w:rPr>
                <w:rFonts w:ascii="Arial" w:eastAsia="Times New Roman" w:hAnsi="Arial" w:cs="Arial"/>
                <w:lang w:val="en-GB"/>
              </w:rPr>
              <w:t>A</w:t>
            </w:r>
            <w:r w:rsidRPr="000151B0">
              <w:rPr>
                <w:rFonts w:ascii="Arial" w:eastAsia="Times New Roman" w:hAnsi="Arial" w:cs="Arial"/>
                <w:lang w:val="en-GB"/>
              </w:rPr>
              <w:t>pplica</w:t>
            </w:r>
            <w:r w:rsidR="00834A66" w:rsidRPr="000151B0">
              <w:rPr>
                <w:rFonts w:ascii="Arial" w:eastAsia="Times New Roman" w:hAnsi="Arial" w:cs="Arial"/>
                <w:lang w:val="en-GB"/>
              </w:rPr>
              <w:t>tion</w:t>
            </w:r>
            <w:r w:rsidRPr="000151B0">
              <w:rPr>
                <w:rFonts w:ascii="Arial" w:eastAsia="Times New Roman" w:hAnsi="Arial" w:cs="Arial"/>
                <w:lang w:val="en-GB"/>
              </w:rPr>
              <w:t xml:space="preserve"> section</w:t>
            </w:r>
            <w:r w:rsidR="006A7D67" w:rsidRPr="000151B0">
              <w:rPr>
                <w:rFonts w:ascii="Arial" w:eastAsia="Times New Roman" w:hAnsi="Arial" w:cs="Arial"/>
                <w:lang w:val="en-GB"/>
              </w:rPr>
              <w:t xml:space="preserve"> (section 5)</w:t>
            </w:r>
            <w:r w:rsidRPr="000151B0">
              <w:rPr>
                <w:rFonts w:ascii="Arial" w:eastAsia="Times New Roman" w:hAnsi="Arial" w:cs="Arial"/>
                <w:lang w:val="en-GB"/>
              </w:rPr>
              <w:t xml:space="preserve">, to clarify that the Standard is applicable to all designated institutions, however </w:t>
            </w:r>
            <w:r w:rsidR="00CC65F4" w:rsidRPr="000151B0">
              <w:rPr>
                <w:rFonts w:ascii="Arial" w:eastAsia="Times New Roman" w:hAnsi="Arial" w:cs="Arial"/>
                <w:lang w:val="en-GB"/>
              </w:rPr>
              <w:t xml:space="preserve">only institutions that </w:t>
            </w:r>
            <w:r w:rsidR="006A7D67" w:rsidRPr="000151B0">
              <w:rPr>
                <w:rFonts w:ascii="Arial" w:eastAsia="Times New Roman" w:hAnsi="Arial" w:cs="Arial"/>
                <w:lang w:val="en-GB"/>
              </w:rPr>
              <w:t xml:space="preserve">will have been </w:t>
            </w:r>
            <w:r w:rsidR="00CC65F4" w:rsidRPr="000151B0">
              <w:rPr>
                <w:rFonts w:ascii="Arial" w:eastAsia="Times New Roman" w:hAnsi="Arial" w:cs="Arial"/>
                <w:lang w:val="en-GB"/>
              </w:rPr>
              <w:t xml:space="preserve">informed by the Reserve Bank that transfers will form </w:t>
            </w:r>
            <w:r w:rsidR="006A7D67" w:rsidRPr="000151B0">
              <w:rPr>
                <w:rFonts w:ascii="Arial" w:eastAsia="Times New Roman" w:hAnsi="Arial" w:cs="Arial"/>
                <w:lang w:val="en-GB"/>
              </w:rPr>
              <w:t>part</w:t>
            </w:r>
            <w:r w:rsidR="00CC65F4" w:rsidRPr="000151B0">
              <w:rPr>
                <w:rFonts w:ascii="Arial" w:eastAsia="Times New Roman" w:hAnsi="Arial" w:cs="Arial"/>
                <w:lang w:val="en-GB"/>
              </w:rPr>
              <w:t xml:space="preserve"> of their resolution strategy, will need to comply with the requirements in the Standard.</w:t>
            </w:r>
          </w:p>
          <w:p w14:paraId="58C90BDD" w14:textId="0DA896A8" w:rsidR="00637D44" w:rsidRDefault="00637D44" w:rsidP="00A459CC">
            <w:pPr>
              <w:spacing w:after="0" w:line="240" w:lineRule="auto"/>
              <w:jc w:val="both"/>
              <w:rPr>
                <w:rFonts w:ascii="Arial" w:eastAsia="Times New Roman" w:hAnsi="Arial" w:cs="Arial"/>
                <w:lang w:val="en-GB"/>
              </w:rPr>
            </w:pPr>
          </w:p>
          <w:p w14:paraId="26BB2AB8" w14:textId="33D3B492" w:rsidR="00637D44" w:rsidRPr="0051060F" w:rsidRDefault="00637D44" w:rsidP="00A459CC">
            <w:pPr>
              <w:spacing w:after="0" w:line="240" w:lineRule="auto"/>
              <w:jc w:val="both"/>
              <w:rPr>
                <w:rFonts w:ascii="Arial" w:eastAsia="Times New Roman" w:hAnsi="Arial" w:cs="Arial"/>
                <w:b/>
                <w:bCs/>
                <w:lang w:val="en-GB"/>
              </w:rPr>
            </w:pPr>
            <w:r w:rsidRPr="0051060F">
              <w:rPr>
                <w:rFonts w:ascii="Arial" w:eastAsia="Times New Roman" w:hAnsi="Arial" w:cs="Arial"/>
                <w:b/>
                <w:bCs/>
                <w:lang w:val="en-GB"/>
              </w:rPr>
              <w:t xml:space="preserve">Implications for </w:t>
            </w:r>
            <w:proofErr w:type="spellStart"/>
            <w:r w:rsidRPr="0051060F">
              <w:rPr>
                <w:rFonts w:ascii="Arial" w:eastAsia="Times New Roman" w:hAnsi="Arial" w:cs="Arial"/>
                <w:b/>
                <w:bCs/>
                <w:lang w:val="en-GB"/>
              </w:rPr>
              <w:t>Flac</w:t>
            </w:r>
            <w:proofErr w:type="spellEnd"/>
            <w:r w:rsidRPr="0051060F">
              <w:rPr>
                <w:rFonts w:ascii="Arial" w:eastAsia="Times New Roman" w:hAnsi="Arial" w:cs="Arial"/>
                <w:b/>
                <w:bCs/>
                <w:lang w:val="en-GB"/>
              </w:rPr>
              <w:t xml:space="preserve"> calibration (</w:t>
            </w:r>
            <w:r w:rsidR="00FF71B7" w:rsidRPr="0051060F">
              <w:rPr>
                <w:rFonts w:ascii="Arial" w:eastAsia="Times New Roman" w:hAnsi="Arial" w:cs="Arial"/>
                <w:b/>
                <w:bCs/>
                <w:lang w:val="en-GB"/>
              </w:rPr>
              <w:t>t</w:t>
            </w:r>
            <w:r w:rsidRPr="0051060F">
              <w:rPr>
                <w:rFonts w:ascii="Arial" w:eastAsia="Times New Roman" w:hAnsi="Arial" w:cs="Arial"/>
                <w:b/>
                <w:bCs/>
                <w:lang w:val="en-GB"/>
              </w:rPr>
              <w:t>ransfers in an ope</w:t>
            </w:r>
            <w:r w:rsidR="00BD12EE" w:rsidRPr="0051060F">
              <w:rPr>
                <w:rFonts w:ascii="Arial" w:eastAsia="Times New Roman" w:hAnsi="Arial" w:cs="Arial"/>
                <w:b/>
                <w:bCs/>
                <w:lang w:val="en-GB"/>
              </w:rPr>
              <w:t>n-</w:t>
            </w:r>
            <w:r w:rsidRPr="0051060F">
              <w:rPr>
                <w:rFonts w:ascii="Arial" w:eastAsia="Times New Roman" w:hAnsi="Arial" w:cs="Arial"/>
                <w:b/>
                <w:bCs/>
                <w:lang w:val="en-GB"/>
              </w:rPr>
              <w:t>bank</w:t>
            </w:r>
            <w:r w:rsidR="00BD12EE" w:rsidRPr="0051060F">
              <w:rPr>
                <w:rFonts w:ascii="Arial" w:eastAsia="Times New Roman" w:hAnsi="Arial" w:cs="Arial"/>
                <w:b/>
                <w:bCs/>
                <w:lang w:val="en-GB"/>
              </w:rPr>
              <w:t xml:space="preserve"> </w:t>
            </w:r>
            <w:r w:rsidRPr="0051060F">
              <w:rPr>
                <w:rFonts w:ascii="Arial" w:eastAsia="Times New Roman" w:hAnsi="Arial" w:cs="Arial"/>
                <w:b/>
                <w:bCs/>
                <w:lang w:val="en-GB"/>
              </w:rPr>
              <w:t>resolution):</w:t>
            </w:r>
          </w:p>
          <w:p w14:paraId="6D522B00" w14:textId="2BE97EB3" w:rsidR="00EA5DC2" w:rsidRPr="00E81FD6" w:rsidRDefault="00FD442F" w:rsidP="00A459CC">
            <w:pPr>
              <w:spacing w:after="0" w:line="240" w:lineRule="auto"/>
              <w:jc w:val="both"/>
              <w:rPr>
                <w:rFonts w:ascii="Arial" w:eastAsia="Times New Roman" w:hAnsi="Arial" w:cs="Arial"/>
                <w:lang w:val="en-GB"/>
              </w:rPr>
            </w:pPr>
            <w:r w:rsidRPr="00E81FD6">
              <w:rPr>
                <w:rFonts w:ascii="Arial" w:eastAsia="Times New Roman" w:hAnsi="Arial" w:cs="Arial"/>
                <w:lang w:val="en-GB"/>
              </w:rPr>
              <w:t xml:space="preserve">The purpose of </w:t>
            </w:r>
            <w:proofErr w:type="spellStart"/>
            <w:r w:rsidRPr="00E81FD6">
              <w:rPr>
                <w:rFonts w:ascii="Arial" w:eastAsia="Times New Roman" w:hAnsi="Arial" w:cs="Arial"/>
                <w:lang w:val="en-GB"/>
              </w:rPr>
              <w:t>Flac</w:t>
            </w:r>
            <w:proofErr w:type="spellEnd"/>
            <w:r w:rsidRPr="00E81FD6">
              <w:rPr>
                <w:rFonts w:ascii="Arial" w:eastAsia="Times New Roman" w:hAnsi="Arial" w:cs="Arial"/>
                <w:lang w:val="en-GB"/>
              </w:rPr>
              <w:t xml:space="preserve"> is to enable recapitalisation of a </w:t>
            </w:r>
            <w:r w:rsidR="00D16292" w:rsidRPr="00E81FD6">
              <w:rPr>
                <w:rFonts w:ascii="Arial" w:eastAsia="Times New Roman" w:hAnsi="Arial" w:cs="Arial"/>
                <w:lang w:val="en-GB"/>
              </w:rPr>
              <w:t>designated institution (currently only applicable to SIFI Banks)</w:t>
            </w:r>
            <w:r w:rsidRPr="00E81FD6">
              <w:rPr>
                <w:rFonts w:ascii="Arial" w:eastAsia="Times New Roman" w:hAnsi="Arial" w:cs="Arial"/>
                <w:lang w:val="en-GB"/>
              </w:rPr>
              <w:t xml:space="preserve"> </w:t>
            </w:r>
            <w:r w:rsidR="00C306B0">
              <w:rPr>
                <w:rFonts w:ascii="Arial" w:eastAsia="Times New Roman" w:hAnsi="Arial" w:cs="Arial"/>
                <w:lang w:val="en-GB"/>
              </w:rPr>
              <w:t xml:space="preserve">using </w:t>
            </w:r>
            <w:r w:rsidR="001D7BB5" w:rsidRPr="00E81FD6">
              <w:rPr>
                <w:rFonts w:ascii="Arial" w:eastAsia="Times New Roman" w:hAnsi="Arial" w:cs="Arial"/>
                <w:lang w:val="en-GB"/>
              </w:rPr>
              <w:t>a bail-</w:t>
            </w:r>
            <w:r w:rsidR="001D7BB5" w:rsidRPr="00E81FD6">
              <w:rPr>
                <w:rFonts w:ascii="Arial" w:eastAsia="Times New Roman" w:hAnsi="Arial" w:cs="Arial"/>
                <w:lang w:val="en-GB"/>
              </w:rPr>
              <w:lastRenderedPageBreak/>
              <w:t>in tool</w:t>
            </w:r>
            <w:r w:rsidRPr="00E81FD6">
              <w:rPr>
                <w:rFonts w:ascii="Arial" w:eastAsia="Times New Roman" w:hAnsi="Arial" w:cs="Arial"/>
                <w:lang w:val="en-GB"/>
              </w:rPr>
              <w:t xml:space="preserve">, so that </w:t>
            </w:r>
            <w:r w:rsidR="00C306B0">
              <w:rPr>
                <w:rFonts w:ascii="Arial" w:eastAsia="Times New Roman" w:hAnsi="Arial" w:cs="Arial"/>
                <w:lang w:val="en-GB"/>
              </w:rPr>
              <w:t>the bank in resolution</w:t>
            </w:r>
            <w:r w:rsidRPr="00E81FD6">
              <w:rPr>
                <w:rFonts w:ascii="Arial" w:eastAsia="Times New Roman" w:hAnsi="Arial" w:cs="Arial"/>
                <w:lang w:val="en-GB"/>
              </w:rPr>
              <w:t xml:space="preserve"> can meet its operating minimum</w:t>
            </w:r>
            <w:r w:rsidR="00D16292" w:rsidRPr="00E81FD6">
              <w:rPr>
                <w:rFonts w:ascii="Arial" w:eastAsia="Times New Roman" w:hAnsi="Arial" w:cs="Arial"/>
                <w:lang w:val="en-GB"/>
              </w:rPr>
              <w:t xml:space="preserve"> capital</w:t>
            </w:r>
            <w:r w:rsidRPr="00E81FD6">
              <w:rPr>
                <w:rFonts w:ascii="Arial" w:eastAsia="Times New Roman" w:hAnsi="Arial" w:cs="Arial"/>
                <w:lang w:val="en-GB"/>
              </w:rPr>
              <w:t xml:space="preserve"> requirements.</w:t>
            </w:r>
            <w:r w:rsidR="00C52B00" w:rsidRPr="00E81FD6">
              <w:rPr>
                <w:rFonts w:ascii="Arial" w:eastAsia="Times New Roman" w:hAnsi="Arial" w:cs="Arial"/>
                <w:lang w:val="en-GB"/>
              </w:rPr>
              <w:t xml:space="preserve"> </w:t>
            </w:r>
          </w:p>
          <w:p w14:paraId="0DCE9060" w14:textId="30DECBC4" w:rsidR="002B2E5A" w:rsidRDefault="002B2E5A" w:rsidP="00A459CC">
            <w:pPr>
              <w:spacing w:after="0" w:line="240" w:lineRule="auto"/>
              <w:jc w:val="both"/>
              <w:rPr>
                <w:rFonts w:ascii="Arial" w:eastAsia="Times New Roman" w:hAnsi="Arial" w:cs="Arial"/>
                <w:i/>
                <w:iCs/>
                <w:lang w:val="en-GB"/>
              </w:rPr>
            </w:pPr>
          </w:p>
          <w:p w14:paraId="6C41A1A4" w14:textId="1F8B4C75" w:rsidR="003E5AC5" w:rsidRDefault="003E5AC5" w:rsidP="00A459CC">
            <w:pPr>
              <w:spacing w:after="0" w:line="240" w:lineRule="auto"/>
              <w:jc w:val="both"/>
              <w:rPr>
                <w:rFonts w:ascii="Arial" w:eastAsia="Times New Roman" w:hAnsi="Arial" w:cs="Arial"/>
                <w:lang w:val="en-GB"/>
              </w:rPr>
            </w:pPr>
            <w:r>
              <w:rPr>
                <w:rFonts w:ascii="Arial" w:eastAsia="Times New Roman" w:hAnsi="Arial" w:cs="Arial"/>
                <w:lang w:val="en-GB"/>
              </w:rPr>
              <w:t>Using</w:t>
            </w:r>
            <w:r w:rsidR="00852BA2">
              <w:rPr>
                <w:rFonts w:ascii="Arial" w:eastAsia="Times New Roman" w:hAnsi="Arial" w:cs="Arial"/>
                <w:lang w:val="en-GB"/>
              </w:rPr>
              <w:t xml:space="preserve"> a bail-in tool does not preclude the use of other resolution </w:t>
            </w:r>
            <w:r>
              <w:rPr>
                <w:rFonts w:ascii="Arial" w:eastAsia="Times New Roman" w:hAnsi="Arial" w:cs="Arial"/>
                <w:lang w:val="en-GB"/>
              </w:rPr>
              <w:t>tools</w:t>
            </w:r>
            <w:r w:rsidR="00852BA2">
              <w:rPr>
                <w:rFonts w:ascii="Arial" w:eastAsia="Times New Roman" w:hAnsi="Arial" w:cs="Arial"/>
                <w:lang w:val="en-GB"/>
              </w:rPr>
              <w:t xml:space="preserve"> to deal with</w:t>
            </w:r>
            <w:r w:rsidR="00C61090">
              <w:rPr>
                <w:rFonts w:ascii="Arial" w:eastAsia="Times New Roman" w:hAnsi="Arial" w:cs="Arial"/>
                <w:lang w:val="en-GB"/>
              </w:rPr>
              <w:t xml:space="preserve">, amongst other things, </w:t>
            </w:r>
            <w:r w:rsidR="00852BA2">
              <w:rPr>
                <w:rFonts w:ascii="Arial" w:eastAsia="Times New Roman" w:hAnsi="Arial" w:cs="Arial"/>
                <w:lang w:val="en-GB"/>
              </w:rPr>
              <w:t xml:space="preserve">the issues that led to </w:t>
            </w:r>
            <w:r>
              <w:rPr>
                <w:rFonts w:ascii="Arial" w:eastAsia="Times New Roman" w:hAnsi="Arial" w:cs="Arial"/>
                <w:lang w:val="en-GB"/>
              </w:rPr>
              <w:t>resolution and t</w:t>
            </w:r>
            <w:r w:rsidR="00035D71">
              <w:rPr>
                <w:rFonts w:ascii="Arial" w:eastAsia="Times New Roman" w:hAnsi="Arial" w:cs="Arial"/>
                <w:lang w:val="en-GB"/>
              </w:rPr>
              <w:t>he</w:t>
            </w:r>
            <w:r>
              <w:rPr>
                <w:rFonts w:ascii="Arial" w:eastAsia="Times New Roman" w:hAnsi="Arial" w:cs="Arial"/>
                <w:lang w:val="en-GB"/>
              </w:rPr>
              <w:t xml:space="preserve"> restructur</w:t>
            </w:r>
            <w:r w:rsidR="00035D71">
              <w:rPr>
                <w:rFonts w:ascii="Arial" w:eastAsia="Times New Roman" w:hAnsi="Arial" w:cs="Arial"/>
                <w:lang w:val="en-GB"/>
              </w:rPr>
              <w:t>ing of</w:t>
            </w:r>
            <w:r>
              <w:rPr>
                <w:rFonts w:ascii="Arial" w:eastAsia="Times New Roman" w:hAnsi="Arial" w:cs="Arial"/>
                <w:lang w:val="en-GB"/>
              </w:rPr>
              <w:t xml:space="preserve"> the designated </w:t>
            </w:r>
            <w:r w:rsidR="001F60A2">
              <w:rPr>
                <w:rFonts w:ascii="Arial" w:eastAsia="Times New Roman" w:hAnsi="Arial" w:cs="Arial"/>
                <w:lang w:val="en-GB"/>
              </w:rPr>
              <w:t>institution</w:t>
            </w:r>
            <w:r>
              <w:rPr>
                <w:rFonts w:ascii="Arial" w:eastAsia="Times New Roman" w:hAnsi="Arial" w:cs="Arial"/>
                <w:lang w:val="en-GB"/>
              </w:rPr>
              <w:t xml:space="preserve">. </w:t>
            </w:r>
          </w:p>
          <w:p w14:paraId="4C7C58C6" w14:textId="0CB31498" w:rsidR="00BA34F4" w:rsidRDefault="00F21B7A" w:rsidP="00A459CC">
            <w:pPr>
              <w:spacing w:after="0" w:line="240" w:lineRule="auto"/>
              <w:jc w:val="both"/>
              <w:rPr>
                <w:rFonts w:ascii="Arial" w:eastAsia="Times New Roman" w:hAnsi="Arial" w:cs="Arial"/>
                <w:lang w:val="en-GB"/>
              </w:rPr>
            </w:pPr>
            <w:r>
              <w:rPr>
                <w:rFonts w:ascii="Arial" w:eastAsia="Times New Roman" w:hAnsi="Arial" w:cs="Arial"/>
                <w:lang w:val="en-GB"/>
              </w:rPr>
              <w:t>The application of resolution tools is not binary.</w:t>
            </w:r>
          </w:p>
          <w:p w14:paraId="628F2683" w14:textId="21BFB368" w:rsidR="00FA1982" w:rsidRPr="00213FAA" w:rsidRDefault="00FA1982" w:rsidP="00A459CC">
            <w:pPr>
              <w:spacing w:after="0" w:line="240" w:lineRule="auto"/>
              <w:jc w:val="both"/>
              <w:rPr>
                <w:rFonts w:ascii="Arial" w:eastAsia="Times New Roman" w:hAnsi="Arial" w:cs="Arial"/>
                <w:lang w:val="en-GB"/>
              </w:rPr>
            </w:pPr>
          </w:p>
        </w:tc>
      </w:tr>
      <w:tr w:rsidR="00A459CC" w:rsidRPr="009D05E3" w14:paraId="01AB3454" w14:textId="77777777" w:rsidTr="00515BD8">
        <w:tc>
          <w:tcPr>
            <w:tcW w:w="1886" w:type="dxa"/>
          </w:tcPr>
          <w:p w14:paraId="05B9C3D1" w14:textId="786AB68D" w:rsidR="00A459CC" w:rsidRPr="00213FAA" w:rsidRDefault="00FB6E7A" w:rsidP="00456761">
            <w:pPr>
              <w:spacing w:after="1440"/>
              <w:jc w:val="center"/>
              <w:rPr>
                <w:rFonts w:ascii="Arial" w:hAnsi="Arial" w:cs="Arial"/>
                <w:lang w:val="en-GB"/>
              </w:rPr>
            </w:pPr>
            <w:r w:rsidRPr="00213FAA">
              <w:rPr>
                <w:rFonts w:ascii="Arial" w:hAnsi="Arial" w:cs="Arial"/>
                <w:lang w:val="en-GB"/>
              </w:rPr>
              <w:lastRenderedPageBreak/>
              <w:t>43</w:t>
            </w:r>
          </w:p>
        </w:tc>
        <w:tc>
          <w:tcPr>
            <w:tcW w:w="2078" w:type="dxa"/>
            <w:shd w:val="clear" w:color="auto" w:fill="auto"/>
          </w:tcPr>
          <w:p w14:paraId="4299D1C3" w14:textId="40728A04" w:rsidR="00A459CC" w:rsidRPr="00213FAA" w:rsidRDefault="00A459CC" w:rsidP="00A459CC">
            <w:pPr>
              <w:spacing w:after="0" w:line="240" w:lineRule="auto"/>
              <w:rPr>
                <w:rFonts w:ascii="Arial" w:hAnsi="Arial" w:cs="Arial"/>
                <w:lang w:val="en-GB"/>
              </w:rPr>
            </w:pPr>
            <w:r w:rsidRPr="00213FAA">
              <w:rPr>
                <w:rFonts w:ascii="Arial" w:hAnsi="Arial" w:cs="Arial"/>
                <w:lang w:val="en-GB"/>
              </w:rPr>
              <w:t>BASA</w:t>
            </w:r>
          </w:p>
        </w:tc>
        <w:tc>
          <w:tcPr>
            <w:tcW w:w="2691" w:type="dxa"/>
          </w:tcPr>
          <w:p w14:paraId="2210FF75" w14:textId="09D893D9" w:rsidR="00A459CC" w:rsidRPr="00213FAA" w:rsidRDefault="00A459CC" w:rsidP="00A459CC">
            <w:pPr>
              <w:spacing w:after="0" w:line="240" w:lineRule="auto"/>
              <w:rPr>
                <w:rFonts w:ascii="Arial" w:hAnsi="Arial" w:cs="Arial"/>
                <w:lang w:val="en-GB"/>
              </w:rPr>
            </w:pPr>
            <w:r w:rsidRPr="00213FAA">
              <w:rPr>
                <w:rFonts w:ascii="Arial" w:hAnsi="Arial" w:cs="Arial"/>
                <w:lang w:val="en-GB"/>
              </w:rPr>
              <w:t>5.1</w:t>
            </w:r>
          </w:p>
        </w:tc>
        <w:tc>
          <w:tcPr>
            <w:tcW w:w="7903" w:type="dxa"/>
          </w:tcPr>
          <w:p w14:paraId="0001938B" w14:textId="300236F5" w:rsidR="00A459CC" w:rsidRPr="00213FAA" w:rsidRDefault="00A459CC" w:rsidP="003E7159">
            <w:pPr>
              <w:spacing w:afterLines="40" w:after="96" w:line="240" w:lineRule="auto"/>
              <w:rPr>
                <w:rFonts w:ascii="Arial" w:hAnsi="Arial" w:cs="Arial"/>
                <w:bCs/>
              </w:rPr>
            </w:pPr>
            <w:r w:rsidRPr="00213FAA">
              <w:rPr>
                <w:rFonts w:ascii="Arial" w:hAnsi="Arial" w:cs="Arial"/>
                <w:bCs/>
              </w:rPr>
              <w:t xml:space="preserve">The draft Prudential Standard (“Standard”) is intended to apply to designated institutions (as defined in the Financial Sector Regulation Act 9 of 2017 (“FSRA”), as amended by the Financial Sector Laws Amendment Act 23 of 2021), unless exempted by the </w:t>
            </w:r>
            <w:r w:rsidR="00CB39EB">
              <w:rPr>
                <w:rFonts w:ascii="Arial" w:hAnsi="Arial" w:cs="Arial"/>
                <w:bCs/>
              </w:rPr>
              <w:t>Prudential Authority</w:t>
            </w:r>
            <w:r w:rsidRPr="00213FAA">
              <w:rPr>
                <w:rFonts w:ascii="Arial" w:hAnsi="Arial" w:cs="Arial"/>
                <w:bCs/>
              </w:rPr>
              <w:t xml:space="preserve"> (“PA”) based on the resolution strategy set by the South African Reserve Bank (“SARB”).</w:t>
            </w:r>
          </w:p>
          <w:p w14:paraId="5785FCD5" w14:textId="5888FA2B" w:rsidR="00A459CC" w:rsidRPr="00213FAA" w:rsidRDefault="00A459CC" w:rsidP="00A459CC">
            <w:pPr>
              <w:spacing w:beforeLines="40" w:before="96" w:afterLines="40" w:after="96" w:line="240" w:lineRule="auto"/>
              <w:rPr>
                <w:rFonts w:ascii="Arial" w:hAnsi="Arial" w:cs="Arial"/>
              </w:rPr>
            </w:pPr>
            <w:r w:rsidRPr="00213FAA">
              <w:rPr>
                <w:rFonts w:ascii="Arial" w:hAnsi="Arial" w:cs="Arial"/>
                <w:bCs/>
              </w:rPr>
              <w:t xml:space="preserve">In terms of section 29A(1)(e) of the FSRA; </w:t>
            </w:r>
            <w:r w:rsidRPr="00213FAA">
              <w:rPr>
                <w:rFonts w:ascii="Arial" w:hAnsi="Arial" w:cs="Arial"/>
              </w:rPr>
              <w:t xml:space="preserve">subject to any determination in terms of subsection </w:t>
            </w:r>
            <w:r w:rsidRPr="00213FAA">
              <w:rPr>
                <w:rFonts w:ascii="Arial" w:hAnsi="Arial" w:cs="Arial"/>
                <w:bCs/>
              </w:rPr>
              <w:t>29</w:t>
            </w:r>
            <w:r w:rsidR="00164473" w:rsidRPr="00213FAA">
              <w:rPr>
                <w:rFonts w:ascii="Arial" w:hAnsi="Arial" w:cs="Arial"/>
                <w:bCs/>
              </w:rPr>
              <w:t>A (</w:t>
            </w:r>
            <w:r w:rsidRPr="00213FAA">
              <w:rPr>
                <w:rFonts w:ascii="Arial" w:hAnsi="Arial" w:cs="Arial"/>
              </w:rPr>
              <w:t>2) of the FSRA, if a bank or a systemically important financial institution (“SIFI”) is a member of a financial conglomerate, each of the other members of the financial conglomerate are designated institutions. The definition of a designated institution in the context of the draft Prudential Standard has the effect of scoping in entities associated with a bank or a SIFI where these entities sit in the same financial conglomerate as a bank or a SIFI, thus broadening the application of the</w:t>
            </w:r>
            <w:r w:rsidRPr="00213FAA">
              <w:rPr>
                <w:rFonts w:ascii="Arial" w:hAnsi="Arial" w:cs="Arial"/>
                <w:bCs/>
              </w:rPr>
              <w:t xml:space="preserve"> Standard</w:t>
            </w:r>
            <w:r w:rsidRPr="00213FAA">
              <w:rPr>
                <w:rFonts w:ascii="Arial" w:hAnsi="Arial" w:cs="Arial"/>
              </w:rPr>
              <w:t>.</w:t>
            </w:r>
          </w:p>
          <w:p w14:paraId="4A416034" w14:textId="77777777" w:rsidR="00A459CC" w:rsidRPr="00213FAA" w:rsidRDefault="00A459CC" w:rsidP="00A459CC">
            <w:pPr>
              <w:spacing w:beforeLines="40" w:before="96" w:afterLines="40" w:after="96" w:line="240" w:lineRule="auto"/>
              <w:rPr>
                <w:rFonts w:ascii="Arial" w:hAnsi="Arial" w:cs="Arial"/>
                <w:bCs/>
              </w:rPr>
            </w:pPr>
            <w:r w:rsidRPr="00213FAA">
              <w:rPr>
                <w:rFonts w:ascii="Arial" w:hAnsi="Arial" w:cs="Arial"/>
                <w:bCs/>
              </w:rPr>
              <w:t xml:space="preserve">Only in instances where the Governor has by written notice to a person or body determined that such a person is not a designated institution or where the PA has exempted a person from the Standard based on the SARB’s resolution strategy, will the draft Prudential Standard not apply to the person. </w:t>
            </w:r>
          </w:p>
          <w:p w14:paraId="49149703" w14:textId="7A6101FF" w:rsidR="00A459CC" w:rsidRPr="00213FAA" w:rsidRDefault="00A459CC" w:rsidP="00A459CC">
            <w:pPr>
              <w:spacing w:beforeLines="40" w:before="96" w:afterLines="40" w:after="96" w:line="240" w:lineRule="auto"/>
              <w:rPr>
                <w:rFonts w:ascii="Arial" w:hAnsi="Arial" w:cs="Arial"/>
              </w:rPr>
            </w:pPr>
            <w:r w:rsidRPr="00213FAA">
              <w:rPr>
                <w:rFonts w:ascii="Arial" w:hAnsi="Arial" w:cs="Arial"/>
                <w:bCs/>
              </w:rPr>
              <w:t xml:space="preserve">As Section 29A(1)(e) of the FSRA broadens the application of the Standard, it may have the unintended consequence of applying to members of a financial conglomerate that are neither banks, SIFIs nor significant and thus requiring these entities to comply with onerous requirements as set out in the Standard, which requirements may not be reasonable and commensurate with their risk profiles in terms of their nature, scale, and complexity. The sectoral laws that regulate these other entities may already provide for resolution mechanisms that are appropriate </w:t>
            </w:r>
            <w:r w:rsidRPr="00BC05AF">
              <w:rPr>
                <w:rFonts w:ascii="Arial" w:hAnsi="Arial" w:cs="Arial"/>
                <w:bCs/>
              </w:rPr>
              <w:t xml:space="preserve">to the nature, scale, and complexity of these entities. Given this context, the PA is requested to </w:t>
            </w:r>
            <w:r w:rsidRPr="00BC05AF">
              <w:rPr>
                <w:rFonts w:ascii="Arial" w:hAnsi="Arial" w:cs="Arial"/>
                <w:b/>
              </w:rPr>
              <w:t>clarify</w:t>
            </w:r>
            <w:r w:rsidRPr="00BC05AF">
              <w:rPr>
                <w:rFonts w:ascii="Arial" w:hAnsi="Arial" w:cs="Arial"/>
                <w:bCs/>
              </w:rPr>
              <w:t xml:space="preserve"> if written notice will be provided to all entities that have been determined as not being designated institutions in accordance with section 29</w:t>
            </w:r>
            <w:r w:rsidR="00164473" w:rsidRPr="00BC05AF">
              <w:rPr>
                <w:rFonts w:ascii="Arial" w:hAnsi="Arial" w:cs="Arial"/>
                <w:bCs/>
              </w:rPr>
              <w:t>A (</w:t>
            </w:r>
            <w:r w:rsidRPr="00BC05AF">
              <w:rPr>
                <w:rFonts w:ascii="Arial" w:hAnsi="Arial" w:cs="Arial"/>
                <w:bCs/>
              </w:rPr>
              <w:t>2) of the FSRA.</w:t>
            </w:r>
          </w:p>
          <w:p w14:paraId="0124E846" w14:textId="35F22C0D" w:rsidR="00A459CC" w:rsidRPr="00213FAA" w:rsidRDefault="00A459CC" w:rsidP="00A459CC">
            <w:pPr>
              <w:autoSpaceDE w:val="0"/>
              <w:autoSpaceDN w:val="0"/>
              <w:adjustRightInd w:val="0"/>
              <w:spacing w:after="0" w:line="240" w:lineRule="auto"/>
              <w:jc w:val="both"/>
              <w:rPr>
                <w:rFonts w:ascii="Arial" w:hAnsi="Arial" w:cs="Arial"/>
                <w:lang w:val="en-GB"/>
              </w:rPr>
            </w:pPr>
            <w:r w:rsidRPr="00213FAA">
              <w:rPr>
                <w:rFonts w:ascii="Arial" w:hAnsi="Arial" w:cs="Arial"/>
                <w:bCs/>
              </w:rPr>
              <w:t xml:space="preserve">The Standard further defines the resolution strategy as a strategy that the SARB shall deploy to manage the affairs of a designated institution in resolution. Therefore, a designated institution may upon its resolution, be exempted from compliance with the Standard despite having directed costly operational efforts towards compliance with the Standard prior to being placed in resolution. In this instance, such a designated institution may not realise the value of the costly efforts it directed towards compliance </w:t>
            </w:r>
            <w:r w:rsidRPr="00BC05AF">
              <w:rPr>
                <w:rFonts w:ascii="Arial" w:hAnsi="Arial" w:cs="Arial"/>
                <w:bCs/>
              </w:rPr>
              <w:t xml:space="preserve">with the Standard. </w:t>
            </w:r>
            <w:r w:rsidRPr="00BC05AF">
              <w:rPr>
                <w:rFonts w:ascii="Arial" w:hAnsi="Arial" w:cs="Arial"/>
                <w:b/>
              </w:rPr>
              <w:t>Recommend</w:t>
            </w:r>
            <w:r w:rsidRPr="00BC05AF">
              <w:rPr>
                <w:rFonts w:ascii="Arial" w:hAnsi="Arial" w:cs="Arial"/>
                <w:bCs/>
              </w:rPr>
              <w:t xml:space="preserve"> that the PA consider the exemption provision against this backdrop.</w:t>
            </w:r>
            <w:r w:rsidRPr="00213FAA">
              <w:rPr>
                <w:rFonts w:ascii="Arial" w:hAnsi="Arial" w:cs="Arial"/>
                <w:bCs/>
              </w:rPr>
              <w:t xml:space="preserve"> </w:t>
            </w:r>
          </w:p>
        </w:tc>
        <w:tc>
          <w:tcPr>
            <w:tcW w:w="6416" w:type="dxa"/>
            <w:shd w:val="clear" w:color="auto" w:fill="auto"/>
          </w:tcPr>
          <w:p w14:paraId="44A51E69" w14:textId="4D29D04D" w:rsidR="007B1CCE" w:rsidRPr="0051060F" w:rsidRDefault="00EB2E0B" w:rsidP="00A459CC">
            <w:pPr>
              <w:spacing w:after="0" w:line="240" w:lineRule="auto"/>
              <w:jc w:val="both"/>
              <w:rPr>
                <w:rFonts w:ascii="Arial" w:eastAsia="Times New Roman" w:hAnsi="Arial" w:cs="Arial"/>
                <w:b/>
                <w:bCs/>
                <w:lang w:val="en-GB"/>
              </w:rPr>
            </w:pPr>
            <w:r w:rsidRPr="0051060F">
              <w:rPr>
                <w:rFonts w:ascii="Arial" w:eastAsia="Times New Roman" w:hAnsi="Arial" w:cs="Arial"/>
                <w:b/>
                <w:bCs/>
                <w:lang w:val="en-GB"/>
              </w:rPr>
              <w:t>Designated in</w:t>
            </w:r>
            <w:r w:rsidR="0050277A" w:rsidRPr="0051060F">
              <w:rPr>
                <w:rFonts w:ascii="Arial" w:eastAsia="Times New Roman" w:hAnsi="Arial" w:cs="Arial"/>
                <w:b/>
                <w:bCs/>
                <w:lang w:val="en-GB"/>
              </w:rPr>
              <w:t>stitutions</w:t>
            </w:r>
            <w:r w:rsidRPr="0051060F">
              <w:rPr>
                <w:rFonts w:ascii="Arial" w:eastAsia="Times New Roman" w:hAnsi="Arial" w:cs="Arial"/>
                <w:b/>
                <w:bCs/>
                <w:lang w:val="en-GB"/>
              </w:rPr>
              <w:t xml:space="preserve"> for resolution purposes:</w:t>
            </w:r>
          </w:p>
          <w:p w14:paraId="617D4438" w14:textId="77777777" w:rsidR="007B1CCE" w:rsidRDefault="007B1CCE" w:rsidP="00A459CC">
            <w:pPr>
              <w:spacing w:after="0" w:line="240" w:lineRule="auto"/>
              <w:jc w:val="both"/>
              <w:rPr>
                <w:rFonts w:ascii="Arial" w:eastAsia="Times New Roman" w:hAnsi="Arial" w:cs="Arial"/>
                <w:lang w:val="en-GB"/>
              </w:rPr>
            </w:pPr>
          </w:p>
          <w:p w14:paraId="5123AC4A" w14:textId="582905F1" w:rsidR="00804AD6" w:rsidRDefault="00883F36" w:rsidP="00A459CC">
            <w:pPr>
              <w:spacing w:after="0" w:line="240" w:lineRule="auto"/>
              <w:jc w:val="both"/>
              <w:rPr>
                <w:rFonts w:ascii="Arial" w:eastAsia="Times New Roman" w:hAnsi="Arial" w:cs="Arial"/>
                <w:lang w:val="en-GB"/>
              </w:rPr>
            </w:pPr>
            <w:r>
              <w:rPr>
                <w:rFonts w:ascii="Arial" w:eastAsia="Times New Roman" w:hAnsi="Arial" w:cs="Arial"/>
                <w:lang w:val="en-GB"/>
              </w:rPr>
              <w:t xml:space="preserve">As per section 29(A)(2) </w:t>
            </w:r>
            <w:r w:rsidR="00653476">
              <w:rPr>
                <w:rFonts w:ascii="Arial" w:eastAsia="Times New Roman" w:hAnsi="Arial" w:cs="Arial"/>
                <w:lang w:val="en-GB"/>
              </w:rPr>
              <w:t xml:space="preserve">of the Act, </w:t>
            </w:r>
            <w:r>
              <w:rPr>
                <w:rFonts w:ascii="Arial" w:eastAsia="Times New Roman" w:hAnsi="Arial" w:cs="Arial"/>
                <w:lang w:val="en-GB"/>
              </w:rPr>
              <w:t>t</w:t>
            </w:r>
            <w:r w:rsidR="000525C4">
              <w:rPr>
                <w:rFonts w:ascii="Arial" w:eastAsia="Times New Roman" w:hAnsi="Arial" w:cs="Arial"/>
                <w:lang w:val="en-GB"/>
              </w:rPr>
              <w:t xml:space="preserve">he </w:t>
            </w:r>
            <w:r w:rsidR="00DA560E">
              <w:rPr>
                <w:rFonts w:ascii="Arial" w:eastAsia="Times New Roman" w:hAnsi="Arial" w:cs="Arial"/>
                <w:lang w:val="en-GB"/>
              </w:rPr>
              <w:t>Authorities</w:t>
            </w:r>
            <w:r w:rsidR="005934B5">
              <w:rPr>
                <w:rFonts w:ascii="Arial" w:eastAsia="Times New Roman" w:hAnsi="Arial" w:cs="Arial"/>
                <w:lang w:val="en-GB"/>
              </w:rPr>
              <w:t xml:space="preserve"> </w:t>
            </w:r>
            <w:r w:rsidR="000525C4">
              <w:rPr>
                <w:rFonts w:ascii="Arial" w:eastAsia="Times New Roman" w:hAnsi="Arial" w:cs="Arial"/>
                <w:lang w:val="en-GB"/>
              </w:rPr>
              <w:t xml:space="preserve">will follow a process for the Governor to </w:t>
            </w:r>
            <w:r w:rsidR="008307BD">
              <w:rPr>
                <w:rFonts w:ascii="Arial" w:eastAsia="Times New Roman" w:hAnsi="Arial" w:cs="Arial"/>
                <w:lang w:val="en-GB"/>
              </w:rPr>
              <w:t>indicate</w:t>
            </w:r>
            <w:r w:rsidR="00FC5C5C">
              <w:rPr>
                <w:rFonts w:ascii="Arial" w:eastAsia="Times New Roman" w:hAnsi="Arial" w:cs="Arial"/>
                <w:lang w:val="en-GB"/>
              </w:rPr>
              <w:t xml:space="preserve"> which entities </w:t>
            </w:r>
            <w:r w:rsidR="00653476">
              <w:rPr>
                <w:rFonts w:ascii="Arial" w:eastAsia="Times New Roman" w:hAnsi="Arial" w:cs="Arial"/>
                <w:lang w:val="en-GB"/>
              </w:rPr>
              <w:t xml:space="preserve">within a </w:t>
            </w:r>
            <w:r w:rsidR="005D3FF3">
              <w:rPr>
                <w:rFonts w:ascii="Arial" w:eastAsia="Times New Roman" w:hAnsi="Arial" w:cs="Arial"/>
                <w:lang w:val="en-GB"/>
              </w:rPr>
              <w:t xml:space="preserve">conglomerate </w:t>
            </w:r>
            <w:r w:rsidR="00021894">
              <w:rPr>
                <w:rFonts w:ascii="Arial" w:eastAsia="Times New Roman" w:hAnsi="Arial" w:cs="Arial"/>
                <w:lang w:val="en-GB"/>
              </w:rPr>
              <w:t xml:space="preserve">will be exempt for resolution purposes. </w:t>
            </w:r>
          </w:p>
          <w:p w14:paraId="60BAB865" w14:textId="77777777" w:rsidR="005D3FF3" w:rsidRDefault="005D3FF3" w:rsidP="00A459CC">
            <w:pPr>
              <w:spacing w:after="0" w:line="240" w:lineRule="auto"/>
              <w:jc w:val="both"/>
              <w:rPr>
                <w:rFonts w:ascii="Arial" w:eastAsia="Times New Roman" w:hAnsi="Arial" w:cs="Arial"/>
                <w:lang w:val="en-GB"/>
              </w:rPr>
            </w:pPr>
          </w:p>
          <w:p w14:paraId="24583471" w14:textId="1B77E362" w:rsidR="00EB2E0B" w:rsidRPr="0051060F" w:rsidRDefault="004F3FF1" w:rsidP="00EB2E0B">
            <w:pPr>
              <w:spacing w:after="0" w:line="240" w:lineRule="auto"/>
              <w:jc w:val="both"/>
              <w:rPr>
                <w:rFonts w:ascii="Arial" w:eastAsia="Times New Roman" w:hAnsi="Arial" w:cs="Arial"/>
                <w:b/>
                <w:bCs/>
                <w:lang w:val="en-GB"/>
              </w:rPr>
            </w:pPr>
            <w:r w:rsidRPr="0051060F">
              <w:rPr>
                <w:rFonts w:ascii="Arial" w:eastAsia="Times New Roman" w:hAnsi="Arial" w:cs="Arial"/>
                <w:b/>
                <w:bCs/>
                <w:lang w:val="en-GB"/>
              </w:rPr>
              <w:t>Recommendation to amend the exemption provision</w:t>
            </w:r>
            <w:r w:rsidR="00EB2E0B" w:rsidRPr="0051060F">
              <w:rPr>
                <w:rFonts w:ascii="Arial" w:eastAsia="Times New Roman" w:hAnsi="Arial" w:cs="Arial"/>
                <w:b/>
                <w:bCs/>
                <w:lang w:val="en-GB"/>
              </w:rPr>
              <w:t>:</w:t>
            </w:r>
          </w:p>
          <w:p w14:paraId="615AE4A4" w14:textId="27701D3D" w:rsidR="00C5199F" w:rsidRDefault="00C5199F" w:rsidP="00EB2E0B">
            <w:pPr>
              <w:spacing w:after="0" w:line="240" w:lineRule="auto"/>
              <w:jc w:val="both"/>
              <w:rPr>
                <w:rFonts w:ascii="Arial" w:eastAsia="Times New Roman" w:hAnsi="Arial" w:cs="Arial"/>
                <w:lang w:val="en-GB"/>
              </w:rPr>
            </w:pPr>
            <w:r w:rsidRPr="00C5199F">
              <w:rPr>
                <w:rFonts w:ascii="Arial" w:eastAsia="Times New Roman" w:hAnsi="Arial" w:cs="Arial"/>
                <w:lang w:val="en-GB"/>
              </w:rPr>
              <w:t>Designated institutions will</w:t>
            </w:r>
            <w:r>
              <w:rPr>
                <w:rFonts w:ascii="Arial" w:eastAsia="Times New Roman" w:hAnsi="Arial" w:cs="Arial"/>
                <w:lang w:val="en-GB"/>
              </w:rPr>
              <w:t xml:space="preserve"> be informed, by the </w:t>
            </w:r>
            <w:r w:rsidR="0092756E">
              <w:rPr>
                <w:rFonts w:ascii="Arial" w:eastAsia="Times New Roman" w:hAnsi="Arial" w:cs="Arial"/>
                <w:lang w:val="en-GB"/>
              </w:rPr>
              <w:t>Reserve Bank</w:t>
            </w:r>
            <w:r>
              <w:rPr>
                <w:rFonts w:ascii="Arial" w:eastAsia="Times New Roman" w:hAnsi="Arial" w:cs="Arial"/>
                <w:lang w:val="en-GB"/>
              </w:rPr>
              <w:t xml:space="preserve">, </w:t>
            </w:r>
            <w:r w:rsidRPr="00C5199F">
              <w:rPr>
                <w:rFonts w:ascii="Arial" w:eastAsia="Times New Roman" w:hAnsi="Arial" w:cs="Arial"/>
                <w:lang w:val="en-GB"/>
              </w:rPr>
              <w:t>during the resolution planning phase</w:t>
            </w:r>
            <w:r w:rsidR="00763117">
              <w:rPr>
                <w:rFonts w:ascii="Arial" w:eastAsia="Times New Roman" w:hAnsi="Arial" w:cs="Arial"/>
                <w:lang w:val="en-GB"/>
              </w:rPr>
              <w:t>,</w:t>
            </w:r>
            <w:r w:rsidRPr="00C5199F">
              <w:rPr>
                <w:rFonts w:ascii="Arial" w:eastAsia="Times New Roman" w:hAnsi="Arial" w:cs="Arial"/>
                <w:lang w:val="en-GB"/>
              </w:rPr>
              <w:t xml:space="preserve"> whether the </w:t>
            </w:r>
            <w:r w:rsidR="00763117">
              <w:rPr>
                <w:rFonts w:ascii="Arial" w:eastAsia="Times New Roman" w:hAnsi="Arial" w:cs="Arial"/>
                <w:lang w:val="en-GB"/>
              </w:rPr>
              <w:t>Reserve Bank</w:t>
            </w:r>
            <w:r w:rsidRPr="00C5199F">
              <w:rPr>
                <w:rFonts w:ascii="Arial" w:eastAsia="Times New Roman" w:hAnsi="Arial" w:cs="Arial"/>
                <w:lang w:val="en-GB"/>
              </w:rPr>
              <w:t xml:space="preserve"> </w:t>
            </w:r>
            <w:r w:rsidR="003F70EB">
              <w:rPr>
                <w:rFonts w:ascii="Arial" w:eastAsia="Times New Roman" w:hAnsi="Arial" w:cs="Arial"/>
                <w:lang w:val="en-GB"/>
              </w:rPr>
              <w:t>envisages</w:t>
            </w:r>
            <w:r w:rsidR="00042CEB">
              <w:rPr>
                <w:rFonts w:ascii="Arial" w:eastAsia="Times New Roman" w:hAnsi="Arial" w:cs="Arial"/>
                <w:lang w:val="en-GB"/>
              </w:rPr>
              <w:t xml:space="preserve"> any</w:t>
            </w:r>
            <w:r w:rsidRPr="00C5199F">
              <w:rPr>
                <w:rFonts w:ascii="Arial" w:eastAsia="Times New Roman" w:hAnsi="Arial" w:cs="Arial"/>
                <w:lang w:val="en-GB"/>
              </w:rPr>
              <w:t xml:space="preserve"> transfer tool</w:t>
            </w:r>
            <w:r w:rsidR="00763117">
              <w:rPr>
                <w:rFonts w:ascii="Arial" w:eastAsia="Times New Roman" w:hAnsi="Arial" w:cs="Arial"/>
                <w:lang w:val="en-GB"/>
              </w:rPr>
              <w:t>(s)</w:t>
            </w:r>
            <w:r w:rsidRPr="00C5199F">
              <w:rPr>
                <w:rFonts w:ascii="Arial" w:eastAsia="Times New Roman" w:hAnsi="Arial" w:cs="Arial"/>
                <w:lang w:val="en-GB"/>
              </w:rPr>
              <w:t xml:space="preserve"> </w:t>
            </w:r>
            <w:r w:rsidR="003F70EB">
              <w:rPr>
                <w:rFonts w:ascii="Arial" w:eastAsia="Times New Roman" w:hAnsi="Arial" w:cs="Arial"/>
                <w:lang w:val="en-GB"/>
              </w:rPr>
              <w:t>to be</w:t>
            </w:r>
            <w:r w:rsidRPr="00C5199F">
              <w:rPr>
                <w:rFonts w:ascii="Arial" w:eastAsia="Times New Roman" w:hAnsi="Arial" w:cs="Arial"/>
                <w:lang w:val="en-GB"/>
              </w:rPr>
              <w:t xml:space="preserve"> part of the</w:t>
            </w:r>
            <w:r w:rsidR="00763117">
              <w:rPr>
                <w:rFonts w:ascii="Arial" w:eastAsia="Times New Roman" w:hAnsi="Arial" w:cs="Arial"/>
                <w:lang w:val="en-GB"/>
              </w:rPr>
              <w:t>ir resolution</w:t>
            </w:r>
            <w:r w:rsidRPr="00C5199F">
              <w:rPr>
                <w:rFonts w:ascii="Arial" w:eastAsia="Times New Roman" w:hAnsi="Arial" w:cs="Arial"/>
                <w:lang w:val="en-GB"/>
              </w:rPr>
              <w:t xml:space="preserve"> strategy</w:t>
            </w:r>
            <w:r w:rsidR="00763117">
              <w:rPr>
                <w:rFonts w:ascii="Arial" w:eastAsia="Times New Roman" w:hAnsi="Arial" w:cs="Arial"/>
                <w:lang w:val="en-GB"/>
              </w:rPr>
              <w:t>.</w:t>
            </w:r>
            <w:r w:rsidR="00F241E4">
              <w:rPr>
                <w:rFonts w:ascii="Arial" w:eastAsia="Times New Roman" w:hAnsi="Arial" w:cs="Arial"/>
                <w:lang w:val="en-GB"/>
              </w:rPr>
              <w:t xml:space="preserve"> </w:t>
            </w:r>
          </w:p>
          <w:p w14:paraId="629D84A5" w14:textId="4FF68BD3" w:rsidR="00BC05AF" w:rsidRDefault="00BC05AF" w:rsidP="00EB2E0B">
            <w:pPr>
              <w:spacing w:after="0" w:line="240" w:lineRule="auto"/>
              <w:jc w:val="both"/>
              <w:rPr>
                <w:rFonts w:ascii="Arial" w:eastAsia="Times New Roman" w:hAnsi="Arial" w:cs="Arial"/>
                <w:lang w:val="en-GB"/>
              </w:rPr>
            </w:pPr>
          </w:p>
          <w:p w14:paraId="405F0E58" w14:textId="77777777" w:rsidR="00BC05AF" w:rsidRPr="00C5199F" w:rsidRDefault="00BC05AF" w:rsidP="00EB2E0B">
            <w:pPr>
              <w:spacing w:after="0" w:line="240" w:lineRule="auto"/>
              <w:jc w:val="both"/>
              <w:rPr>
                <w:rFonts w:ascii="Arial" w:eastAsia="Times New Roman" w:hAnsi="Arial" w:cs="Arial"/>
                <w:lang w:val="en-GB"/>
              </w:rPr>
            </w:pPr>
          </w:p>
          <w:p w14:paraId="4FF19342" w14:textId="46C3EFEB" w:rsidR="00EB2E0B" w:rsidRPr="00213FAA" w:rsidRDefault="00EB2E0B" w:rsidP="00A459CC">
            <w:pPr>
              <w:spacing w:after="0" w:line="240" w:lineRule="auto"/>
              <w:jc w:val="both"/>
              <w:rPr>
                <w:rFonts w:ascii="Arial" w:eastAsia="Times New Roman" w:hAnsi="Arial" w:cs="Arial"/>
                <w:lang w:val="en-GB"/>
              </w:rPr>
            </w:pPr>
          </w:p>
        </w:tc>
      </w:tr>
      <w:tr w:rsidR="00A459CC" w:rsidRPr="009D05E3" w14:paraId="59447B6A" w14:textId="77777777" w:rsidTr="00515BD8">
        <w:trPr>
          <w:trHeight w:val="884"/>
        </w:trPr>
        <w:tc>
          <w:tcPr>
            <w:tcW w:w="1886" w:type="dxa"/>
            <w:vAlign w:val="bottom"/>
          </w:tcPr>
          <w:p w14:paraId="50F96C5D" w14:textId="037FAC7D" w:rsidR="00A459CC" w:rsidRPr="00213FAA" w:rsidRDefault="000B4CA3" w:rsidP="00224537">
            <w:pPr>
              <w:spacing w:after="960"/>
              <w:jc w:val="center"/>
              <w:rPr>
                <w:rFonts w:ascii="Arial" w:hAnsi="Arial" w:cs="Arial"/>
                <w:lang w:val="en-GB"/>
              </w:rPr>
            </w:pPr>
            <w:r w:rsidRPr="00213FAA">
              <w:rPr>
                <w:rFonts w:ascii="Arial" w:hAnsi="Arial" w:cs="Arial"/>
                <w:lang w:val="en-GB"/>
              </w:rPr>
              <w:t>44</w:t>
            </w:r>
          </w:p>
        </w:tc>
        <w:tc>
          <w:tcPr>
            <w:tcW w:w="2078" w:type="dxa"/>
            <w:shd w:val="clear" w:color="auto" w:fill="auto"/>
          </w:tcPr>
          <w:p w14:paraId="0BBF0AB9" w14:textId="039A79E1" w:rsidR="00A459CC" w:rsidRPr="00213FAA" w:rsidRDefault="00A459CC" w:rsidP="00A459CC">
            <w:pPr>
              <w:spacing w:after="0" w:line="240" w:lineRule="auto"/>
              <w:jc w:val="both"/>
              <w:rPr>
                <w:rFonts w:ascii="Arial" w:hAnsi="Arial" w:cs="Arial"/>
                <w:lang w:val="en-GB"/>
              </w:rPr>
            </w:pPr>
            <w:r w:rsidRPr="00213FAA">
              <w:rPr>
                <w:rFonts w:ascii="Arial" w:hAnsi="Arial" w:cs="Arial"/>
                <w:lang w:val="en-GB"/>
              </w:rPr>
              <w:t>BASA</w:t>
            </w:r>
          </w:p>
        </w:tc>
        <w:tc>
          <w:tcPr>
            <w:tcW w:w="2691" w:type="dxa"/>
          </w:tcPr>
          <w:p w14:paraId="3B0B1401" w14:textId="2F1F4E72" w:rsidR="00A459CC" w:rsidRPr="00213FAA" w:rsidRDefault="00A459CC" w:rsidP="00A459CC">
            <w:pPr>
              <w:spacing w:after="0" w:line="240" w:lineRule="auto"/>
              <w:jc w:val="both"/>
              <w:rPr>
                <w:rFonts w:ascii="Arial" w:hAnsi="Arial" w:cs="Arial"/>
                <w:lang w:val="en-GB"/>
              </w:rPr>
            </w:pPr>
            <w:r w:rsidRPr="00213FAA">
              <w:rPr>
                <w:rFonts w:ascii="Arial" w:hAnsi="Arial" w:cs="Arial"/>
                <w:lang w:val="en-GB"/>
              </w:rPr>
              <w:t>5.2</w:t>
            </w:r>
          </w:p>
        </w:tc>
        <w:tc>
          <w:tcPr>
            <w:tcW w:w="7903" w:type="dxa"/>
          </w:tcPr>
          <w:p w14:paraId="330B3811" w14:textId="6BA1E2E9" w:rsidR="00A459CC" w:rsidRPr="00213FAA" w:rsidRDefault="00A459CC" w:rsidP="00A459CC">
            <w:pPr>
              <w:spacing w:after="0" w:line="240" w:lineRule="auto"/>
              <w:jc w:val="both"/>
              <w:rPr>
                <w:rFonts w:ascii="Arial" w:hAnsi="Arial" w:cs="Arial"/>
                <w:lang w:val="en-GB"/>
              </w:rPr>
            </w:pPr>
            <w:r w:rsidRPr="00213FAA">
              <w:rPr>
                <w:rFonts w:ascii="Arial" w:hAnsi="Arial" w:cs="Arial"/>
                <w:b/>
              </w:rPr>
              <w:t>Recommend</w:t>
            </w:r>
            <w:r w:rsidRPr="00213FAA">
              <w:rPr>
                <w:rFonts w:ascii="Arial" w:hAnsi="Arial" w:cs="Arial"/>
                <w:bCs/>
              </w:rPr>
              <w:t xml:space="preserve"> deleting this, as it is already covered in Section 2.1.</w:t>
            </w:r>
          </w:p>
        </w:tc>
        <w:tc>
          <w:tcPr>
            <w:tcW w:w="6416" w:type="dxa"/>
            <w:shd w:val="clear" w:color="auto" w:fill="auto"/>
          </w:tcPr>
          <w:p w14:paraId="5072A583" w14:textId="2CB4C803" w:rsidR="00A459CC" w:rsidRPr="00213FAA" w:rsidRDefault="0058610E" w:rsidP="00A459CC">
            <w:pPr>
              <w:spacing w:after="0" w:line="240" w:lineRule="auto"/>
              <w:jc w:val="both"/>
              <w:rPr>
                <w:rFonts w:ascii="Arial" w:hAnsi="Arial" w:cs="Arial"/>
                <w:lang w:val="en-GB"/>
              </w:rPr>
            </w:pPr>
            <w:r>
              <w:rPr>
                <w:rFonts w:ascii="Arial" w:hAnsi="Arial" w:cs="Arial"/>
                <w:lang w:val="en-GB"/>
              </w:rPr>
              <w:t xml:space="preserve">Disagree with the </w:t>
            </w:r>
            <w:r w:rsidR="0072027E">
              <w:rPr>
                <w:rFonts w:ascii="Arial" w:hAnsi="Arial" w:cs="Arial"/>
                <w:lang w:val="en-GB"/>
              </w:rPr>
              <w:t>recommendation</w:t>
            </w:r>
            <w:r>
              <w:rPr>
                <w:rFonts w:ascii="Arial" w:hAnsi="Arial" w:cs="Arial"/>
                <w:lang w:val="en-GB"/>
              </w:rPr>
              <w:t xml:space="preserve">. Section 2.1 </w:t>
            </w:r>
            <w:r w:rsidR="004B5383">
              <w:rPr>
                <w:rFonts w:ascii="Arial" w:hAnsi="Arial" w:cs="Arial"/>
                <w:lang w:val="en-GB"/>
              </w:rPr>
              <w:t xml:space="preserve">talks to the making of the Standard whilst section 5.2 </w:t>
            </w:r>
            <w:r w:rsidR="00FD30C5">
              <w:rPr>
                <w:rFonts w:ascii="Arial" w:hAnsi="Arial" w:cs="Arial"/>
                <w:lang w:val="en-GB"/>
              </w:rPr>
              <w:t>requires that</w:t>
            </w:r>
            <w:r w:rsidR="004B5383">
              <w:rPr>
                <w:rFonts w:ascii="Arial" w:hAnsi="Arial" w:cs="Arial"/>
                <w:lang w:val="en-GB"/>
              </w:rPr>
              <w:t xml:space="preserve"> the reading of the Standard in conjunction with other applicable laws.</w:t>
            </w:r>
          </w:p>
        </w:tc>
      </w:tr>
      <w:tr w:rsidR="006B77FA" w:rsidRPr="009D05E3" w14:paraId="70A85DAF" w14:textId="7BDC0757" w:rsidTr="00136239">
        <w:tc>
          <w:tcPr>
            <w:tcW w:w="20974" w:type="dxa"/>
            <w:gridSpan w:val="5"/>
            <w:shd w:val="clear" w:color="auto" w:fill="D9D9D9" w:themeFill="background1" w:themeFillShade="D9"/>
          </w:tcPr>
          <w:p w14:paraId="43129B07" w14:textId="665F0243" w:rsidR="006B77FA" w:rsidRPr="00532AB8" w:rsidRDefault="00D04055" w:rsidP="00515BD8">
            <w:pPr>
              <w:spacing w:after="0"/>
              <w:jc w:val="center"/>
              <w:rPr>
                <w:rFonts w:ascii="Arial" w:hAnsi="Arial" w:cs="Arial"/>
                <w:b/>
                <w:sz w:val="32"/>
                <w:szCs w:val="32"/>
                <w:lang w:val="en-GB"/>
              </w:rPr>
            </w:pPr>
            <w:r>
              <w:rPr>
                <w:rFonts w:ascii="Arial" w:hAnsi="Arial" w:cs="Arial"/>
                <w:b/>
                <w:sz w:val="32"/>
                <w:szCs w:val="32"/>
                <w:lang w:val="en-GB"/>
              </w:rPr>
              <w:t>6.</w:t>
            </w:r>
            <w:r w:rsidR="006B77FA" w:rsidRPr="00532AB8">
              <w:rPr>
                <w:rFonts w:ascii="Arial" w:hAnsi="Arial" w:cs="Arial"/>
                <w:b/>
                <w:sz w:val="32"/>
                <w:szCs w:val="32"/>
                <w:lang w:val="en-GB"/>
              </w:rPr>
              <w:t>Statutory transfer powers</w:t>
            </w:r>
          </w:p>
        </w:tc>
      </w:tr>
      <w:tr w:rsidR="00A459CC" w:rsidRPr="009D05E3" w14:paraId="28C35BF5" w14:textId="77777777" w:rsidTr="00FC2C40">
        <w:tc>
          <w:tcPr>
            <w:tcW w:w="1886" w:type="dxa"/>
          </w:tcPr>
          <w:p w14:paraId="635D87C1" w14:textId="42A97C2C" w:rsidR="00A459CC" w:rsidRPr="00213FAA" w:rsidRDefault="0046211D" w:rsidP="0046211D">
            <w:pPr>
              <w:spacing w:after="0"/>
              <w:jc w:val="center"/>
              <w:rPr>
                <w:rFonts w:ascii="Arial" w:hAnsi="Arial" w:cs="Arial"/>
                <w:lang w:val="en-GB"/>
              </w:rPr>
            </w:pPr>
            <w:r w:rsidRPr="00213FAA">
              <w:rPr>
                <w:rFonts w:ascii="Arial" w:hAnsi="Arial" w:cs="Arial"/>
                <w:lang w:val="en-GB"/>
              </w:rPr>
              <w:lastRenderedPageBreak/>
              <w:t>45</w:t>
            </w:r>
          </w:p>
        </w:tc>
        <w:tc>
          <w:tcPr>
            <w:tcW w:w="2078" w:type="dxa"/>
          </w:tcPr>
          <w:p w14:paraId="162DDB25" w14:textId="1E27A324" w:rsidR="00A459CC" w:rsidRPr="00213FAA" w:rsidRDefault="00A459CC" w:rsidP="0046211D">
            <w:pPr>
              <w:spacing w:after="0" w:line="240" w:lineRule="auto"/>
              <w:rPr>
                <w:rFonts w:ascii="Arial" w:hAnsi="Arial" w:cs="Arial"/>
                <w:lang w:val="en-GB"/>
              </w:rPr>
            </w:pPr>
            <w:r w:rsidRPr="00213FAA">
              <w:rPr>
                <w:rFonts w:ascii="Arial" w:hAnsi="Arial" w:cs="Arial"/>
              </w:rPr>
              <w:t>CLS</w:t>
            </w:r>
          </w:p>
        </w:tc>
        <w:tc>
          <w:tcPr>
            <w:tcW w:w="2691" w:type="dxa"/>
          </w:tcPr>
          <w:p w14:paraId="783CE0B9" w14:textId="716A57BF" w:rsidR="00A459CC" w:rsidRPr="00213FAA" w:rsidRDefault="00A459CC" w:rsidP="0046211D">
            <w:pPr>
              <w:spacing w:after="0" w:line="240" w:lineRule="auto"/>
              <w:rPr>
                <w:rFonts w:ascii="Arial" w:hAnsi="Arial" w:cs="Arial"/>
                <w:lang w:val="en-GB"/>
              </w:rPr>
            </w:pPr>
            <w:r w:rsidRPr="00213FAA">
              <w:rPr>
                <w:rFonts w:ascii="Arial" w:hAnsi="Arial" w:cs="Arial"/>
                <w:lang w:val="en-GB"/>
              </w:rPr>
              <w:t>-</w:t>
            </w:r>
          </w:p>
        </w:tc>
        <w:tc>
          <w:tcPr>
            <w:tcW w:w="7903" w:type="dxa"/>
          </w:tcPr>
          <w:p w14:paraId="52860195" w14:textId="0F586F3A" w:rsidR="00A459CC" w:rsidRPr="00213FAA" w:rsidRDefault="00A459CC" w:rsidP="0046211D">
            <w:pPr>
              <w:spacing w:after="0" w:line="240" w:lineRule="auto"/>
              <w:rPr>
                <w:rFonts w:ascii="Arial" w:eastAsia="Times New Roman" w:hAnsi="Arial" w:cs="Arial"/>
                <w:lang w:val="en-GB"/>
              </w:rPr>
            </w:pPr>
            <w:r w:rsidRPr="00213FAA">
              <w:rPr>
                <w:rFonts w:ascii="Arial" w:eastAsia="Times New Roman" w:hAnsi="Arial" w:cs="Arial"/>
                <w:lang w:val="en-GB"/>
              </w:rPr>
              <w:t>No comment</w:t>
            </w:r>
          </w:p>
        </w:tc>
        <w:tc>
          <w:tcPr>
            <w:tcW w:w="6416" w:type="dxa"/>
          </w:tcPr>
          <w:p w14:paraId="79F78C04" w14:textId="1E05190F" w:rsidR="00A459CC" w:rsidRPr="00213FAA" w:rsidRDefault="00A459CC" w:rsidP="0046211D">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2C45CC9B" w14:textId="77777777" w:rsidTr="00FC2C40">
        <w:tc>
          <w:tcPr>
            <w:tcW w:w="1886" w:type="dxa"/>
          </w:tcPr>
          <w:p w14:paraId="6D981F27" w14:textId="4D1CF64B" w:rsidR="00A459CC" w:rsidRPr="00213FAA" w:rsidRDefault="0046211D" w:rsidP="0046211D">
            <w:pPr>
              <w:spacing w:after="0"/>
              <w:jc w:val="center"/>
              <w:rPr>
                <w:rFonts w:ascii="Arial" w:hAnsi="Arial" w:cs="Arial"/>
                <w:lang w:val="en-GB"/>
              </w:rPr>
            </w:pPr>
            <w:r w:rsidRPr="00213FAA">
              <w:rPr>
                <w:rFonts w:ascii="Arial" w:hAnsi="Arial" w:cs="Arial"/>
                <w:lang w:val="en-GB"/>
              </w:rPr>
              <w:t>46</w:t>
            </w:r>
          </w:p>
        </w:tc>
        <w:tc>
          <w:tcPr>
            <w:tcW w:w="2078" w:type="dxa"/>
          </w:tcPr>
          <w:p w14:paraId="7FF00197" w14:textId="71AA50C0" w:rsidR="00A459CC" w:rsidRPr="00213FAA" w:rsidRDefault="00A459CC" w:rsidP="0046211D">
            <w:pPr>
              <w:spacing w:after="0" w:line="240" w:lineRule="auto"/>
              <w:rPr>
                <w:rFonts w:ascii="Arial" w:hAnsi="Arial" w:cs="Arial"/>
                <w:lang w:val="en-GB"/>
              </w:rPr>
            </w:pPr>
            <w:r w:rsidRPr="00213FAA">
              <w:rPr>
                <w:rFonts w:ascii="Arial" w:hAnsi="Arial" w:cs="Arial"/>
              </w:rPr>
              <w:t>FirstRand</w:t>
            </w:r>
          </w:p>
        </w:tc>
        <w:tc>
          <w:tcPr>
            <w:tcW w:w="2691" w:type="dxa"/>
            <w:shd w:val="clear" w:color="auto" w:fill="auto"/>
          </w:tcPr>
          <w:p w14:paraId="357A09BF" w14:textId="404048F5" w:rsidR="00A459CC" w:rsidRPr="00213FAA" w:rsidRDefault="00A459CC" w:rsidP="0046211D">
            <w:pPr>
              <w:spacing w:after="0" w:line="240" w:lineRule="auto"/>
              <w:rPr>
                <w:rFonts w:ascii="Arial" w:hAnsi="Arial" w:cs="Arial"/>
              </w:rPr>
            </w:pPr>
            <w:r w:rsidRPr="00213FAA">
              <w:rPr>
                <w:rFonts w:ascii="Arial" w:hAnsi="Arial" w:cs="Arial"/>
              </w:rPr>
              <w:t>-</w:t>
            </w:r>
          </w:p>
        </w:tc>
        <w:tc>
          <w:tcPr>
            <w:tcW w:w="7903" w:type="dxa"/>
            <w:shd w:val="clear" w:color="auto" w:fill="auto"/>
          </w:tcPr>
          <w:p w14:paraId="25D4C306" w14:textId="7E081052" w:rsidR="00A459CC" w:rsidRPr="00213FAA" w:rsidRDefault="00A459CC" w:rsidP="0046211D">
            <w:pPr>
              <w:spacing w:after="0" w:line="240" w:lineRule="auto"/>
              <w:rPr>
                <w:rFonts w:ascii="Arial" w:hAnsi="Arial" w:cs="Arial"/>
              </w:rPr>
            </w:pPr>
            <w:r w:rsidRPr="00213FAA">
              <w:rPr>
                <w:rFonts w:ascii="Arial" w:hAnsi="Arial" w:cs="Arial"/>
              </w:rPr>
              <w:t>No comment</w:t>
            </w:r>
          </w:p>
        </w:tc>
        <w:tc>
          <w:tcPr>
            <w:tcW w:w="6416" w:type="dxa"/>
          </w:tcPr>
          <w:p w14:paraId="1805A98A" w14:textId="56CFF565" w:rsidR="00A459CC" w:rsidRPr="00213FAA" w:rsidRDefault="00A459CC" w:rsidP="0046211D">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60784B74" w14:textId="77777777" w:rsidTr="00FC2C40">
        <w:tc>
          <w:tcPr>
            <w:tcW w:w="1886" w:type="dxa"/>
          </w:tcPr>
          <w:p w14:paraId="2590F213" w14:textId="7DE61B0A" w:rsidR="00A459CC" w:rsidRPr="00213FAA" w:rsidRDefault="0046211D" w:rsidP="0046211D">
            <w:pPr>
              <w:spacing w:after="0"/>
              <w:jc w:val="center"/>
              <w:rPr>
                <w:rFonts w:ascii="Arial" w:hAnsi="Arial" w:cs="Arial"/>
                <w:lang w:val="en-GB"/>
              </w:rPr>
            </w:pPr>
            <w:r w:rsidRPr="00213FAA">
              <w:rPr>
                <w:rFonts w:ascii="Arial" w:hAnsi="Arial" w:cs="Arial"/>
                <w:lang w:val="en-GB"/>
              </w:rPr>
              <w:t>47</w:t>
            </w:r>
          </w:p>
        </w:tc>
        <w:tc>
          <w:tcPr>
            <w:tcW w:w="2078" w:type="dxa"/>
          </w:tcPr>
          <w:p w14:paraId="44A381FE" w14:textId="5CEB03CF" w:rsidR="00A459CC" w:rsidRPr="00213FAA" w:rsidRDefault="00164473" w:rsidP="0046211D">
            <w:pPr>
              <w:spacing w:after="0" w:line="240" w:lineRule="auto"/>
              <w:rPr>
                <w:rFonts w:ascii="Arial" w:hAnsi="Arial" w:cs="Arial"/>
                <w:lang w:val="en-GB"/>
              </w:rPr>
            </w:pPr>
            <w:r w:rsidRPr="00213FAA">
              <w:rPr>
                <w:rFonts w:ascii="Arial" w:hAnsi="Arial" w:cs="Arial"/>
              </w:rPr>
              <w:t>Grindrod</w:t>
            </w:r>
          </w:p>
        </w:tc>
        <w:tc>
          <w:tcPr>
            <w:tcW w:w="2691" w:type="dxa"/>
          </w:tcPr>
          <w:p w14:paraId="4FBEC4DD" w14:textId="6899935D" w:rsidR="00A459CC" w:rsidRPr="00213FAA" w:rsidRDefault="00A459CC" w:rsidP="0046211D">
            <w:pPr>
              <w:spacing w:after="0" w:line="240" w:lineRule="auto"/>
              <w:rPr>
                <w:rFonts w:ascii="Arial" w:hAnsi="Arial" w:cs="Arial"/>
              </w:rPr>
            </w:pPr>
            <w:r w:rsidRPr="00213FAA">
              <w:rPr>
                <w:rFonts w:ascii="Arial" w:hAnsi="Arial" w:cs="Arial"/>
                <w:lang w:val="en-GB"/>
              </w:rPr>
              <w:t>-</w:t>
            </w:r>
          </w:p>
        </w:tc>
        <w:tc>
          <w:tcPr>
            <w:tcW w:w="7903" w:type="dxa"/>
          </w:tcPr>
          <w:p w14:paraId="7F01E2EC" w14:textId="66B73425" w:rsidR="00A459CC" w:rsidRPr="00213FAA" w:rsidRDefault="00A459CC" w:rsidP="0046211D">
            <w:pPr>
              <w:spacing w:after="0" w:line="240" w:lineRule="auto"/>
              <w:rPr>
                <w:rFonts w:ascii="Arial" w:hAnsi="Arial" w:cs="Arial"/>
              </w:rPr>
            </w:pPr>
            <w:r w:rsidRPr="00213FAA">
              <w:rPr>
                <w:rFonts w:ascii="Arial" w:hAnsi="Arial" w:cs="Arial"/>
                <w:lang w:val="en-GB"/>
              </w:rPr>
              <w:t>No comment</w:t>
            </w:r>
          </w:p>
        </w:tc>
        <w:tc>
          <w:tcPr>
            <w:tcW w:w="6416" w:type="dxa"/>
          </w:tcPr>
          <w:p w14:paraId="066B6116" w14:textId="1D5855B9" w:rsidR="00A459CC" w:rsidRPr="00213FAA" w:rsidRDefault="00A459CC" w:rsidP="0046211D">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51B66623" w14:textId="77777777" w:rsidTr="00FC2C40">
        <w:tc>
          <w:tcPr>
            <w:tcW w:w="1886" w:type="dxa"/>
          </w:tcPr>
          <w:p w14:paraId="7C42FA8F" w14:textId="76CE3A85" w:rsidR="00A459CC" w:rsidRPr="00213FAA" w:rsidRDefault="0046211D" w:rsidP="0046211D">
            <w:pPr>
              <w:spacing w:after="0"/>
              <w:jc w:val="center"/>
              <w:rPr>
                <w:rFonts w:ascii="Arial" w:hAnsi="Arial" w:cs="Arial"/>
                <w:lang w:val="en-GB"/>
              </w:rPr>
            </w:pPr>
            <w:r w:rsidRPr="00213FAA">
              <w:rPr>
                <w:rFonts w:ascii="Arial" w:hAnsi="Arial" w:cs="Arial"/>
                <w:lang w:val="en-GB"/>
              </w:rPr>
              <w:t>48</w:t>
            </w:r>
          </w:p>
        </w:tc>
        <w:tc>
          <w:tcPr>
            <w:tcW w:w="2078" w:type="dxa"/>
          </w:tcPr>
          <w:p w14:paraId="30934BC4" w14:textId="56A177C4" w:rsidR="00A459CC" w:rsidRPr="00213FAA" w:rsidRDefault="00A459CC" w:rsidP="0046211D">
            <w:pPr>
              <w:spacing w:after="0" w:line="240" w:lineRule="auto"/>
              <w:rPr>
                <w:rFonts w:ascii="Arial" w:hAnsi="Arial" w:cs="Arial"/>
                <w:lang w:val="en-GB"/>
              </w:rPr>
            </w:pPr>
            <w:r w:rsidRPr="00213FAA">
              <w:rPr>
                <w:rFonts w:ascii="Arial" w:hAnsi="Arial" w:cs="Arial"/>
              </w:rPr>
              <w:t>Habib Bank</w:t>
            </w:r>
          </w:p>
        </w:tc>
        <w:tc>
          <w:tcPr>
            <w:tcW w:w="2691" w:type="dxa"/>
          </w:tcPr>
          <w:p w14:paraId="1DCE75F2" w14:textId="0C98844C" w:rsidR="00A459CC" w:rsidRPr="00213FAA" w:rsidRDefault="00A459CC" w:rsidP="0046211D">
            <w:pPr>
              <w:spacing w:after="0" w:line="240" w:lineRule="auto"/>
              <w:rPr>
                <w:rFonts w:ascii="Arial" w:hAnsi="Arial" w:cs="Arial"/>
                <w:lang w:val="en-GB"/>
              </w:rPr>
            </w:pPr>
            <w:r w:rsidRPr="00213FAA">
              <w:rPr>
                <w:rFonts w:ascii="Arial" w:hAnsi="Arial" w:cs="Arial"/>
              </w:rPr>
              <w:t>-</w:t>
            </w:r>
          </w:p>
        </w:tc>
        <w:tc>
          <w:tcPr>
            <w:tcW w:w="7903" w:type="dxa"/>
          </w:tcPr>
          <w:p w14:paraId="148F934B" w14:textId="52181FEA" w:rsidR="00A459CC" w:rsidRPr="00213FAA" w:rsidRDefault="00A459CC" w:rsidP="0046211D">
            <w:pPr>
              <w:spacing w:after="0" w:line="240" w:lineRule="auto"/>
              <w:rPr>
                <w:rFonts w:ascii="Arial" w:eastAsia="Times New Roman" w:hAnsi="Arial" w:cs="Arial"/>
                <w:lang w:val="en-GB"/>
              </w:rPr>
            </w:pPr>
            <w:r w:rsidRPr="00213FAA">
              <w:rPr>
                <w:rFonts w:ascii="Arial" w:hAnsi="Arial" w:cs="Arial"/>
                <w:lang w:val="en-GB"/>
              </w:rPr>
              <w:t>No comment</w:t>
            </w:r>
          </w:p>
        </w:tc>
        <w:tc>
          <w:tcPr>
            <w:tcW w:w="6416" w:type="dxa"/>
          </w:tcPr>
          <w:p w14:paraId="63125792" w14:textId="028D38B7" w:rsidR="00A459CC" w:rsidRPr="00213FAA" w:rsidRDefault="00A459CC" w:rsidP="0046211D">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1527EC00" w14:textId="77777777" w:rsidTr="00515BD8">
        <w:tc>
          <w:tcPr>
            <w:tcW w:w="1886" w:type="dxa"/>
          </w:tcPr>
          <w:p w14:paraId="05F6C785" w14:textId="2856BDFF" w:rsidR="00A459CC" w:rsidRPr="00213FAA" w:rsidRDefault="0046211D" w:rsidP="0046211D">
            <w:pPr>
              <w:spacing w:after="0"/>
              <w:jc w:val="center"/>
              <w:rPr>
                <w:rFonts w:ascii="Arial" w:hAnsi="Arial" w:cs="Arial"/>
                <w:lang w:val="en-GB"/>
              </w:rPr>
            </w:pPr>
            <w:r w:rsidRPr="00213FAA">
              <w:rPr>
                <w:rFonts w:ascii="Arial" w:hAnsi="Arial" w:cs="Arial"/>
                <w:lang w:val="en-GB"/>
              </w:rPr>
              <w:t>49</w:t>
            </w:r>
          </w:p>
        </w:tc>
        <w:tc>
          <w:tcPr>
            <w:tcW w:w="2078" w:type="dxa"/>
          </w:tcPr>
          <w:p w14:paraId="6750F550" w14:textId="0B7C7C5D" w:rsidR="00A459CC" w:rsidRPr="00213FAA" w:rsidRDefault="00A459CC" w:rsidP="0046211D">
            <w:pPr>
              <w:spacing w:after="0" w:line="240" w:lineRule="auto"/>
              <w:rPr>
                <w:rFonts w:ascii="Arial" w:hAnsi="Arial" w:cs="Arial"/>
                <w:lang w:val="en-GB"/>
              </w:rPr>
            </w:pPr>
            <w:r w:rsidRPr="00213FAA">
              <w:rPr>
                <w:rFonts w:ascii="Arial" w:hAnsi="Arial" w:cs="Arial"/>
              </w:rPr>
              <w:t>JSE</w:t>
            </w:r>
          </w:p>
        </w:tc>
        <w:tc>
          <w:tcPr>
            <w:tcW w:w="2691" w:type="dxa"/>
          </w:tcPr>
          <w:p w14:paraId="27DFF2B5" w14:textId="7AAC8C3B" w:rsidR="00A459CC" w:rsidRPr="00213FAA" w:rsidRDefault="00A459CC" w:rsidP="0046211D">
            <w:pPr>
              <w:spacing w:after="0" w:line="240" w:lineRule="auto"/>
              <w:rPr>
                <w:rFonts w:ascii="Arial" w:hAnsi="Arial" w:cs="Arial"/>
              </w:rPr>
            </w:pPr>
            <w:r w:rsidRPr="00213FAA">
              <w:rPr>
                <w:rFonts w:ascii="Arial" w:hAnsi="Arial" w:cs="Arial"/>
              </w:rPr>
              <w:t>6.1 and 6.2</w:t>
            </w:r>
          </w:p>
        </w:tc>
        <w:tc>
          <w:tcPr>
            <w:tcW w:w="7903" w:type="dxa"/>
          </w:tcPr>
          <w:p w14:paraId="5D149A1F" w14:textId="2F912A22" w:rsidR="00A459CC" w:rsidRPr="00213FAA" w:rsidRDefault="00A459CC" w:rsidP="0046211D">
            <w:pPr>
              <w:spacing w:after="0" w:line="240" w:lineRule="auto"/>
              <w:rPr>
                <w:rFonts w:ascii="Arial" w:hAnsi="Arial" w:cs="Arial"/>
              </w:rPr>
            </w:pPr>
            <w:r w:rsidRPr="00213FAA">
              <w:rPr>
                <w:rFonts w:ascii="Arial" w:hAnsi="Arial" w:cs="Arial"/>
                <w:lang w:val="en-GB"/>
              </w:rPr>
              <w:t>Incorrect reference to the FSLA Act.  Should be “the Act”</w:t>
            </w:r>
          </w:p>
        </w:tc>
        <w:tc>
          <w:tcPr>
            <w:tcW w:w="6416" w:type="dxa"/>
            <w:shd w:val="clear" w:color="auto" w:fill="auto"/>
          </w:tcPr>
          <w:p w14:paraId="606C8ABA" w14:textId="696EBF0A" w:rsidR="00A459CC" w:rsidRDefault="00D00682" w:rsidP="0046211D">
            <w:pPr>
              <w:spacing w:after="0" w:line="240" w:lineRule="auto"/>
              <w:jc w:val="both"/>
              <w:rPr>
                <w:rFonts w:ascii="Arial" w:eastAsia="Times New Roman" w:hAnsi="Arial" w:cs="Arial"/>
                <w:lang w:val="en-GB"/>
              </w:rPr>
            </w:pPr>
            <w:r>
              <w:rPr>
                <w:rFonts w:ascii="Arial" w:eastAsia="Times New Roman" w:hAnsi="Arial" w:cs="Arial"/>
                <w:lang w:val="en-GB"/>
              </w:rPr>
              <w:t xml:space="preserve">Section 6.1 and 6.2 have been </w:t>
            </w:r>
            <w:r w:rsidR="008411ED">
              <w:rPr>
                <w:rFonts w:ascii="Arial" w:eastAsia="Times New Roman" w:hAnsi="Arial" w:cs="Arial"/>
                <w:lang w:val="en-GB"/>
              </w:rPr>
              <w:t>amended</w:t>
            </w:r>
            <w:r>
              <w:rPr>
                <w:rFonts w:ascii="Arial" w:eastAsia="Times New Roman" w:hAnsi="Arial" w:cs="Arial"/>
                <w:lang w:val="en-GB"/>
              </w:rPr>
              <w:t xml:space="preserve"> </w:t>
            </w:r>
            <w:r w:rsidR="008411ED">
              <w:rPr>
                <w:rFonts w:ascii="Arial" w:eastAsia="Times New Roman" w:hAnsi="Arial" w:cs="Arial"/>
                <w:lang w:val="en-GB"/>
              </w:rPr>
              <w:t xml:space="preserve">to </w:t>
            </w:r>
            <w:r w:rsidR="007157CC">
              <w:rPr>
                <w:rFonts w:ascii="Arial" w:eastAsia="Times New Roman" w:hAnsi="Arial" w:cs="Arial"/>
                <w:lang w:val="en-GB"/>
              </w:rPr>
              <w:t>reference section</w:t>
            </w:r>
            <w:r w:rsidR="008411ED">
              <w:rPr>
                <w:rFonts w:ascii="Arial" w:eastAsia="Times New Roman" w:hAnsi="Arial" w:cs="Arial"/>
                <w:lang w:val="en-GB"/>
              </w:rPr>
              <w:t xml:space="preserve"> 1</w:t>
            </w:r>
            <w:r w:rsidR="000438E5">
              <w:rPr>
                <w:rFonts w:ascii="Arial" w:eastAsia="Times New Roman" w:hAnsi="Arial" w:cs="Arial"/>
                <w:lang w:val="en-GB"/>
              </w:rPr>
              <w:t>66</w:t>
            </w:r>
            <w:proofErr w:type="gramStart"/>
            <w:r w:rsidR="00164473">
              <w:rPr>
                <w:rFonts w:ascii="Arial" w:eastAsia="Times New Roman" w:hAnsi="Arial" w:cs="Arial"/>
                <w:lang w:val="en-GB"/>
              </w:rPr>
              <w:t>S(</w:t>
            </w:r>
            <w:proofErr w:type="gramEnd"/>
            <w:r w:rsidR="000438E5">
              <w:rPr>
                <w:rFonts w:ascii="Arial" w:eastAsia="Times New Roman" w:hAnsi="Arial" w:cs="Arial"/>
                <w:lang w:val="en-GB"/>
              </w:rPr>
              <w:t xml:space="preserve">1) and section 166S(2)(a) </w:t>
            </w:r>
            <w:r w:rsidR="00F628C5">
              <w:rPr>
                <w:rFonts w:ascii="Arial" w:eastAsia="Times New Roman" w:hAnsi="Arial" w:cs="Arial"/>
                <w:lang w:val="en-GB"/>
              </w:rPr>
              <w:t>to” the</w:t>
            </w:r>
            <w:r w:rsidR="008411ED">
              <w:rPr>
                <w:rFonts w:ascii="Arial" w:eastAsia="Times New Roman" w:hAnsi="Arial" w:cs="Arial"/>
                <w:lang w:val="en-GB"/>
              </w:rPr>
              <w:t xml:space="preserve"> Act”</w:t>
            </w:r>
            <w:r w:rsidR="007157CC">
              <w:rPr>
                <w:rFonts w:ascii="Arial" w:eastAsia="Times New Roman" w:hAnsi="Arial" w:cs="Arial"/>
                <w:lang w:val="en-GB"/>
              </w:rPr>
              <w:t>.</w:t>
            </w:r>
          </w:p>
          <w:p w14:paraId="495D2381" w14:textId="58A3C1B7" w:rsidR="00F3606B" w:rsidRPr="00213FAA" w:rsidRDefault="00F3606B" w:rsidP="0046211D">
            <w:pPr>
              <w:spacing w:after="0" w:line="240" w:lineRule="auto"/>
              <w:jc w:val="both"/>
              <w:rPr>
                <w:rFonts w:ascii="Arial" w:eastAsia="Times New Roman" w:hAnsi="Arial" w:cs="Arial"/>
                <w:lang w:val="en-GB"/>
              </w:rPr>
            </w:pPr>
          </w:p>
        </w:tc>
      </w:tr>
      <w:tr w:rsidR="00A459CC" w:rsidRPr="009D05E3" w14:paraId="275ED891" w14:textId="77777777" w:rsidTr="00515BD8">
        <w:tc>
          <w:tcPr>
            <w:tcW w:w="1886" w:type="dxa"/>
          </w:tcPr>
          <w:p w14:paraId="6FA1B478" w14:textId="46879355" w:rsidR="00A459CC" w:rsidRPr="00213FAA" w:rsidRDefault="0046211D" w:rsidP="0046211D">
            <w:pPr>
              <w:spacing w:after="0"/>
              <w:jc w:val="center"/>
              <w:rPr>
                <w:rFonts w:ascii="Arial" w:hAnsi="Arial" w:cs="Arial"/>
                <w:lang w:val="en-GB"/>
              </w:rPr>
            </w:pPr>
            <w:r w:rsidRPr="00213FAA">
              <w:rPr>
                <w:rFonts w:ascii="Arial" w:hAnsi="Arial" w:cs="Arial"/>
                <w:lang w:val="en-GB"/>
              </w:rPr>
              <w:t>50</w:t>
            </w:r>
          </w:p>
        </w:tc>
        <w:tc>
          <w:tcPr>
            <w:tcW w:w="2078" w:type="dxa"/>
          </w:tcPr>
          <w:p w14:paraId="2995657E" w14:textId="41BBAD50" w:rsidR="00A459CC" w:rsidRPr="00213FAA" w:rsidRDefault="00A459CC" w:rsidP="0046211D">
            <w:pPr>
              <w:spacing w:after="0" w:line="240" w:lineRule="auto"/>
              <w:rPr>
                <w:rFonts w:ascii="Arial" w:hAnsi="Arial" w:cs="Arial"/>
                <w:lang w:val="en-GB"/>
              </w:rPr>
            </w:pPr>
            <w:r w:rsidRPr="00213FAA">
              <w:rPr>
                <w:rFonts w:ascii="Arial" w:hAnsi="Arial" w:cs="Arial"/>
              </w:rPr>
              <w:t>MMH</w:t>
            </w:r>
          </w:p>
        </w:tc>
        <w:tc>
          <w:tcPr>
            <w:tcW w:w="2691" w:type="dxa"/>
          </w:tcPr>
          <w:p w14:paraId="63635D07" w14:textId="70A6B976" w:rsidR="00A459CC" w:rsidRPr="00213FAA" w:rsidRDefault="00A459CC" w:rsidP="0046211D">
            <w:pPr>
              <w:spacing w:after="0" w:line="240" w:lineRule="auto"/>
              <w:rPr>
                <w:rFonts w:ascii="Arial" w:hAnsi="Arial" w:cs="Arial"/>
                <w:lang w:val="en-GB"/>
              </w:rPr>
            </w:pPr>
            <w:r w:rsidRPr="00213FAA">
              <w:rPr>
                <w:rFonts w:ascii="Arial" w:hAnsi="Arial" w:cs="Arial"/>
              </w:rPr>
              <w:t>-</w:t>
            </w:r>
          </w:p>
        </w:tc>
        <w:tc>
          <w:tcPr>
            <w:tcW w:w="7903" w:type="dxa"/>
          </w:tcPr>
          <w:p w14:paraId="75F4AF9B" w14:textId="4725D456" w:rsidR="00A459CC" w:rsidRPr="00213FAA" w:rsidRDefault="00A459CC" w:rsidP="0046211D">
            <w:pPr>
              <w:spacing w:after="0" w:line="240" w:lineRule="auto"/>
              <w:rPr>
                <w:rFonts w:ascii="Arial" w:eastAsia="Times New Roman" w:hAnsi="Arial" w:cs="Arial"/>
                <w:lang w:val="en-GB"/>
              </w:rPr>
            </w:pPr>
            <w:r w:rsidRPr="00213FAA">
              <w:rPr>
                <w:rFonts w:ascii="Arial" w:hAnsi="Arial" w:cs="Arial"/>
                <w:lang w:val="en-GB"/>
              </w:rPr>
              <w:t>No comment</w:t>
            </w:r>
          </w:p>
        </w:tc>
        <w:tc>
          <w:tcPr>
            <w:tcW w:w="6416" w:type="dxa"/>
            <w:shd w:val="clear" w:color="auto" w:fill="auto"/>
          </w:tcPr>
          <w:p w14:paraId="4701B3E3" w14:textId="114FB373" w:rsidR="00A459CC" w:rsidRPr="00213FAA" w:rsidRDefault="00A459CC" w:rsidP="0046211D">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0FAECC59" w14:textId="77777777" w:rsidTr="00515BD8">
        <w:tc>
          <w:tcPr>
            <w:tcW w:w="1886" w:type="dxa"/>
          </w:tcPr>
          <w:p w14:paraId="4A030E3D" w14:textId="65B12201" w:rsidR="00A459CC" w:rsidRPr="00213FAA" w:rsidRDefault="0046211D" w:rsidP="0046211D">
            <w:pPr>
              <w:spacing w:after="0"/>
              <w:jc w:val="center"/>
              <w:rPr>
                <w:rFonts w:ascii="Arial" w:hAnsi="Arial" w:cs="Arial"/>
                <w:lang w:val="en-GB"/>
              </w:rPr>
            </w:pPr>
            <w:r w:rsidRPr="00213FAA">
              <w:rPr>
                <w:rFonts w:ascii="Arial" w:hAnsi="Arial" w:cs="Arial"/>
                <w:lang w:val="en-GB"/>
              </w:rPr>
              <w:t>51</w:t>
            </w:r>
          </w:p>
        </w:tc>
        <w:tc>
          <w:tcPr>
            <w:tcW w:w="2078" w:type="dxa"/>
          </w:tcPr>
          <w:p w14:paraId="7246242E" w14:textId="57F4B25F" w:rsidR="00A459CC" w:rsidRPr="00213FAA" w:rsidRDefault="00A459CC" w:rsidP="0046211D">
            <w:pPr>
              <w:spacing w:after="0" w:line="240" w:lineRule="auto"/>
              <w:rPr>
                <w:rFonts w:ascii="Arial" w:hAnsi="Arial" w:cs="Arial"/>
                <w:lang w:val="en-GB"/>
              </w:rPr>
            </w:pPr>
            <w:r w:rsidRPr="00213FAA">
              <w:rPr>
                <w:rFonts w:ascii="Arial" w:hAnsi="Arial" w:cs="Arial"/>
              </w:rPr>
              <w:t>Nedbank</w:t>
            </w:r>
          </w:p>
        </w:tc>
        <w:tc>
          <w:tcPr>
            <w:tcW w:w="2691" w:type="dxa"/>
          </w:tcPr>
          <w:p w14:paraId="07E6F9BE" w14:textId="770BDCA3" w:rsidR="00A459CC" w:rsidRPr="00213FAA" w:rsidRDefault="00A459CC" w:rsidP="0046211D">
            <w:pPr>
              <w:spacing w:after="0" w:line="240" w:lineRule="auto"/>
              <w:rPr>
                <w:rFonts w:ascii="Arial" w:hAnsi="Arial" w:cs="Arial"/>
              </w:rPr>
            </w:pPr>
            <w:r w:rsidRPr="00213FAA">
              <w:rPr>
                <w:rFonts w:ascii="Arial" w:hAnsi="Arial" w:cs="Arial"/>
              </w:rPr>
              <w:t>-</w:t>
            </w:r>
          </w:p>
        </w:tc>
        <w:tc>
          <w:tcPr>
            <w:tcW w:w="7903" w:type="dxa"/>
          </w:tcPr>
          <w:p w14:paraId="15950B24" w14:textId="1D1C40EB" w:rsidR="00A459CC" w:rsidRPr="00213FAA" w:rsidRDefault="00A459CC" w:rsidP="0046211D">
            <w:pPr>
              <w:spacing w:after="0" w:line="240" w:lineRule="auto"/>
              <w:rPr>
                <w:rFonts w:ascii="Arial" w:hAnsi="Arial" w:cs="Arial"/>
              </w:rPr>
            </w:pPr>
            <w:r w:rsidRPr="00213FAA">
              <w:rPr>
                <w:rFonts w:ascii="Arial" w:hAnsi="Arial" w:cs="Arial"/>
                <w:lang w:val="en-GB"/>
              </w:rPr>
              <w:t>No comment</w:t>
            </w:r>
          </w:p>
        </w:tc>
        <w:tc>
          <w:tcPr>
            <w:tcW w:w="6416" w:type="dxa"/>
            <w:shd w:val="clear" w:color="auto" w:fill="auto"/>
          </w:tcPr>
          <w:p w14:paraId="53CD8D33" w14:textId="5FF339D5" w:rsidR="00A459CC" w:rsidRPr="00213FAA" w:rsidRDefault="00A459CC" w:rsidP="0046211D">
            <w:pPr>
              <w:spacing w:after="0" w:line="240" w:lineRule="auto"/>
              <w:jc w:val="both"/>
              <w:rPr>
                <w:rFonts w:ascii="Arial" w:eastAsia="Times New Roman" w:hAnsi="Arial" w:cs="Arial"/>
                <w:lang w:val="en-GB"/>
              </w:rPr>
            </w:pPr>
            <w:r w:rsidRPr="00213FAA">
              <w:rPr>
                <w:rFonts w:ascii="Arial" w:eastAsia="Times New Roman" w:hAnsi="Arial" w:cs="Arial"/>
                <w:lang w:val="en-GB"/>
              </w:rPr>
              <w:t>Noted</w:t>
            </w:r>
          </w:p>
        </w:tc>
      </w:tr>
      <w:tr w:rsidR="00A459CC" w:rsidRPr="009D05E3" w14:paraId="28EC2509" w14:textId="77777777" w:rsidTr="00515BD8">
        <w:tc>
          <w:tcPr>
            <w:tcW w:w="1886" w:type="dxa"/>
          </w:tcPr>
          <w:p w14:paraId="06A60422" w14:textId="5B70D23D" w:rsidR="00A459CC" w:rsidRPr="00213FAA" w:rsidRDefault="0046211D" w:rsidP="0046211D">
            <w:pPr>
              <w:spacing w:after="0"/>
              <w:jc w:val="center"/>
              <w:rPr>
                <w:rFonts w:ascii="Arial" w:hAnsi="Arial" w:cs="Arial"/>
                <w:lang w:val="en-GB"/>
              </w:rPr>
            </w:pPr>
            <w:r w:rsidRPr="00213FAA">
              <w:rPr>
                <w:rFonts w:ascii="Arial" w:hAnsi="Arial" w:cs="Arial"/>
                <w:lang w:val="en-GB"/>
              </w:rPr>
              <w:t>52</w:t>
            </w:r>
          </w:p>
        </w:tc>
        <w:tc>
          <w:tcPr>
            <w:tcW w:w="2078" w:type="dxa"/>
          </w:tcPr>
          <w:p w14:paraId="29F93B1C" w14:textId="616BDE52" w:rsidR="00A459CC" w:rsidRPr="00213FAA" w:rsidRDefault="00A459CC" w:rsidP="0046211D">
            <w:pPr>
              <w:spacing w:after="0" w:line="240" w:lineRule="auto"/>
              <w:rPr>
                <w:rFonts w:ascii="Arial" w:hAnsi="Arial" w:cs="Arial"/>
                <w:lang w:val="en-GB"/>
              </w:rPr>
            </w:pPr>
            <w:r w:rsidRPr="00213FAA">
              <w:rPr>
                <w:rFonts w:ascii="Arial" w:hAnsi="Arial" w:cs="Arial"/>
              </w:rPr>
              <w:t>BASA</w:t>
            </w:r>
          </w:p>
        </w:tc>
        <w:tc>
          <w:tcPr>
            <w:tcW w:w="2691" w:type="dxa"/>
          </w:tcPr>
          <w:p w14:paraId="595D61D5" w14:textId="3E549C90" w:rsidR="00A459CC" w:rsidRPr="00213FAA" w:rsidRDefault="00A459CC" w:rsidP="0046211D">
            <w:pPr>
              <w:spacing w:after="0" w:line="240" w:lineRule="auto"/>
              <w:rPr>
                <w:rFonts w:ascii="Arial" w:hAnsi="Arial" w:cs="Arial"/>
              </w:rPr>
            </w:pPr>
            <w:r w:rsidRPr="00213FAA">
              <w:rPr>
                <w:rFonts w:ascii="Arial" w:hAnsi="Arial" w:cs="Arial"/>
                <w:bCs/>
              </w:rPr>
              <w:t>6.1. Statutory Transfer Powers</w:t>
            </w:r>
          </w:p>
        </w:tc>
        <w:tc>
          <w:tcPr>
            <w:tcW w:w="7903" w:type="dxa"/>
          </w:tcPr>
          <w:p w14:paraId="09C2D47A" w14:textId="77777777" w:rsidR="00A459CC" w:rsidRPr="00213FAA" w:rsidRDefault="00A459CC" w:rsidP="0046211D">
            <w:pPr>
              <w:spacing w:beforeLines="40" w:before="96" w:afterLines="40" w:after="96" w:line="240" w:lineRule="auto"/>
              <w:rPr>
                <w:rFonts w:ascii="Arial" w:hAnsi="Arial" w:cs="Arial"/>
                <w:bCs/>
              </w:rPr>
            </w:pPr>
            <w:r w:rsidRPr="00213FAA">
              <w:rPr>
                <w:rFonts w:ascii="Arial" w:hAnsi="Arial" w:cs="Arial"/>
                <w:bCs/>
              </w:rPr>
              <w:t xml:space="preserve">“Section 166S (1) of the </w:t>
            </w:r>
            <w:r w:rsidRPr="00213FAA">
              <w:rPr>
                <w:rFonts w:ascii="Arial" w:hAnsi="Arial" w:cs="Arial"/>
                <w:b/>
              </w:rPr>
              <w:t>FSLA Act</w:t>
            </w:r>
            <w:r w:rsidRPr="00213FAA">
              <w:rPr>
                <w:rFonts w:ascii="Arial" w:hAnsi="Arial" w:cs="Arial"/>
                <w:bCs/>
              </w:rPr>
              <w:t xml:space="preserve"> confers powers to the SARB to enter into a particular transaction it deems necessary for the orderly resolution of a designated institution in resolution, without consent or approval from any specified person and despite law or agreement that would otherwise prevent the SARB from doing so.”</w:t>
            </w:r>
          </w:p>
          <w:p w14:paraId="1DDD5DF8" w14:textId="58D82DA5" w:rsidR="00A459CC" w:rsidRPr="00213FAA" w:rsidRDefault="00A459CC" w:rsidP="0046211D">
            <w:pPr>
              <w:spacing w:after="0" w:line="240" w:lineRule="auto"/>
              <w:rPr>
                <w:rFonts w:ascii="Arial" w:hAnsi="Arial" w:cs="Arial"/>
              </w:rPr>
            </w:pPr>
            <w:r w:rsidRPr="00213FAA">
              <w:rPr>
                <w:rFonts w:ascii="Arial" w:hAnsi="Arial" w:cs="Arial"/>
                <w:bCs/>
              </w:rPr>
              <w:t>This should refer to the FSR Act Section 166S (1), not the FSLAA.</w:t>
            </w:r>
            <w:r w:rsidR="00A95677">
              <w:rPr>
                <w:rFonts w:ascii="Arial" w:hAnsi="Arial" w:cs="Arial"/>
                <w:bCs/>
              </w:rPr>
              <w:t xml:space="preserve"> </w:t>
            </w:r>
            <w:r w:rsidRPr="00213FAA">
              <w:rPr>
                <w:rFonts w:ascii="Arial" w:hAnsi="Arial" w:cs="Arial"/>
                <w:b/>
              </w:rPr>
              <w:t>Update</w:t>
            </w:r>
          </w:p>
        </w:tc>
        <w:tc>
          <w:tcPr>
            <w:tcW w:w="6416" w:type="dxa"/>
            <w:shd w:val="clear" w:color="auto" w:fill="auto"/>
          </w:tcPr>
          <w:p w14:paraId="3E15BD3E" w14:textId="1D4B7694" w:rsidR="00A459CC" w:rsidRDefault="00F3606B" w:rsidP="0046211D">
            <w:pPr>
              <w:spacing w:after="0" w:line="240" w:lineRule="auto"/>
              <w:jc w:val="both"/>
              <w:rPr>
                <w:rFonts w:ascii="Arial" w:eastAsia="Times New Roman" w:hAnsi="Arial" w:cs="Arial"/>
                <w:lang w:val="en-GB"/>
              </w:rPr>
            </w:pPr>
            <w:r>
              <w:rPr>
                <w:rFonts w:ascii="Arial" w:eastAsia="Times New Roman" w:hAnsi="Arial" w:cs="Arial"/>
                <w:lang w:val="en-GB"/>
              </w:rPr>
              <w:t>Section 6.1 has been amended to reference section 166</w:t>
            </w:r>
            <w:proofErr w:type="gramStart"/>
            <w:r w:rsidR="00164473">
              <w:rPr>
                <w:rFonts w:ascii="Arial" w:eastAsia="Times New Roman" w:hAnsi="Arial" w:cs="Arial"/>
                <w:lang w:val="en-GB"/>
              </w:rPr>
              <w:t>S(</w:t>
            </w:r>
            <w:proofErr w:type="gramEnd"/>
            <w:r>
              <w:rPr>
                <w:rFonts w:ascii="Arial" w:eastAsia="Times New Roman" w:hAnsi="Arial" w:cs="Arial"/>
                <w:lang w:val="en-GB"/>
              </w:rPr>
              <w:t xml:space="preserve">1) and section 166S(2)(a) </w:t>
            </w:r>
            <w:r w:rsidR="00F628C5">
              <w:rPr>
                <w:rFonts w:ascii="Arial" w:eastAsia="Times New Roman" w:hAnsi="Arial" w:cs="Arial"/>
                <w:lang w:val="en-GB"/>
              </w:rPr>
              <w:t>to” the</w:t>
            </w:r>
            <w:r>
              <w:rPr>
                <w:rFonts w:ascii="Arial" w:eastAsia="Times New Roman" w:hAnsi="Arial" w:cs="Arial"/>
                <w:lang w:val="en-GB"/>
              </w:rPr>
              <w:t xml:space="preserve"> Act”.</w:t>
            </w:r>
          </w:p>
          <w:p w14:paraId="506AB69A" w14:textId="7310D139" w:rsidR="00F3606B" w:rsidRPr="00213FAA" w:rsidRDefault="00F3606B" w:rsidP="0046211D">
            <w:pPr>
              <w:spacing w:after="0" w:line="240" w:lineRule="auto"/>
              <w:jc w:val="both"/>
              <w:rPr>
                <w:rFonts w:ascii="Arial" w:eastAsia="Times New Roman" w:hAnsi="Arial" w:cs="Arial"/>
                <w:highlight w:val="green"/>
                <w:lang w:val="en-GB"/>
              </w:rPr>
            </w:pPr>
          </w:p>
        </w:tc>
      </w:tr>
      <w:tr w:rsidR="00A459CC" w:rsidRPr="009D05E3" w14:paraId="46A37F5B" w14:textId="77777777" w:rsidTr="00515BD8">
        <w:tc>
          <w:tcPr>
            <w:tcW w:w="1886" w:type="dxa"/>
            <w:shd w:val="clear" w:color="auto" w:fill="auto"/>
          </w:tcPr>
          <w:p w14:paraId="36A591CC" w14:textId="7D063B05" w:rsidR="00A459CC" w:rsidRPr="00213FAA" w:rsidRDefault="0046211D" w:rsidP="0046211D">
            <w:pPr>
              <w:spacing w:after="0"/>
              <w:jc w:val="center"/>
              <w:rPr>
                <w:rFonts w:ascii="Arial" w:hAnsi="Arial" w:cs="Arial"/>
                <w:lang w:val="en-GB"/>
              </w:rPr>
            </w:pPr>
            <w:r w:rsidRPr="00213FAA">
              <w:rPr>
                <w:rFonts w:ascii="Arial" w:hAnsi="Arial" w:cs="Arial"/>
                <w:lang w:val="en-GB"/>
              </w:rPr>
              <w:t>53</w:t>
            </w:r>
          </w:p>
        </w:tc>
        <w:tc>
          <w:tcPr>
            <w:tcW w:w="2078" w:type="dxa"/>
          </w:tcPr>
          <w:p w14:paraId="08D710A3" w14:textId="5086882A" w:rsidR="00A459CC" w:rsidRPr="00213FAA" w:rsidRDefault="00A459CC" w:rsidP="0046211D">
            <w:pPr>
              <w:spacing w:after="0" w:line="240" w:lineRule="auto"/>
              <w:rPr>
                <w:rFonts w:ascii="Arial" w:hAnsi="Arial" w:cs="Arial"/>
                <w:lang w:val="en-GB"/>
              </w:rPr>
            </w:pPr>
            <w:r w:rsidRPr="00213FAA">
              <w:rPr>
                <w:rFonts w:ascii="Arial" w:hAnsi="Arial" w:cs="Arial"/>
                <w:lang w:val="en-GB"/>
              </w:rPr>
              <w:t>BASA</w:t>
            </w:r>
          </w:p>
        </w:tc>
        <w:tc>
          <w:tcPr>
            <w:tcW w:w="2691" w:type="dxa"/>
          </w:tcPr>
          <w:p w14:paraId="3DA5E24E" w14:textId="53ABB9F4" w:rsidR="00A459CC" w:rsidRPr="00213FAA" w:rsidRDefault="00A459CC" w:rsidP="0046211D">
            <w:pPr>
              <w:spacing w:after="0" w:line="240" w:lineRule="auto"/>
              <w:rPr>
                <w:rFonts w:ascii="Arial" w:hAnsi="Arial" w:cs="Arial"/>
              </w:rPr>
            </w:pPr>
            <w:r w:rsidRPr="00213FAA">
              <w:rPr>
                <w:rFonts w:ascii="Arial" w:hAnsi="Arial" w:cs="Arial"/>
                <w:bCs/>
              </w:rPr>
              <w:t>6.3 (c)</w:t>
            </w:r>
          </w:p>
        </w:tc>
        <w:tc>
          <w:tcPr>
            <w:tcW w:w="7903" w:type="dxa"/>
          </w:tcPr>
          <w:p w14:paraId="1410C9D8" w14:textId="107F1840" w:rsidR="00A459CC" w:rsidRPr="00213FAA" w:rsidRDefault="00A459CC" w:rsidP="0046211D">
            <w:pPr>
              <w:spacing w:after="0" w:line="240" w:lineRule="auto"/>
              <w:rPr>
                <w:rFonts w:ascii="Arial" w:hAnsi="Arial" w:cs="Arial"/>
              </w:rPr>
            </w:pPr>
            <w:r w:rsidRPr="00213FAA">
              <w:rPr>
                <w:rFonts w:ascii="Arial" w:hAnsi="Arial" w:cs="Arial"/>
                <w:bCs/>
              </w:rPr>
              <w:t xml:space="preserve">The definition of the asset separation tool and what it entails are not clear. Consider </w:t>
            </w:r>
            <w:r w:rsidRPr="00213FAA">
              <w:rPr>
                <w:rFonts w:ascii="Arial" w:hAnsi="Arial" w:cs="Arial"/>
                <w:b/>
              </w:rPr>
              <w:t>rephrasing or providing further clarification</w:t>
            </w:r>
            <w:r w:rsidRPr="00213FAA">
              <w:rPr>
                <w:rFonts w:ascii="Arial" w:hAnsi="Arial" w:cs="Arial"/>
                <w:bCs/>
              </w:rPr>
              <w:t>, as the definition of the asset separation tool and what it entails are not clear.</w:t>
            </w:r>
          </w:p>
        </w:tc>
        <w:tc>
          <w:tcPr>
            <w:tcW w:w="6416" w:type="dxa"/>
            <w:shd w:val="clear" w:color="auto" w:fill="auto"/>
          </w:tcPr>
          <w:p w14:paraId="0D843C9B" w14:textId="0E362C5A" w:rsidR="00094EA9" w:rsidRDefault="002B3838" w:rsidP="0046211D">
            <w:pPr>
              <w:spacing w:after="0" w:line="240" w:lineRule="auto"/>
              <w:jc w:val="both"/>
              <w:rPr>
                <w:rFonts w:ascii="Arial" w:eastAsia="Times New Roman" w:hAnsi="Arial" w:cs="Arial"/>
                <w:color w:val="000000" w:themeColor="text1"/>
                <w:lang w:val="en-GB"/>
              </w:rPr>
            </w:pPr>
            <w:r w:rsidRPr="00886479">
              <w:rPr>
                <w:rFonts w:ascii="Arial" w:eastAsia="Times New Roman" w:hAnsi="Arial" w:cs="Arial"/>
                <w:color w:val="000000" w:themeColor="text1"/>
                <w:lang w:val="en-GB"/>
              </w:rPr>
              <w:t xml:space="preserve">The </w:t>
            </w:r>
            <w:r w:rsidR="00FA19AA" w:rsidRPr="00886479">
              <w:rPr>
                <w:rFonts w:ascii="Arial" w:eastAsia="Times New Roman" w:hAnsi="Arial" w:cs="Arial"/>
                <w:color w:val="000000" w:themeColor="text1"/>
                <w:lang w:val="en-GB"/>
              </w:rPr>
              <w:t xml:space="preserve">correspondent did not provide the </w:t>
            </w:r>
            <w:r w:rsidR="00094EA9">
              <w:rPr>
                <w:rFonts w:ascii="Arial" w:eastAsia="Times New Roman" w:hAnsi="Arial" w:cs="Arial"/>
                <w:color w:val="000000" w:themeColor="text1"/>
                <w:lang w:val="en-GB"/>
              </w:rPr>
              <w:t xml:space="preserve">exact </w:t>
            </w:r>
            <w:r w:rsidR="00FA19AA" w:rsidRPr="00886479">
              <w:rPr>
                <w:rFonts w:ascii="Arial" w:eastAsia="Times New Roman" w:hAnsi="Arial" w:cs="Arial"/>
                <w:color w:val="000000" w:themeColor="text1"/>
                <w:lang w:val="en-GB"/>
              </w:rPr>
              <w:t xml:space="preserve">area in which they consider the definition of the asset separation tool to be unclear. </w:t>
            </w:r>
            <w:r w:rsidR="00094EA9">
              <w:rPr>
                <w:rFonts w:ascii="Arial" w:eastAsia="Times New Roman" w:hAnsi="Arial" w:cs="Arial"/>
                <w:color w:val="000000" w:themeColor="text1"/>
                <w:lang w:val="en-GB"/>
              </w:rPr>
              <w:t>However, the</w:t>
            </w:r>
            <w:r w:rsidR="00CB4446" w:rsidRPr="00886479">
              <w:rPr>
                <w:rFonts w:ascii="Arial" w:eastAsia="Times New Roman" w:hAnsi="Arial" w:cs="Arial"/>
                <w:color w:val="000000" w:themeColor="text1"/>
                <w:lang w:val="en-GB"/>
              </w:rPr>
              <w:t xml:space="preserve"> </w:t>
            </w:r>
            <w:r w:rsidR="00DA560E">
              <w:rPr>
                <w:rFonts w:ascii="Arial" w:eastAsia="Times New Roman" w:hAnsi="Arial" w:cs="Arial"/>
                <w:color w:val="000000" w:themeColor="text1"/>
                <w:lang w:val="en-GB"/>
              </w:rPr>
              <w:t>Authorities</w:t>
            </w:r>
            <w:r w:rsidR="00CB4446" w:rsidRPr="00886479">
              <w:rPr>
                <w:rFonts w:ascii="Arial" w:eastAsia="Times New Roman" w:hAnsi="Arial" w:cs="Arial"/>
                <w:color w:val="000000" w:themeColor="text1"/>
                <w:lang w:val="en-GB"/>
              </w:rPr>
              <w:t xml:space="preserve"> </w:t>
            </w:r>
            <w:r w:rsidR="00094EA9">
              <w:rPr>
                <w:rFonts w:ascii="Arial" w:eastAsia="Times New Roman" w:hAnsi="Arial" w:cs="Arial"/>
                <w:color w:val="000000" w:themeColor="text1"/>
                <w:lang w:val="en-GB"/>
              </w:rPr>
              <w:t>made refinements to the definition post</w:t>
            </w:r>
            <w:r w:rsidR="0013032A">
              <w:rPr>
                <w:rFonts w:ascii="Arial" w:eastAsia="Times New Roman" w:hAnsi="Arial" w:cs="Arial"/>
                <w:color w:val="000000" w:themeColor="text1"/>
                <w:lang w:val="en-GB"/>
              </w:rPr>
              <w:t xml:space="preserve"> their own</w:t>
            </w:r>
            <w:r w:rsidR="00094EA9">
              <w:rPr>
                <w:rFonts w:ascii="Arial" w:eastAsia="Times New Roman" w:hAnsi="Arial" w:cs="Arial"/>
                <w:color w:val="000000" w:themeColor="text1"/>
                <w:lang w:val="en-GB"/>
              </w:rPr>
              <w:t xml:space="preserve"> further review of the Standard.</w:t>
            </w:r>
          </w:p>
          <w:p w14:paraId="631C1020" w14:textId="4F5031B7" w:rsidR="00A459CC" w:rsidRPr="00213FAA" w:rsidRDefault="00A459CC" w:rsidP="0046211D">
            <w:pPr>
              <w:spacing w:after="0" w:line="240" w:lineRule="auto"/>
              <w:jc w:val="both"/>
              <w:rPr>
                <w:rFonts w:ascii="Arial" w:eastAsia="Times New Roman" w:hAnsi="Arial" w:cs="Arial"/>
                <w:lang w:val="en-GB"/>
              </w:rPr>
            </w:pPr>
          </w:p>
        </w:tc>
      </w:tr>
      <w:tr w:rsidR="00A459CC" w:rsidRPr="009D05E3" w14:paraId="0BCFB82F" w14:textId="7BC05569" w:rsidTr="00532AB8">
        <w:tc>
          <w:tcPr>
            <w:tcW w:w="20974" w:type="dxa"/>
            <w:gridSpan w:val="5"/>
            <w:shd w:val="clear" w:color="auto" w:fill="D9D9D9" w:themeFill="background1" w:themeFillShade="D9"/>
          </w:tcPr>
          <w:p w14:paraId="1C999F99" w14:textId="793B4C09" w:rsidR="00A459CC" w:rsidRPr="00532AB8" w:rsidRDefault="00D04055" w:rsidP="00515BD8">
            <w:pPr>
              <w:spacing w:after="0"/>
              <w:jc w:val="center"/>
              <w:rPr>
                <w:rFonts w:ascii="Arial" w:hAnsi="Arial" w:cs="Arial"/>
                <w:b/>
                <w:sz w:val="32"/>
                <w:szCs w:val="32"/>
                <w:lang w:val="en-GB"/>
              </w:rPr>
            </w:pPr>
            <w:r>
              <w:rPr>
                <w:rFonts w:ascii="Arial" w:hAnsi="Arial" w:cs="Arial"/>
                <w:b/>
                <w:sz w:val="32"/>
                <w:szCs w:val="32"/>
                <w:lang w:val="en-GB"/>
              </w:rPr>
              <w:t>7.</w:t>
            </w:r>
            <w:r w:rsidR="00A459CC" w:rsidRPr="00532AB8">
              <w:rPr>
                <w:rFonts w:ascii="Arial" w:hAnsi="Arial" w:cs="Arial"/>
                <w:b/>
                <w:sz w:val="32"/>
                <w:szCs w:val="32"/>
                <w:lang w:val="en-GB"/>
              </w:rPr>
              <w:t>Planning and execution of a resolution transfer tool</w:t>
            </w:r>
          </w:p>
        </w:tc>
      </w:tr>
      <w:tr w:rsidR="00A459CC" w:rsidRPr="009D05E3" w14:paraId="5FA5F660" w14:textId="77777777" w:rsidTr="00FC2C40">
        <w:tc>
          <w:tcPr>
            <w:tcW w:w="1886" w:type="dxa"/>
          </w:tcPr>
          <w:p w14:paraId="18971DD3" w14:textId="19824F2E" w:rsidR="00A459CC" w:rsidRPr="000A1C6C" w:rsidRDefault="0046211D" w:rsidP="0046211D">
            <w:pPr>
              <w:spacing w:after="0"/>
              <w:jc w:val="center"/>
              <w:rPr>
                <w:rFonts w:ascii="Arial" w:hAnsi="Arial" w:cs="Arial"/>
                <w:lang w:val="en-GB"/>
              </w:rPr>
            </w:pPr>
            <w:r w:rsidRPr="000A1C6C">
              <w:rPr>
                <w:rFonts w:ascii="Arial" w:hAnsi="Arial" w:cs="Arial"/>
                <w:lang w:val="en-GB"/>
              </w:rPr>
              <w:t>54</w:t>
            </w:r>
          </w:p>
        </w:tc>
        <w:tc>
          <w:tcPr>
            <w:tcW w:w="2078" w:type="dxa"/>
          </w:tcPr>
          <w:p w14:paraId="785FE398" w14:textId="4402F9AD" w:rsidR="00A459CC" w:rsidRPr="000A1C6C" w:rsidRDefault="00A459CC" w:rsidP="00A459CC">
            <w:pPr>
              <w:spacing w:after="0" w:line="240" w:lineRule="auto"/>
              <w:rPr>
                <w:rFonts w:ascii="Arial" w:hAnsi="Arial" w:cs="Arial"/>
                <w:lang w:val="en-GB"/>
              </w:rPr>
            </w:pPr>
            <w:r w:rsidRPr="000A1C6C">
              <w:rPr>
                <w:rFonts w:ascii="Arial" w:hAnsi="Arial" w:cs="Arial"/>
              </w:rPr>
              <w:t>CLS</w:t>
            </w:r>
          </w:p>
        </w:tc>
        <w:tc>
          <w:tcPr>
            <w:tcW w:w="2691" w:type="dxa"/>
          </w:tcPr>
          <w:p w14:paraId="11AB240D" w14:textId="73162D35" w:rsidR="00A459CC" w:rsidRPr="000A1C6C" w:rsidRDefault="00A459CC" w:rsidP="00A459CC">
            <w:pPr>
              <w:spacing w:after="0" w:line="240" w:lineRule="auto"/>
              <w:rPr>
                <w:rFonts w:ascii="Arial" w:hAnsi="Arial" w:cs="Arial"/>
                <w:lang w:val="en-GB"/>
              </w:rPr>
            </w:pPr>
            <w:r w:rsidRPr="000A1C6C">
              <w:rPr>
                <w:rFonts w:ascii="Arial" w:hAnsi="Arial" w:cs="Arial"/>
                <w:lang w:val="en-GB"/>
              </w:rPr>
              <w:t>-</w:t>
            </w:r>
          </w:p>
        </w:tc>
        <w:tc>
          <w:tcPr>
            <w:tcW w:w="7903" w:type="dxa"/>
          </w:tcPr>
          <w:p w14:paraId="6D92B480" w14:textId="2F16FCAE" w:rsidR="00A459CC" w:rsidRPr="000A1C6C" w:rsidRDefault="00A459CC" w:rsidP="00A459CC">
            <w:pPr>
              <w:spacing w:after="0" w:line="240" w:lineRule="auto"/>
              <w:rPr>
                <w:rFonts w:ascii="Arial" w:eastAsia="Times New Roman" w:hAnsi="Arial" w:cs="Arial"/>
                <w:lang w:val="en-GB"/>
              </w:rPr>
            </w:pPr>
            <w:r w:rsidRPr="000A1C6C">
              <w:rPr>
                <w:rFonts w:ascii="Arial" w:eastAsia="Times New Roman" w:hAnsi="Arial" w:cs="Arial"/>
                <w:lang w:val="en-GB"/>
              </w:rPr>
              <w:t>No comment</w:t>
            </w:r>
          </w:p>
        </w:tc>
        <w:tc>
          <w:tcPr>
            <w:tcW w:w="6416" w:type="dxa"/>
          </w:tcPr>
          <w:p w14:paraId="30239207" w14:textId="41D87181" w:rsidR="00A459CC" w:rsidRPr="000A1C6C" w:rsidRDefault="00A459CC" w:rsidP="00A459CC">
            <w:pPr>
              <w:spacing w:after="0" w:line="240" w:lineRule="auto"/>
              <w:jc w:val="both"/>
              <w:rPr>
                <w:rFonts w:ascii="Arial" w:eastAsia="Times New Roman" w:hAnsi="Arial" w:cs="Arial"/>
                <w:highlight w:val="green"/>
                <w:lang w:val="en-GB"/>
              </w:rPr>
            </w:pPr>
            <w:r w:rsidRPr="000A1C6C">
              <w:rPr>
                <w:rFonts w:ascii="Arial" w:eastAsia="Times New Roman" w:hAnsi="Arial" w:cs="Arial"/>
                <w:lang w:val="en-GB"/>
              </w:rPr>
              <w:t>Noted</w:t>
            </w:r>
          </w:p>
        </w:tc>
      </w:tr>
      <w:tr w:rsidR="00A459CC" w:rsidRPr="009D05E3" w14:paraId="7C4CDCCF" w14:textId="77777777" w:rsidTr="00515BD8">
        <w:tc>
          <w:tcPr>
            <w:tcW w:w="1886" w:type="dxa"/>
          </w:tcPr>
          <w:p w14:paraId="2C8E0244" w14:textId="06C6FDB7" w:rsidR="00A459CC" w:rsidRPr="000A1C6C" w:rsidRDefault="0046211D" w:rsidP="0046211D">
            <w:pPr>
              <w:spacing w:after="0"/>
              <w:jc w:val="center"/>
              <w:rPr>
                <w:rFonts w:ascii="Arial" w:hAnsi="Arial" w:cs="Arial"/>
                <w:lang w:val="en-GB"/>
              </w:rPr>
            </w:pPr>
            <w:r w:rsidRPr="000A1C6C">
              <w:rPr>
                <w:rFonts w:ascii="Arial" w:hAnsi="Arial" w:cs="Arial"/>
                <w:lang w:val="en-GB"/>
              </w:rPr>
              <w:t>55</w:t>
            </w:r>
          </w:p>
        </w:tc>
        <w:tc>
          <w:tcPr>
            <w:tcW w:w="2078" w:type="dxa"/>
          </w:tcPr>
          <w:p w14:paraId="5EF9B029" w14:textId="41313ED5" w:rsidR="00A459CC" w:rsidRPr="000A1C6C" w:rsidRDefault="00A459CC" w:rsidP="00A459CC">
            <w:pPr>
              <w:spacing w:after="0" w:line="240" w:lineRule="auto"/>
              <w:rPr>
                <w:rFonts w:ascii="Arial" w:hAnsi="Arial" w:cs="Arial"/>
                <w:lang w:val="en-GB"/>
              </w:rPr>
            </w:pPr>
            <w:r w:rsidRPr="000A1C6C">
              <w:rPr>
                <w:rFonts w:ascii="Arial" w:hAnsi="Arial" w:cs="Arial"/>
              </w:rPr>
              <w:t>FirstRand</w:t>
            </w:r>
          </w:p>
        </w:tc>
        <w:tc>
          <w:tcPr>
            <w:tcW w:w="2691" w:type="dxa"/>
          </w:tcPr>
          <w:p w14:paraId="2BE7FD59" w14:textId="5D24D2E5" w:rsidR="00A459CC" w:rsidRPr="000A1C6C" w:rsidRDefault="00A459CC" w:rsidP="00A459CC">
            <w:pPr>
              <w:keepNext/>
              <w:spacing w:after="0" w:line="240" w:lineRule="auto"/>
              <w:rPr>
                <w:rFonts w:ascii="Arial" w:hAnsi="Arial" w:cs="Arial"/>
              </w:rPr>
            </w:pPr>
            <w:r w:rsidRPr="000A1C6C">
              <w:rPr>
                <w:rFonts w:ascii="Arial" w:hAnsi="Arial" w:cs="Arial"/>
              </w:rPr>
              <w:t>7.3(c) and (d)</w:t>
            </w:r>
          </w:p>
        </w:tc>
        <w:tc>
          <w:tcPr>
            <w:tcW w:w="7903" w:type="dxa"/>
          </w:tcPr>
          <w:p w14:paraId="7A0CAF2A" w14:textId="0398FA57" w:rsidR="00A459CC" w:rsidRPr="000A1C6C" w:rsidRDefault="00A459CC" w:rsidP="00A459CC">
            <w:pPr>
              <w:spacing w:after="120"/>
              <w:rPr>
                <w:rFonts w:ascii="Arial" w:hAnsi="Arial" w:cs="Arial"/>
              </w:rPr>
            </w:pPr>
            <w:r w:rsidRPr="000A1C6C">
              <w:rPr>
                <w:rFonts w:ascii="Arial" w:hAnsi="Arial" w:cs="Arial"/>
              </w:rPr>
              <w:t xml:space="preserve">The provision of a </w:t>
            </w:r>
            <w:r w:rsidRPr="000F0082">
              <w:rPr>
                <w:rFonts w:ascii="Arial" w:hAnsi="Arial" w:cs="Arial"/>
              </w:rPr>
              <w:t>business plan for the transfer perimeter entity would be problematic since such business plans will depend on the existing capabilities of a potential new acquisition entity and how the assets/liabilities within the transfer perimeter fit with the acquirer. The business plan approach implies that the asset/liabilities within the transfer parameter are continued/sold as a whole and does not consider the continuation</w:t>
            </w:r>
            <w:r w:rsidRPr="000A1C6C">
              <w:rPr>
                <w:rFonts w:ascii="Arial" w:hAnsi="Arial" w:cs="Arial"/>
              </w:rPr>
              <w:t>/sale as separate modules/business lines.</w:t>
            </w:r>
          </w:p>
          <w:p w14:paraId="7DEEFABF" w14:textId="0904CB99" w:rsidR="00A459CC" w:rsidRPr="000A1C6C" w:rsidRDefault="00A459CC" w:rsidP="00A459CC">
            <w:pPr>
              <w:spacing w:after="0" w:line="240" w:lineRule="auto"/>
              <w:rPr>
                <w:rFonts w:ascii="Arial" w:hAnsi="Arial" w:cs="Arial"/>
              </w:rPr>
            </w:pPr>
            <w:r w:rsidRPr="000A1C6C">
              <w:rPr>
                <w:rFonts w:ascii="Arial" w:hAnsi="Arial" w:cs="Arial"/>
                <w:bCs/>
              </w:rPr>
              <w:t>In addition, depending on the resolution strategy adopted by the resolution authority, it could create additional complexities around identification of the transfer perimeter. To also consider where operations span across jurisdictions and currencies.</w:t>
            </w:r>
          </w:p>
        </w:tc>
        <w:tc>
          <w:tcPr>
            <w:tcW w:w="6416" w:type="dxa"/>
            <w:shd w:val="clear" w:color="auto" w:fill="auto"/>
          </w:tcPr>
          <w:p w14:paraId="5A217FCA" w14:textId="461BA742" w:rsidR="005F0D94" w:rsidRPr="0051060F" w:rsidRDefault="005F0D94" w:rsidP="00A459CC">
            <w:pPr>
              <w:spacing w:after="0" w:line="240" w:lineRule="auto"/>
              <w:jc w:val="both"/>
              <w:rPr>
                <w:rFonts w:ascii="Arial" w:eastAsia="Times New Roman" w:hAnsi="Arial" w:cs="Arial"/>
                <w:b/>
                <w:bCs/>
                <w:lang w:val="en-GB"/>
              </w:rPr>
            </w:pPr>
            <w:r w:rsidRPr="0051060F">
              <w:rPr>
                <w:rFonts w:ascii="Arial" w:eastAsia="Times New Roman" w:hAnsi="Arial" w:cs="Arial"/>
                <w:b/>
                <w:bCs/>
                <w:lang w:val="en-GB"/>
              </w:rPr>
              <w:t>Provisions of a business plan:</w:t>
            </w:r>
          </w:p>
          <w:p w14:paraId="69F94519" w14:textId="5BA90E23" w:rsidR="00C0551A" w:rsidRPr="00E81FAE" w:rsidRDefault="007D27A3" w:rsidP="00A459CC">
            <w:pPr>
              <w:spacing w:after="0" w:line="240" w:lineRule="auto"/>
              <w:jc w:val="both"/>
              <w:rPr>
                <w:rFonts w:ascii="Arial" w:eastAsia="Times New Roman" w:hAnsi="Arial" w:cs="Arial"/>
                <w:lang w:val="en-GB"/>
              </w:rPr>
            </w:pPr>
            <w:r w:rsidRPr="00A95677">
              <w:rPr>
                <w:rFonts w:ascii="Arial" w:eastAsia="Times New Roman" w:hAnsi="Arial" w:cs="Arial"/>
                <w:lang w:val="en-GB"/>
              </w:rPr>
              <w:t>The business plan is not dependent on the existing capabilities of the acquirer</w:t>
            </w:r>
            <w:r w:rsidR="002C798B" w:rsidRPr="00A95677">
              <w:rPr>
                <w:rFonts w:ascii="Arial" w:eastAsia="Times New Roman" w:hAnsi="Arial" w:cs="Arial"/>
                <w:lang w:val="en-GB"/>
              </w:rPr>
              <w:t>.</w:t>
            </w:r>
            <w:r w:rsidRPr="00A95677">
              <w:rPr>
                <w:rFonts w:ascii="Arial" w:eastAsia="Times New Roman" w:hAnsi="Arial" w:cs="Arial"/>
                <w:lang w:val="en-GB"/>
              </w:rPr>
              <w:t xml:space="preserve"> </w:t>
            </w:r>
            <w:r w:rsidR="002C798B" w:rsidRPr="00E81FAE">
              <w:rPr>
                <w:rFonts w:ascii="Arial" w:eastAsia="Times New Roman" w:hAnsi="Arial" w:cs="Arial"/>
                <w:lang w:val="en-GB"/>
              </w:rPr>
              <w:t xml:space="preserve">Section </w:t>
            </w:r>
            <w:r w:rsidR="00C5215B" w:rsidRPr="00E81FAE">
              <w:rPr>
                <w:rFonts w:ascii="Arial" w:eastAsia="Times New Roman" w:hAnsi="Arial" w:cs="Arial"/>
                <w:lang w:val="en-GB"/>
              </w:rPr>
              <w:t>8.3</w:t>
            </w:r>
            <w:r w:rsidR="001E39AC" w:rsidRPr="00E81FAE">
              <w:rPr>
                <w:rFonts w:ascii="Arial" w:eastAsia="Times New Roman" w:hAnsi="Arial" w:cs="Arial"/>
                <w:lang w:val="en-GB"/>
              </w:rPr>
              <w:t xml:space="preserve"> S</w:t>
            </w:r>
            <w:r w:rsidR="00C5215B" w:rsidRPr="00E81FAE">
              <w:rPr>
                <w:rFonts w:ascii="Arial" w:eastAsia="Times New Roman" w:hAnsi="Arial" w:cs="Arial"/>
                <w:lang w:val="en-GB"/>
              </w:rPr>
              <w:t xml:space="preserve">tates </w:t>
            </w:r>
            <w:r w:rsidR="00F80BBD" w:rsidRPr="00E81FAE">
              <w:rPr>
                <w:rFonts w:ascii="Arial" w:eastAsia="Times New Roman" w:hAnsi="Arial" w:cs="Arial"/>
                <w:lang w:val="en-GB"/>
              </w:rPr>
              <w:t>that</w:t>
            </w:r>
            <w:r w:rsidR="00C5215B" w:rsidRPr="00E81FAE">
              <w:rPr>
                <w:rFonts w:ascii="Arial" w:eastAsia="Times New Roman" w:hAnsi="Arial" w:cs="Arial"/>
                <w:lang w:val="en-GB"/>
              </w:rPr>
              <w:t xml:space="preserve"> the </w:t>
            </w:r>
            <w:r w:rsidR="00212B5A" w:rsidRPr="00E81FAE">
              <w:rPr>
                <w:rFonts w:ascii="Arial" w:eastAsia="Times New Roman" w:hAnsi="Arial" w:cs="Arial"/>
                <w:lang w:val="en-GB"/>
              </w:rPr>
              <w:t xml:space="preserve">designated institution must provide a historical </w:t>
            </w:r>
            <w:r w:rsidR="00E5734F" w:rsidRPr="00E81FAE">
              <w:rPr>
                <w:rFonts w:ascii="Arial" w:eastAsia="Times New Roman" w:hAnsi="Arial" w:cs="Arial"/>
                <w:lang w:val="en-GB"/>
              </w:rPr>
              <w:t>financial</w:t>
            </w:r>
            <w:r w:rsidR="00212B5A" w:rsidRPr="00E81FAE">
              <w:rPr>
                <w:rFonts w:ascii="Arial" w:eastAsia="Times New Roman" w:hAnsi="Arial" w:cs="Arial"/>
                <w:lang w:val="en-GB"/>
              </w:rPr>
              <w:t xml:space="preserve"> analysis</w:t>
            </w:r>
            <w:r w:rsidR="00E5734F" w:rsidRPr="00E81FAE">
              <w:rPr>
                <w:rFonts w:ascii="Arial" w:eastAsia="Times New Roman" w:hAnsi="Arial" w:cs="Arial"/>
                <w:lang w:val="en-GB"/>
              </w:rPr>
              <w:t xml:space="preserve"> in the form of a</w:t>
            </w:r>
            <w:r w:rsidR="00212B5A" w:rsidRPr="00E81FAE">
              <w:rPr>
                <w:rFonts w:ascii="Arial" w:eastAsia="Times New Roman" w:hAnsi="Arial" w:cs="Arial"/>
                <w:lang w:val="en-GB"/>
              </w:rPr>
              <w:t xml:space="preserve"> </w:t>
            </w:r>
            <w:r w:rsidR="00C5215B" w:rsidRPr="00E81FAE">
              <w:rPr>
                <w:rFonts w:ascii="Arial" w:eastAsia="Times New Roman" w:hAnsi="Arial" w:cs="Arial"/>
                <w:lang w:val="en-GB"/>
              </w:rPr>
              <w:t>business plan</w:t>
            </w:r>
            <w:r w:rsidR="00E5734F" w:rsidRPr="00E81FAE">
              <w:rPr>
                <w:rFonts w:ascii="Arial" w:eastAsia="Times New Roman" w:hAnsi="Arial" w:cs="Arial"/>
                <w:lang w:val="en-GB"/>
              </w:rPr>
              <w:t xml:space="preserve">. </w:t>
            </w:r>
            <w:r w:rsidR="00D85AE7" w:rsidRPr="00E81FAE">
              <w:rPr>
                <w:rFonts w:ascii="Arial" w:eastAsia="Times New Roman" w:hAnsi="Arial" w:cs="Arial"/>
                <w:lang w:val="en-GB"/>
              </w:rPr>
              <w:t>Therefore,</w:t>
            </w:r>
            <w:r w:rsidR="00E5734F" w:rsidRPr="00E81FAE">
              <w:rPr>
                <w:rFonts w:ascii="Arial" w:eastAsia="Times New Roman" w:hAnsi="Arial" w:cs="Arial"/>
                <w:lang w:val="en-GB"/>
              </w:rPr>
              <w:t xml:space="preserve"> the business plan is </w:t>
            </w:r>
            <w:r w:rsidR="004528BF" w:rsidRPr="00E81FAE">
              <w:rPr>
                <w:rFonts w:ascii="Arial" w:eastAsia="Times New Roman" w:hAnsi="Arial" w:cs="Arial"/>
                <w:lang w:val="en-GB"/>
              </w:rPr>
              <w:t>the</w:t>
            </w:r>
            <w:r w:rsidR="00E5734F" w:rsidRPr="00E81FAE">
              <w:rPr>
                <w:rFonts w:ascii="Arial" w:eastAsia="Times New Roman" w:hAnsi="Arial" w:cs="Arial"/>
                <w:lang w:val="en-GB"/>
              </w:rPr>
              <w:t xml:space="preserve"> format</w:t>
            </w:r>
            <w:r w:rsidR="00D85AE7" w:rsidRPr="00E81FAE">
              <w:rPr>
                <w:rFonts w:ascii="Arial" w:eastAsia="Times New Roman" w:hAnsi="Arial" w:cs="Arial"/>
                <w:lang w:val="en-GB"/>
              </w:rPr>
              <w:t xml:space="preserve"> to present </w:t>
            </w:r>
            <w:r w:rsidR="00C5215B" w:rsidRPr="00E81FAE">
              <w:rPr>
                <w:rFonts w:ascii="Arial" w:eastAsia="Times New Roman" w:hAnsi="Arial" w:cs="Arial"/>
                <w:lang w:val="en-GB"/>
              </w:rPr>
              <w:t>the</w:t>
            </w:r>
            <w:r w:rsidR="00E5734F" w:rsidRPr="00E81FAE">
              <w:rPr>
                <w:rFonts w:ascii="Arial" w:eastAsia="Times New Roman" w:hAnsi="Arial" w:cs="Arial"/>
                <w:lang w:val="en-GB"/>
              </w:rPr>
              <w:t xml:space="preserve"> historical</w:t>
            </w:r>
            <w:r w:rsidR="00C5215B" w:rsidRPr="00E81FAE">
              <w:rPr>
                <w:rFonts w:ascii="Arial" w:eastAsia="Times New Roman" w:hAnsi="Arial" w:cs="Arial"/>
                <w:lang w:val="en-GB"/>
              </w:rPr>
              <w:t xml:space="preserve"> </w:t>
            </w:r>
            <w:r w:rsidR="00E4074F" w:rsidRPr="00E81FAE">
              <w:rPr>
                <w:rFonts w:ascii="Arial" w:eastAsia="Times New Roman" w:hAnsi="Arial" w:cs="Arial"/>
                <w:lang w:val="en-GB"/>
              </w:rPr>
              <w:t xml:space="preserve">financial </w:t>
            </w:r>
            <w:r w:rsidR="00C5215B" w:rsidRPr="00E81FAE">
              <w:rPr>
                <w:rFonts w:ascii="Arial" w:eastAsia="Times New Roman" w:hAnsi="Arial" w:cs="Arial"/>
                <w:lang w:val="en-GB"/>
              </w:rPr>
              <w:t xml:space="preserve">performance </w:t>
            </w:r>
            <w:r w:rsidR="001E39AC" w:rsidRPr="00E81FAE">
              <w:rPr>
                <w:rFonts w:ascii="Arial" w:eastAsia="Times New Roman" w:hAnsi="Arial" w:cs="Arial"/>
                <w:lang w:val="en-GB"/>
              </w:rPr>
              <w:t xml:space="preserve">of </w:t>
            </w:r>
            <w:r w:rsidR="00E4074F" w:rsidRPr="00E81FAE">
              <w:rPr>
                <w:rFonts w:ascii="Arial" w:eastAsia="Times New Roman" w:hAnsi="Arial" w:cs="Arial"/>
                <w:lang w:val="en-GB"/>
              </w:rPr>
              <w:t xml:space="preserve">the assets and liabilities </w:t>
            </w:r>
            <w:r w:rsidR="001E39AC" w:rsidRPr="00E81FAE">
              <w:rPr>
                <w:rFonts w:ascii="Arial" w:eastAsia="Times New Roman" w:hAnsi="Arial" w:cs="Arial"/>
                <w:lang w:val="en-GB"/>
              </w:rPr>
              <w:t>being transferred</w:t>
            </w:r>
            <w:r w:rsidR="00C0551A" w:rsidRPr="00E81FAE">
              <w:rPr>
                <w:rFonts w:ascii="Arial" w:eastAsia="Times New Roman" w:hAnsi="Arial" w:cs="Arial"/>
                <w:lang w:val="en-GB"/>
              </w:rPr>
              <w:t xml:space="preserve"> based on the records of the designated institution in resolution</w:t>
            </w:r>
            <w:r w:rsidR="00433A61" w:rsidRPr="00E81FAE">
              <w:rPr>
                <w:rFonts w:ascii="Arial" w:eastAsia="Times New Roman" w:hAnsi="Arial" w:cs="Arial"/>
                <w:lang w:val="en-GB"/>
              </w:rPr>
              <w:t>.</w:t>
            </w:r>
          </w:p>
          <w:p w14:paraId="016D1026" w14:textId="4839A7C4" w:rsidR="00433A61" w:rsidRPr="00E81FAE" w:rsidRDefault="00433A61" w:rsidP="00A459CC">
            <w:pPr>
              <w:spacing w:after="0" w:line="240" w:lineRule="auto"/>
              <w:jc w:val="both"/>
              <w:rPr>
                <w:rFonts w:ascii="Arial" w:eastAsia="Times New Roman" w:hAnsi="Arial" w:cs="Arial"/>
                <w:lang w:val="en-GB"/>
              </w:rPr>
            </w:pPr>
          </w:p>
          <w:p w14:paraId="1CC64788" w14:textId="21894058" w:rsidR="002C798B" w:rsidRPr="00183A94" w:rsidRDefault="00DE544E" w:rsidP="002C798B">
            <w:pPr>
              <w:spacing w:after="0" w:line="240" w:lineRule="auto"/>
              <w:jc w:val="both"/>
              <w:rPr>
                <w:rFonts w:ascii="Arial" w:eastAsia="Times New Roman" w:hAnsi="Arial" w:cs="Arial"/>
                <w:lang w:val="en-GB"/>
              </w:rPr>
            </w:pPr>
            <w:r w:rsidRPr="00E81FAE">
              <w:rPr>
                <w:rFonts w:ascii="Arial" w:eastAsia="Times New Roman" w:hAnsi="Arial" w:cs="Arial"/>
                <w:lang w:val="en-GB"/>
              </w:rPr>
              <w:t>The business</w:t>
            </w:r>
            <w:r w:rsidR="002D550A" w:rsidRPr="00E81FAE">
              <w:rPr>
                <w:rFonts w:ascii="Arial" w:eastAsia="Times New Roman" w:hAnsi="Arial" w:cs="Arial"/>
                <w:lang w:val="en-GB"/>
              </w:rPr>
              <w:t xml:space="preserve"> plan does not determine the size of the </w:t>
            </w:r>
            <w:r w:rsidR="002C798B" w:rsidRPr="00E81FAE">
              <w:rPr>
                <w:rFonts w:ascii="Arial" w:eastAsia="Times New Roman" w:hAnsi="Arial" w:cs="Arial"/>
                <w:lang w:val="en-GB"/>
              </w:rPr>
              <w:t>tran</w:t>
            </w:r>
            <w:r w:rsidR="002D550A" w:rsidRPr="00E81FAE">
              <w:rPr>
                <w:rFonts w:ascii="Arial" w:eastAsia="Times New Roman" w:hAnsi="Arial" w:cs="Arial"/>
                <w:lang w:val="en-GB"/>
              </w:rPr>
              <w:t>s</w:t>
            </w:r>
            <w:r w:rsidR="002C798B" w:rsidRPr="00E81FAE">
              <w:rPr>
                <w:rFonts w:ascii="Arial" w:eastAsia="Times New Roman" w:hAnsi="Arial" w:cs="Arial"/>
                <w:lang w:val="en-GB"/>
              </w:rPr>
              <w:t>fer perimeter</w:t>
            </w:r>
            <w:r w:rsidR="00702F00" w:rsidRPr="00E81FAE">
              <w:rPr>
                <w:rFonts w:ascii="Arial" w:eastAsia="Times New Roman" w:hAnsi="Arial" w:cs="Arial"/>
                <w:lang w:val="en-GB"/>
              </w:rPr>
              <w:t>. The size of the transfer perimeter</w:t>
            </w:r>
            <w:r w:rsidR="002C798B" w:rsidRPr="00E81FAE">
              <w:rPr>
                <w:rFonts w:ascii="Arial" w:eastAsia="Times New Roman" w:hAnsi="Arial" w:cs="Arial"/>
                <w:lang w:val="en-GB"/>
              </w:rPr>
              <w:t xml:space="preserve"> can be</w:t>
            </w:r>
            <w:r w:rsidR="00702F00" w:rsidRPr="00E81FAE">
              <w:rPr>
                <w:rFonts w:ascii="Arial" w:eastAsia="Times New Roman" w:hAnsi="Arial" w:cs="Arial"/>
                <w:lang w:val="en-GB"/>
              </w:rPr>
              <w:t xml:space="preserve"> anything</w:t>
            </w:r>
            <w:r w:rsidR="002C798B" w:rsidRPr="00E81FAE">
              <w:rPr>
                <w:rFonts w:ascii="Arial" w:eastAsia="Times New Roman" w:hAnsi="Arial" w:cs="Arial"/>
                <w:lang w:val="en-GB"/>
              </w:rPr>
              <w:t xml:space="preserve"> from a single asset</w:t>
            </w:r>
            <w:r w:rsidR="008C76F3" w:rsidRPr="00E81FAE">
              <w:rPr>
                <w:rFonts w:ascii="Arial" w:eastAsia="Times New Roman" w:hAnsi="Arial" w:cs="Arial"/>
                <w:lang w:val="en-GB"/>
              </w:rPr>
              <w:t xml:space="preserve"> and/or </w:t>
            </w:r>
            <w:r w:rsidR="002C798B" w:rsidRPr="00E81FAE">
              <w:rPr>
                <w:rFonts w:ascii="Arial" w:eastAsia="Times New Roman" w:hAnsi="Arial" w:cs="Arial"/>
                <w:lang w:val="en-GB"/>
              </w:rPr>
              <w:t xml:space="preserve">liability to a portfolio, business </w:t>
            </w:r>
            <w:r w:rsidR="0096523F" w:rsidRPr="00E81FAE">
              <w:rPr>
                <w:rFonts w:ascii="Arial" w:eastAsia="Times New Roman" w:hAnsi="Arial" w:cs="Arial"/>
                <w:lang w:val="en-GB"/>
              </w:rPr>
              <w:t>unit (</w:t>
            </w:r>
            <w:proofErr w:type="gramStart"/>
            <w:r w:rsidR="00EB4CF7" w:rsidRPr="00E81FAE">
              <w:rPr>
                <w:rFonts w:ascii="Arial" w:eastAsia="Times New Roman" w:hAnsi="Arial" w:cs="Arial"/>
                <w:lang w:val="en-GB"/>
              </w:rPr>
              <w:t>similar to</w:t>
            </w:r>
            <w:proofErr w:type="gramEnd"/>
            <w:r w:rsidR="00EB4CF7" w:rsidRPr="00E81FAE">
              <w:rPr>
                <w:rFonts w:ascii="Arial" w:eastAsia="Times New Roman" w:hAnsi="Arial" w:cs="Arial"/>
                <w:lang w:val="en-GB"/>
              </w:rPr>
              <w:t xml:space="preserve"> disposals in a Recovery Plan) </w:t>
            </w:r>
            <w:r w:rsidR="002C798B" w:rsidRPr="00E81FAE">
              <w:rPr>
                <w:rFonts w:ascii="Arial" w:eastAsia="Times New Roman" w:hAnsi="Arial" w:cs="Arial"/>
                <w:lang w:val="en-GB"/>
              </w:rPr>
              <w:t>or an entire institution</w:t>
            </w:r>
            <w:r w:rsidRPr="00E81FAE">
              <w:rPr>
                <w:rFonts w:ascii="Arial" w:eastAsia="Times New Roman" w:hAnsi="Arial" w:cs="Arial"/>
                <w:lang w:val="en-GB"/>
              </w:rPr>
              <w:t xml:space="preserve">, based on the </w:t>
            </w:r>
            <w:r w:rsidR="002931D7" w:rsidRPr="00E81FAE">
              <w:rPr>
                <w:rFonts w:ascii="Arial" w:eastAsia="Times New Roman" w:hAnsi="Arial" w:cs="Arial"/>
                <w:lang w:val="en-GB"/>
              </w:rPr>
              <w:t xml:space="preserve">objective of the </w:t>
            </w:r>
            <w:r w:rsidRPr="00E81FAE">
              <w:rPr>
                <w:rFonts w:ascii="Arial" w:eastAsia="Times New Roman" w:hAnsi="Arial" w:cs="Arial"/>
                <w:lang w:val="en-GB"/>
              </w:rPr>
              <w:t>resolution strategy</w:t>
            </w:r>
            <w:r w:rsidRPr="00183A94">
              <w:rPr>
                <w:rFonts w:ascii="Arial" w:eastAsia="Times New Roman" w:hAnsi="Arial" w:cs="Arial"/>
                <w:lang w:val="en-GB"/>
              </w:rPr>
              <w:t>.</w:t>
            </w:r>
          </w:p>
          <w:p w14:paraId="66E5E670" w14:textId="77777777" w:rsidR="002C798B" w:rsidRDefault="002C798B" w:rsidP="00A459CC">
            <w:pPr>
              <w:spacing w:after="0" w:line="240" w:lineRule="auto"/>
              <w:jc w:val="both"/>
              <w:rPr>
                <w:rFonts w:ascii="Arial" w:eastAsia="Times New Roman" w:hAnsi="Arial" w:cs="Arial"/>
                <w:lang w:val="en-GB"/>
              </w:rPr>
            </w:pPr>
          </w:p>
          <w:p w14:paraId="71CCDB04" w14:textId="77777777" w:rsidR="005F0D94" w:rsidRPr="0051060F" w:rsidRDefault="002C7BAB" w:rsidP="00A459CC">
            <w:pPr>
              <w:spacing w:after="0" w:line="240" w:lineRule="auto"/>
              <w:jc w:val="both"/>
              <w:rPr>
                <w:rFonts w:ascii="Arial" w:eastAsia="Times New Roman" w:hAnsi="Arial" w:cs="Arial"/>
                <w:b/>
                <w:bCs/>
                <w:lang w:val="en-GB"/>
              </w:rPr>
            </w:pPr>
            <w:r w:rsidRPr="0051060F">
              <w:rPr>
                <w:rFonts w:ascii="Arial" w:eastAsia="Times New Roman" w:hAnsi="Arial" w:cs="Arial"/>
                <w:b/>
                <w:bCs/>
                <w:lang w:val="en-GB"/>
              </w:rPr>
              <w:t>C</w:t>
            </w:r>
            <w:r w:rsidR="005F0D94" w:rsidRPr="0051060F">
              <w:rPr>
                <w:rFonts w:ascii="Arial" w:eastAsia="Times New Roman" w:hAnsi="Arial" w:cs="Arial"/>
                <w:b/>
                <w:bCs/>
                <w:lang w:val="en-GB"/>
              </w:rPr>
              <w:t>omplexity</w:t>
            </w:r>
            <w:r w:rsidR="00477AFE" w:rsidRPr="0051060F">
              <w:rPr>
                <w:rFonts w:ascii="Arial" w:eastAsia="Times New Roman" w:hAnsi="Arial" w:cs="Arial"/>
                <w:b/>
                <w:bCs/>
                <w:lang w:val="en-GB"/>
              </w:rPr>
              <w:t xml:space="preserve"> regarding identification of the transfer perimeter:</w:t>
            </w:r>
          </w:p>
          <w:p w14:paraId="54167329" w14:textId="43887987" w:rsidR="002C7BAB" w:rsidRPr="00477AFE" w:rsidRDefault="002C7BAB" w:rsidP="00A459CC">
            <w:pPr>
              <w:spacing w:after="0" w:line="240" w:lineRule="auto"/>
              <w:jc w:val="both"/>
              <w:rPr>
                <w:rFonts w:ascii="Arial" w:eastAsia="Times New Roman" w:hAnsi="Arial" w:cs="Arial"/>
                <w:i/>
                <w:iCs/>
                <w:lang w:val="en-GB"/>
              </w:rPr>
            </w:pPr>
            <w:r w:rsidRPr="00183A94">
              <w:rPr>
                <w:rFonts w:ascii="Arial" w:eastAsia="Times New Roman" w:hAnsi="Arial" w:cs="Arial"/>
                <w:lang w:val="en-GB"/>
              </w:rPr>
              <w:t>Noted.</w:t>
            </w:r>
          </w:p>
        </w:tc>
      </w:tr>
      <w:tr w:rsidR="00A459CC" w:rsidRPr="009D05E3" w14:paraId="04C51DA6" w14:textId="77777777" w:rsidTr="00473E16">
        <w:tc>
          <w:tcPr>
            <w:tcW w:w="1886" w:type="dxa"/>
            <w:shd w:val="clear" w:color="auto" w:fill="FFFFFF" w:themeFill="background1"/>
          </w:tcPr>
          <w:p w14:paraId="2D32A5DC" w14:textId="6D52DA6E" w:rsidR="00A459CC" w:rsidRPr="000A1C6C" w:rsidRDefault="0046211D" w:rsidP="0046211D">
            <w:pPr>
              <w:spacing w:after="0"/>
              <w:jc w:val="center"/>
              <w:rPr>
                <w:rFonts w:ascii="Arial" w:hAnsi="Arial" w:cs="Arial"/>
                <w:lang w:val="en-GB"/>
              </w:rPr>
            </w:pPr>
            <w:r w:rsidRPr="000A1C6C">
              <w:rPr>
                <w:rFonts w:ascii="Arial" w:hAnsi="Arial" w:cs="Arial"/>
                <w:lang w:val="en-GB"/>
              </w:rPr>
              <w:t>56</w:t>
            </w:r>
          </w:p>
        </w:tc>
        <w:tc>
          <w:tcPr>
            <w:tcW w:w="2078" w:type="dxa"/>
            <w:shd w:val="clear" w:color="auto" w:fill="FFFFFF" w:themeFill="background1"/>
          </w:tcPr>
          <w:p w14:paraId="0B11B654" w14:textId="20A5758C" w:rsidR="00A459CC" w:rsidRPr="000F0082" w:rsidRDefault="00A459CC" w:rsidP="00A459CC">
            <w:pPr>
              <w:spacing w:after="0" w:line="240" w:lineRule="auto"/>
              <w:ind w:hanging="5"/>
              <w:rPr>
                <w:rFonts w:ascii="Arial" w:hAnsi="Arial" w:cs="Arial"/>
                <w:color w:val="000000" w:themeColor="text1"/>
              </w:rPr>
            </w:pPr>
            <w:r w:rsidRPr="000F0082">
              <w:rPr>
                <w:rFonts w:ascii="Arial" w:hAnsi="Arial" w:cs="Arial"/>
                <w:color w:val="000000" w:themeColor="text1"/>
              </w:rPr>
              <w:t>FirstRand</w:t>
            </w:r>
          </w:p>
        </w:tc>
        <w:tc>
          <w:tcPr>
            <w:tcW w:w="2691" w:type="dxa"/>
            <w:shd w:val="clear" w:color="auto" w:fill="auto"/>
          </w:tcPr>
          <w:p w14:paraId="418C59FB" w14:textId="172553B2" w:rsidR="00A459CC" w:rsidRPr="000F0082" w:rsidRDefault="00A459CC" w:rsidP="00A459CC">
            <w:pPr>
              <w:keepNext/>
              <w:spacing w:after="0" w:line="240" w:lineRule="auto"/>
              <w:rPr>
                <w:rFonts w:ascii="Arial" w:hAnsi="Arial" w:cs="Arial"/>
                <w:color w:val="000000" w:themeColor="text1"/>
              </w:rPr>
            </w:pPr>
            <w:r w:rsidRPr="000F0082">
              <w:rPr>
                <w:rFonts w:ascii="Arial" w:hAnsi="Arial" w:cs="Arial"/>
                <w:color w:val="000000" w:themeColor="text1"/>
              </w:rPr>
              <w:t>7.3(e)</w:t>
            </w:r>
          </w:p>
        </w:tc>
        <w:tc>
          <w:tcPr>
            <w:tcW w:w="7903" w:type="dxa"/>
            <w:shd w:val="clear" w:color="auto" w:fill="FFFFFF" w:themeFill="background1"/>
          </w:tcPr>
          <w:p w14:paraId="4064C521" w14:textId="304F2ACE" w:rsidR="00A459CC" w:rsidRPr="000A1C6C" w:rsidRDefault="00A459CC" w:rsidP="00A459CC">
            <w:pPr>
              <w:spacing w:after="0" w:line="240" w:lineRule="auto"/>
              <w:rPr>
                <w:rFonts w:ascii="Arial" w:hAnsi="Arial" w:cs="Arial"/>
              </w:rPr>
            </w:pPr>
            <w:r w:rsidRPr="000A1C6C">
              <w:rPr>
                <w:rFonts w:ascii="Arial" w:hAnsi="Arial" w:cs="Arial"/>
              </w:rPr>
              <w:t>The assessment of interconnections can be quite widely interpreted – while a comprehensive list has been provided in the draft standard, additional guidance will be required to perform this assessment and understand the practicalities around this</w:t>
            </w:r>
          </w:p>
        </w:tc>
        <w:tc>
          <w:tcPr>
            <w:tcW w:w="6416" w:type="dxa"/>
            <w:shd w:val="clear" w:color="auto" w:fill="auto"/>
          </w:tcPr>
          <w:p w14:paraId="74EB5FBF" w14:textId="235D7716" w:rsidR="00A459CC" w:rsidRPr="000A1C6C" w:rsidRDefault="00477AFE" w:rsidP="00A459CC">
            <w:pPr>
              <w:spacing w:after="0" w:line="240" w:lineRule="auto"/>
              <w:jc w:val="both"/>
              <w:rPr>
                <w:rFonts w:ascii="Arial" w:eastAsia="Times New Roman" w:hAnsi="Arial" w:cs="Arial"/>
                <w:lang w:val="en-GB"/>
              </w:rPr>
            </w:pPr>
            <w:r>
              <w:rPr>
                <w:rFonts w:ascii="Arial" w:eastAsia="Times New Roman" w:hAnsi="Arial" w:cs="Arial"/>
                <w:lang w:val="en-GB"/>
              </w:rPr>
              <w:t>Noted</w:t>
            </w:r>
          </w:p>
        </w:tc>
      </w:tr>
      <w:tr w:rsidR="00A459CC" w:rsidRPr="009D05E3" w14:paraId="16F43B99" w14:textId="77777777" w:rsidTr="00473E16">
        <w:tc>
          <w:tcPr>
            <w:tcW w:w="1886" w:type="dxa"/>
            <w:shd w:val="clear" w:color="auto" w:fill="FFFFFF" w:themeFill="background1"/>
          </w:tcPr>
          <w:p w14:paraId="190F1524" w14:textId="7961B355" w:rsidR="00A459CC" w:rsidRPr="000A1C6C" w:rsidRDefault="0046211D" w:rsidP="0046211D">
            <w:pPr>
              <w:spacing w:after="0"/>
              <w:jc w:val="center"/>
              <w:rPr>
                <w:rFonts w:ascii="Arial" w:hAnsi="Arial" w:cs="Arial"/>
                <w:lang w:val="en-GB"/>
              </w:rPr>
            </w:pPr>
            <w:r w:rsidRPr="000A1C6C">
              <w:rPr>
                <w:rFonts w:ascii="Arial" w:hAnsi="Arial" w:cs="Arial"/>
                <w:lang w:val="en-GB"/>
              </w:rPr>
              <w:t>57</w:t>
            </w:r>
          </w:p>
        </w:tc>
        <w:tc>
          <w:tcPr>
            <w:tcW w:w="2078" w:type="dxa"/>
            <w:shd w:val="clear" w:color="auto" w:fill="FFFFFF" w:themeFill="background1"/>
          </w:tcPr>
          <w:p w14:paraId="72AAC384" w14:textId="069B436B" w:rsidR="00A459CC" w:rsidRPr="000F0082" w:rsidRDefault="00A459CC" w:rsidP="00A459CC">
            <w:pPr>
              <w:spacing w:after="0" w:line="240" w:lineRule="auto"/>
              <w:ind w:hanging="5"/>
              <w:rPr>
                <w:rFonts w:ascii="Arial" w:hAnsi="Arial" w:cs="Arial"/>
                <w:color w:val="000000" w:themeColor="text1"/>
              </w:rPr>
            </w:pPr>
            <w:r w:rsidRPr="000F0082">
              <w:rPr>
                <w:rFonts w:ascii="Arial" w:hAnsi="Arial" w:cs="Arial"/>
                <w:color w:val="000000" w:themeColor="text1"/>
              </w:rPr>
              <w:t>FirstRand</w:t>
            </w:r>
          </w:p>
        </w:tc>
        <w:tc>
          <w:tcPr>
            <w:tcW w:w="2691" w:type="dxa"/>
            <w:shd w:val="clear" w:color="auto" w:fill="auto"/>
          </w:tcPr>
          <w:p w14:paraId="1C1B9D0F" w14:textId="2BBA9E26" w:rsidR="00A459CC" w:rsidRPr="000F0082" w:rsidRDefault="00A459CC" w:rsidP="00A459CC">
            <w:pPr>
              <w:keepNext/>
              <w:rPr>
                <w:rFonts w:ascii="Arial" w:hAnsi="Arial" w:cs="Arial"/>
                <w:color w:val="000000" w:themeColor="text1"/>
              </w:rPr>
            </w:pPr>
            <w:r w:rsidRPr="000F0082">
              <w:rPr>
                <w:rFonts w:ascii="Arial" w:hAnsi="Arial" w:cs="Arial"/>
                <w:color w:val="000000" w:themeColor="text1"/>
              </w:rPr>
              <w:t>7.3(e)</w:t>
            </w:r>
          </w:p>
        </w:tc>
        <w:tc>
          <w:tcPr>
            <w:tcW w:w="7903" w:type="dxa"/>
            <w:shd w:val="clear" w:color="auto" w:fill="FFFFFF" w:themeFill="background1"/>
          </w:tcPr>
          <w:p w14:paraId="6A6516E6" w14:textId="4C0D248F" w:rsidR="00A459CC" w:rsidRPr="000A1C6C" w:rsidRDefault="00A459CC" w:rsidP="00A459CC">
            <w:pPr>
              <w:spacing w:after="0" w:line="240" w:lineRule="auto"/>
              <w:rPr>
                <w:rFonts w:ascii="Arial" w:hAnsi="Arial" w:cs="Arial"/>
              </w:rPr>
            </w:pPr>
            <w:r w:rsidRPr="000A1C6C">
              <w:rPr>
                <w:rFonts w:ascii="Arial" w:hAnsi="Arial" w:cs="Arial"/>
              </w:rPr>
              <w:t>Market interest and capacity are difficult to analyse since in a highly concentrated industry the capacity for absorption by a single competing entity is likely to be limited, especially considering the requirement in section 10.1 (d).</w:t>
            </w:r>
          </w:p>
        </w:tc>
        <w:tc>
          <w:tcPr>
            <w:tcW w:w="6416" w:type="dxa"/>
            <w:shd w:val="clear" w:color="auto" w:fill="auto"/>
          </w:tcPr>
          <w:p w14:paraId="432C5636" w14:textId="53AE3E83" w:rsidR="00A459CC" w:rsidRPr="000A1C6C" w:rsidRDefault="00E71997" w:rsidP="00A459CC">
            <w:pPr>
              <w:spacing w:after="0" w:line="240" w:lineRule="auto"/>
              <w:jc w:val="both"/>
              <w:rPr>
                <w:rFonts w:ascii="Arial" w:eastAsia="Times New Roman" w:hAnsi="Arial" w:cs="Arial"/>
                <w:lang w:val="en-GB"/>
              </w:rPr>
            </w:pPr>
            <w:r>
              <w:rPr>
                <w:rFonts w:ascii="Arial" w:eastAsia="Times New Roman" w:hAnsi="Arial" w:cs="Arial"/>
                <w:lang w:val="en-GB"/>
              </w:rPr>
              <w:t>Noted</w:t>
            </w:r>
          </w:p>
        </w:tc>
      </w:tr>
      <w:tr w:rsidR="00A459CC" w:rsidRPr="009D05E3" w14:paraId="1964A3F0" w14:textId="77777777" w:rsidTr="00FC2C40">
        <w:tc>
          <w:tcPr>
            <w:tcW w:w="1886" w:type="dxa"/>
            <w:shd w:val="clear" w:color="auto" w:fill="FFFFFF" w:themeFill="background1"/>
          </w:tcPr>
          <w:p w14:paraId="18BE294D" w14:textId="4179899F" w:rsidR="00A459CC" w:rsidRPr="000A1C6C" w:rsidRDefault="0046211D" w:rsidP="0046211D">
            <w:pPr>
              <w:spacing w:after="0"/>
              <w:jc w:val="center"/>
              <w:rPr>
                <w:rFonts w:ascii="Arial" w:hAnsi="Arial" w:cs="Arial"/>
                <w:lang w:val="en-GB"/>
              </w:rPr>
            </w:pPr>
            <w:r w:rsidRPr="000A1C6C">
              <w:rPr>
                <w:rFonts w:ascii="Arial" w:hAnsi="Arial" w:cs="Arial"/>
                <w:lang w:val="en-GB"/>
              </w:rPr>
              <w:t>58</w:t>
            </w:r>
          </w:p>
        </w:tc>
        <w:tc>
          <w:tcPr>
            <w:tcW w:w="2078" w:type="dxa"/>
            <w:shd w:val="clear" w:color="auto" w:fill="FFFFFF" w:themeFill="background1"/>
          </w:tcPr>
          <w:p w14:paraId="52431F87" w14:textId="7E0FB051" w:rsidR="00A459CC" w:rsidRPr="000A1C6C" w:rsidRDefault="00164473" w:rsidP="00A459CC">
            <w:pPr>
              <w:spacing w:after="0" w:line="240" w:lineRule="auto"/>
              <w:ind w:hanging="5"/>
              <w:rPr>
                <w:rFonts w:ascii="Arial" w:hAnsi="Arial" w:cs="Arial"/>
                <w:lang w:val="en-GB"/>
              </w:rPr>
            </w:pPr>
            <w:r w:rsidRPr="000A1C6C">
              <w:rPr>
                <w:rFonts w:ascii="Arial" w:hAnsi="Arial" w:cs="Arial"/>
              </w:rPr>
              <w:t>Grindrod</w:t>
            </w:r>
          </w:p>
        </w:tc>
        <w:tc>
          <w:tcPr>
            <w:tcW w:w="2691" w:type="dxa"/>
            <w:shd w:val="clear" w:color="auto" w:fill="FFFFFF" w:themeFill="background1"/>
          </w:tcPr>
          <w:p w14:paraId="741D4C7D" w14:textId="6D9FA36B" w:rsidR="00A459CC" w:rsidRPr="000A1C6C" w:rsidRDefault="00A459CC" w:rsidP="00A459CC">
            <w:pPr>
              <w:keepNext/>
              <w:spacing w:after="0" w:line="240" w:lineRule="auto"/>
              <w:rPr>
                <w:rFonts w:ascii="Arial" w:hAnsi="Arial" w:cs="Arial"/>
              </w:rPr>
            </w:pPr>
            <w:r w:rsidRPr="000A1C6C">
              <w:rPr>
                <w:rFonts w:ascii="Arial" w:hAnsi="Arial" w:cs="Arial"/>
                <w:lang w:val="en-GB"/>
              </w:rPr>
              <w:t>-</w:t>
            </w:r>
          </w:p>
        </w:tc>
        <w:tc>
          <w:tcPr>
            <w:tcW w:w="7903" w:type="dxa"/>
            <w:shd w:val="clear" w:color="auto" w:fill="FFFFFF" w:themeFill="background1"/>
          </w:tcPr>
          <w:p w14:paraId="230C5E6F" w14:textId="204D2E05" w:rsidR="00A459CC" w:rsidRPr="000A1C6C" w:rsidRDefault="00A459CC" w:rsidP="00A459CC">
            <w:pPr>
              <w:spacing w:after="0" w:line="240" w:lineRule="auto"/>
              <w:rPr>
                <w:rFonts w:ascii="Arial" w:hAnsi="Arial" w:cs="Arial"/>
              </w:rPr>
            </w:pPr>
            <w:r w:rsidRPr="000A1C6C">
              <w:rPr>
                <w:rFonts w:ascii="Arial" w:hAnsi="Arial" w:cs="Arial"/>
                <w:lang w:val="en-GB"/>
              </w:rPr>
              <w:t>No comment</w:t>
            </w:r>
          </w:p>
        </w:tc>
        <w:tc>
          <w:tcPr>
            <w:tcW w:w="6416" w:type="dxa"/>
            <w:shd w:val="clear" w:color="auto" w:fill="FFFFFF" w:themeFill="background1"/>
          </w:tcPr>
          <w:p w14:paraId="2C8F8817" w14:textId="4BEB29E4" w:rsidR="00A459CC" w:rsidRPr="000A1C6C" w:rsidRDefault="00A459CC" w:rsidP="00A459CC">
            <w:pPr>
              <w:spacing w:after="0" w:line="240" w:lineRule="auto"/>
              <w:jc w:val="both"/>
              <w:rPr>
                <w:rFonts w:ascii="Arial" w:eastAsia="Times New Roman" w:hAnsi="Arial" w:cs="Arial"/>
                <w:lang w:val="en-GB"/>
              </w:rPr>
            </w:pPr>
            <w:r w:rsidRPr="000A1C6C">
              <w:rPr>
                <w:rFonts w:ascii="Arial" w:eastAsia="Times New Roman" w:hAnsi="Arial" w:cs="Arial"/>
                <w:lang w:val="en-GB"/>
              </w:rPr>
              <w:t>Noted</w:t>
            </w:r>
          </w:p>
        </w:tc>
      </w:tr>
      <w:tr w:rsidR="00A459CC" w:rsidRPr="009D05E3" w14:paraId="74A4C5DC" w14:textId="77777777" w:rsidTr="00FC2C40">
        <w:tc>
          <w:tcPr>
            <w:tcW w:w="1886" w:type="dxa"/>
            <w:shd w:val="clear" w:color="auto" w:fill="FFFFFF" w:themeFill="background1"/>
          </w:tcPr>
          <w:p w14:paraId="0F4CE1B6" w14:textId="405D8AA6" w:rsidR="00A459CC" w:rsidRPr="000A1C6C" w:rsidRDefault="0046211D" w:rsidP="0046211D">
            <w:pPr>
              <w:spacing w:after="0"/>
              <w:jc w:val="center"/>
              <w:rPr>
                <w:rFonts w:ascii="Arial" w:hAnsi="Arial" w:cs="Arial"/>
                <w:lang w:val="en-GB"/>
              </w:rPr>
            </w:pPr>
            <w:r w:rsidRPr="000A1C6C">
              <w:rPr>
                <w:rFonts w:ascii="Arial" w:hAnsi="Arial" w:cs="Arial"/>
                <w:lang w:val="en-GB"/>
              </w:rPr>
              <w:lastRenderedPageBreak/>
              <w:t>59</w:t>
            </w:r>
          </w:p>
        </w:tc>
        <w:tc>
          <w:tcPr>
            <w:tcW w:w="2078" w:type="dxa"/>
            <w:shd w:val="clear" w:color="auto" w:fill="FFFFFF" w:themeFill="background1"/>
          </w:tcPr>
          <w:p w14:paraId="137BB8D8" w14:textId="6E6AB977" w:rsidR="00A459CC" w:rsidRPr="000A1C6C" w:rsidRDefault="00A459CC" w:rsidP="00A459CC">
            <w:pPr>
              <w:spacing w:after="0" w:line="240" w:lineRule="auto"/>
              <w:rPr>
                <w:rFonts w:ascii="Arial" w:hAnsi="Arial" w:cs="Arial"/>
              </w:rPr>
            </w:pPr>
            <w:r w:rsidRPr="000A1C6C">
              <w:rPr>
                <w:rFonts w:ascii="Arial" w:hAnsi="Arial" w:cs="Arial"/>
              </w:rPr>
              <w:t>Habib Bank</w:t>
            </w:r>
          </w:p>
        </w:tc>
        <w:tc>
          <w:tcPr>
            <w:tcW w:w="2691" w:type="dxa"/>
            <w:shd w:val="clear" w:color="auto" w:fill="FFFFFF" w:themeFill="background1"/>
          </w:tcPr>
          <w:p w14:paraId="0C6EF304" w14:textId="223F9D7D" w:rsidR="00A459CC" w:rsidRPr="000A1C6C" w:rsidRDefault="00A459CC" w:rsidP="00A459CC">
            <w:pPr>
              <w:keepNext/>
              <w:spacing w:after="0" w:line="240" w:lineRule="auto"/>
              <w:rPr>
                <w:rFonts w:ascii="Arial" w:hAnsi="Arial" w:cs="Arial"/>
              </w:rPr>
            </w:pPr>
            <w:r w:rsidRPr="000A1C6C">
              <w:rPr>
                <w:rFonts w:ascii="Arial" w:hAnsi="Arial" w:cs="Arial"/>
              </w:rPr>
              <w:t>-</w:t>
            </w:r>
          </w:p>
        </w:tc>
        <w:tc>
          <w:tcPr>
            <w:tcW w:w="7903" w:type="dxa"/>
            <w:shd w:val="clear" w:color="auto" w:fill="FFFFFF" w:themeFill="background1"/>
          </w:tcPr>
          <w:p w14:paraId="176D8AF1" w14:textId="7D898D63" w:rsidR="00A459CC" w:rsidRPr="000A1C6C" w:rsidRDefault="00A459CC" w:rsidP="00A459CC">
            <w:pPr>
              <w:spacing w:after="0" w:line="240" w:lineRule="auto"/>
              <w:rPr>
                <w:rFonts w:ascii="Arial" w:hAnsi="Arial" w:cs="Arial"/>
              </w:rPr>
            </w:pPr>
            <w:r w:rsidRPr="000A1C6C">
              <w:rPr>
                <w:rFonts w:ascii="Arial" w:hAnsi="Arial" w:cs="Arial"/>
                <w:lang w:val="en-GB"/>
              </w:rPr>
              <w:t>No comment</w:t>
            </w:r>
          </w:p>
        </w:tc>
        <w:tc>
          <w:tcPr>
            <w:tcW w:w="6416" w:type="dxa"/>
            <w:shd w:val="clear" w:color="auto" w:fill="FFFFFF" w:themeFill="background1"/>
          </w:tcPr>
          <w:p w14:paraId="6077F2A6" w14:textId="21020C06" w:rsidR="00A459CC" w:rsidRPr="000A1C6C" w:rsidRDefault="00A459CC" w:rsidP="00A459CC">
            <w:pPr>
              <w:spacing w:after="0" w:line="240" w:lineRule="auto"/>
              <w:jc w:val="both"/>
              <w:rPr>
                <w:rFonts w:ascii="Arial" w:eastAsia="Times New Roman" w:hAnsi="Arial" w:cs="Arial"/>
                <w:lang w:val="en-GB"/>
              </w:rPr>
            </w:pPr>
            <w:r w:rsidRPr="000A1C6C">
              <w:rPr>
                <w:rFonts w:ascii="Arial" w:eastAsia="Times New Roman" w:hAnsi="Arial" w:cs="Arial"/>
                <w:lang w:val="en-GB"/>
              </w:rPr>
              <w:t>Noted</w:t>
            </w:r>
          </w:p>
        </w:tc>
      </w:tr>
      <w:tr w:rsidR="00A459CC" w:rsidRPr="009D05E3" w14:paraId="00407FBD" w14:textId="77777777" w:rsidTr="00FC2C40">
        <w:tc>
          <w:tcPr>
            <w:tcW w:w="1886" w:type="dxa"/>
            <w:shd w:val="clear" w:color="auto" w:fill="FFFFFF" w:themeFill="background1"/>
          </w:tcPr>
          <w:p w14:paraId="79C6ACCD" w14:textId="1C802E1A" w:rsidR="00A459CC" w:rsidRPr="000A1C6C" w:rsidRDefault="0046211D" w:rsidP="0046211D">
            <w:pPr>
              <w:spacing w:after="0"/>
              <w:jc w:val="center"/>
              <w:rPr>
                <w:rFonts w:ascii="Arial" w:hAnsi="Arial" w:cs="Arial"/>
                <w:lang w:val="en-GB"/>
              </w:rPr>
            </w:pPr>
            <w:r w:rsidRPr="000A1C6C">
              <w:rPr>
                <w:rFonts w:ascii="Arial" w:hAnsi="Arial" w:cs="Arial"/>
                <w:lang w:val="en-GB"/>
              </w:rPr>
              <w:t>60</w:t>
            </w:r>
          </w:p>
        </w:tc>
        <w:tc>
          <w:tcPr>
            <w:tcW w:w="2078" w:type="dxa"/>
            <w:shd w:val="clear" w:color="auto" w:fill="FFFFFF" w:themeFill="background1"/>
          </w:tcPr>
          <w:p w14:paraId="55E030A1" w14:textId="0F5A0E8F" w:rsidR="00A459CC" w:rsidRPr="000A1C6C" w:rsidRDefault="00A459CC" w:rsidP="00A459CC">
            <w:pPr>
              <w:spacing w:after="0" w:line="240" w:lineRule="auto"/>
              <w:rPr>
                <w:rFonts w:ascii="Arial" w:hAnsi="Arial" w:cs="Arial"/>
              </w:rPr>
            </w:pPr>
            <w:r w:rsidRPr="000A1C6C">
              <w:rPr>
                <w:rFonts w:ascii="Arial" w:hAnsi="Arial" w:cs="Arial"/>
              </w:rPr>
              <w:t>JSE</w:t>
            </w:r>
          </w:p>
        </w:tc>
        <w:tc>
          <w:tcPr>
            <w:tcW w:w="2691" w:type="dxa"/>
            <w:shd w:val="clear" w:color="auto" w:fill="FFFFFF" w:themeFill="background1"/>
          </w:tcPr>
          <w:p w14:paraId="14B66995" w14:textId="6DE6F802" w:rsidR="00A459CC" w:rsidRPr="000A1C6C" w:rsidRDefault="00A459CC" w:rsidP="00A459CC">
            <w:pPr>
              <w:keepNext/>
              <w:spacing w:after="0" w:line="240" w:lineRule="auto"/>
              <w:rPr>
                <w:rFonts w:ascii="Arial" w:hAnsi="Arial" w:cs="Arial"/>
              </w:rPr>
            </w:pPr>
            <w:r w:rsidRPr="000A1C6C">
              <w:rPr>
                <w:rFonts w:ascii="Arial" w:hAnsi="Arial" w:cs="Arial"/>
              </w:rPr>
              <w:t>-</w:t>
            </w:r>
          </w:p>
        </w:tc>
        <w:tc>
          <w:tcPr>
            <w:tcW w:w="7903" w:type="dxa"/>
            <w:shd w:val="clear" w:color="auto" w:fill="FFFFFF" w:themeFill="background1"/>
          </w:tcPr>
          <w:p w14:paraId="6F79E9EB" w14:textId="50C565FA" w:rsidR="00A459CC" w:rsidRPr="000A1C6C" w:rsidRDefault="00A459CC" w:rsidP="00A459CC">
            <w:pPr>
              <w:keepNext/>
              <w:spacing w:after="0" w:line="240" w:lineRule="auto"/>
              <w:rPr>
                <w:rFonts w:ascii="Arial" w:hAnsi="Arial" w:cs="Arial"/>
              </w:rPr>
            </w:pPr>
            <w:r w:rsidRPr="000A1C6C">
              <w:rPr>
                <w:rFonts w:ascii="Arial" w:hAnsi="Arial" w:cs="Arial"/>
                <w:lang w:val="en-GB"/>
              </w:rPr>
              <w:t>No comment</w:t>
            </w:r>
          </w:p>
        </w:tc>
        <w:tc>
          <w:tcPr>
            <w:tcW w:w="6416" w:type="dxa"/>
            <w:shd w:val="clear" w:color="auto" w:fill="FFFFFF" w:themeFill="background1"/>
          </w:tcPr>
          <w:p w14:paraId="330FCD37" w14:textId="3FE60E66" w:rsidR="00A459CC" w:rsidRPr="000A1C6C" w:rsidRDefault="00A459CC" w:rsidP="00A459CC">
            <w:pPr>
              <w:spacing w:after="0" w:line="240" w:lineRule="auto"/>
              <w:jc w:val="both"/>
              <w:rPr>
                <w:rFonts w:ascii="Arial" w:eastAsia="Times New Roman" w:hAnsi="Arial" w:cs="Arial"/>
                <w:lang w:val="en-GB"/>
              </w:rPr>
            </w:pPr>
            <w:r w:rsidRPr="000A1C6C">
              <w:rPr>
                <w:rFonts w:ascii="Arial" w:eastAsia="Times New Roman" w:hAnsi="Arial" w:cs="Arial"/>
                <w:lang w:val="en-GB"/>
              </w:rPr>
              <w:t>Noted</w:t>
            </w:r>
          </w:p>
        </w:tc>
      </w:tr>
      <w:tr w:rsidR="00A459CC" w:rsidRPr="009D05E3" w14:paraId="0A516A58" w14:textId="77777777" w:rsidTr="00FC2C40">
        <w:tc>
          <w:tcPr>
            <w:tcW w:w="1886" w:type="dxa"/>
          </w:tcPr>
          <w:p w14:paraId="45713772" w14:textId="3F77D655" w:rsidR="00A459CC" w:rsidRPr="000A1C6C" w:rsidRDefault="0046211D" w:rsidP="0046211D">
            <w:pPr>
              <w:spacing w:after="0"/>
              <w:jc w:val="center"/>
              <w:rPr>
                <w:rFonts w:ascii="Arial" w:hAnsi="Arial" w:cs="Arial"/>
                <w:lang w:val="en-GB"/>
              </w:rPr>
            </w:pPr>
            <w:r w:rsidRPr="000A1C6C">
              <w:rPr>
                <w:rFonts w:ascii="Arial" w:hAnsi="Arial" w:cs="Arial"/>
                <w:lang w:val="en-GB"/>
              </w:rPr>
              <w:t>61</w:t>
            </w:r>
          </w:p>
        </w:tc>
        <w:tc>
          <w:tcPr>
            <w:tcW w:w="2078" w:type="dxa"/>
          </w:tcPr>
          <w:p w14:paraId="2368FCB0" w14:textId="0CED2F09" w:rsidR="00A459CC" w:rsidRPr="000A1C6C" w:rsidRDefault="00A459CC" w:rsidP="00A459CC">
            <w:pPr>
              <w:spacing w:after="0" w:line="240" w:lineRule="auto"/>
              <w:rPr>
                <w:rFonts w:ascii="Arial" w:hAnsi="Arial" w:cs="Arial"/>
              </w:rPr>
            </w:pPr>
            <w:r w:rsidRPr="000A1C6C">
              <w:rPr>
                <w:rFonts w:ascii="Arial" w:hAnsi="Arial" w:cs="Arial"/>
              </w:rPr>
              <w:t>MMH</w:t>
            </w:r>
          </w:p>
        </w:tc>
        <w:tc>
          <w:tcPr>
            <w:tcW w:w="2691" w:type="dxa"/>
          </w:tcPr>
          <w:p w14:paraId="0DB2BFDC" w14:textId="2AF80664" w:rsidR="00A459CC" w:rsidRPr="000A1C6C" w:rsidRDefault="00A459CC" w:rsidP="00A459CC">
            <w:pPr>
              <w:keepNext/>
              <w:spacing w:after="0" w:line="240" w:lineRule="auto"/>
              <w:rPr>
                <w:rFonts w:ascii="Arial" w:hAnsi="Arial" w:cs="Arial"/>
              </w:rPr>
            </w:pPr>
            <w:r w:rsidRPr="000A1C6C">
              <w:rPr>
                <w:rFonts w:ascii="Arial" w:hAnsi="Arial" w:cs="Arial"/>
              </w:rPr>
              <w:t>-</w:t>
            </w:r>
          </w:p>
        </w:tc>
        <w:tc>
          <w:tcPr>
            <w:tcW w:w="7903" w:type="dxa"/>
          </w:tcPr>
          <w:p w14:paraId="71D16C7F" w14:textId="0819E3E0" w:rsidR="00A459CC" w:rsidRPr="000A1C6C" w:rsidRDefault="00A459CC" w:rsidP="00A459CC">
            <w:pPr>
              <w:spacing w:after="0" w:line="240" w:lineRule="auto"/>
              <w:rPr>
                <w:rFonts w:ascii="Arial" w:eastAsia="Times New Roman" w:hAnsi="Arial" w:cs="Arial"/>
                <w:lang w:val="en-GB"/>
              </w:rPr>
            </w:pPr>
            <w:r w:rsidRPr="000A1C6C">
              <w:rPr>
                <w:rFonts w:ascii="Arial" w:hAnsi="Arial" w:cs="Arial"/>
                <w:lang w:val="en-GB"/>
              </w:rPr>
              <w:t>No comment</w:t>
            </w:r>
          </w:p>
        </w:tc>
        <w:tc>
          <w:tcPr>
            <w:tcW w:w="6416" w:type="dxa"/>
          </w:tcPr>
          <w:p w14:paraId="4162E754" w14:textId="6447CF08" w:rsidR="00A459CC" w:rsidRPr="000A1C6C" w:rsidRDefault="00A459CC" w:rsidP="00A459CC">
            <w:pPr>
              <w:spacing w:after="0" w:line="240" w:lineRule="auto"/>
              <w:jc w:val="both"/>
              <w:rPr>
                <w:rFonts w:ascii="Arial" w:eastAsia="Times New Roman" w:hAnsi="Arial" w:cs="Arial"/>
                <w:lang w:val="en-GB"/>
              </w:rPr>
            </w:pPr>
            <w:r w:rsidRPr="000A1C6C">
              <w:rPr>
                <w:rFonts w:ascii="Arial" w:eastAsia="Times New Roman" w:hAnsi="Arial" w:cs="Arial"/>
                <w:lang w:val="en-GB"/>
              </w:rPr>
              <w:t>Noted</w:t>
            </w:r>
          </w:p>
        </w:tc>
      </w:tr>
      <w:tr w:rsidR="00A459CC" w:rsidRPr="009D05E3" w14:paraId="205A65A4" w14:textId="77777777" w:rsidTr="00FC2C40">
        <w:tc>
          <w:tcPr>
            <w:tcW w:w="1886" w:type="dxa"/>
            <w:shd w:val="clear" w:color="auto" w:fill="FFFFFF" w:themeFill="background1"/>
          </w:tcPr>
          <w:p w14:paraId="2FABF600" w14:textId="372BEFC2" w:rsidR="00A459CC" w:rsidRPr="000A1C6C" w:rsidRDefault="0046211D" w:rsidP="0046211D">
            <w:pPr>
              <w:spacing w:after="0"/>
              <w:jc w:val="center"/>
              <w:rPr>
                <w:rFonts w:ascii="Arial" w:hAnsi="Arial" w:cs="Arial"/>
                <w:lang w:val="en-GB"/>
              </w:rPr>
            </w:pPr>
            <w:r w:rsidRPr="000A1C6C">
              <w:rPr>
                <w:rFonts w:ascii="Arial" w:hAnsi="Arial" w:cs="Arial"/>
                <w:lang w:val="en-GB"/>
              </w:rPr>
              <w:t>62</w:t>
            </w:r>
          </w:p>
        </w:tc>
        <w:tc>
          <w:tcPr>
            <w:tcW w:w="2078" w:type="dxa"/>
            <w:shd w:val="clear" w:color="auto" w:fill="FFFFFF" w:themeFill="background1"/>
          </w:tcPr>
          <w:p w14:paraId="73092375" w14:textId="023230C2" w:rsidR="00A459CC" w:rsidRPr="000A1C6C" w:rsidRDefault="00A459CC" w:rsidP="00A459CC">
            <w:pPr>
              <w:spacing w:after="0" w:line="240" w:lineRule="auto"/>
              <w:rPr>
                <w:rFonts w:ascii="Arial" w:hAnsi="Arial" w:cs="Arial"/>
              </w:rPr>
            </w:pPr>
            <w:r w:rsidRPr="000A1C6C">
              <w:rPr>
                <w:rFonts w:ascii="Arial" w:hAnsi="Arial" w:cs="Arial"/>
              </w:rPr>
              <w:t>Nedbank</w:t>
            </w:r>
          </w:p>
        </w:tc>
        <w:tc>
          <w:tcPr>
            <w:tcW w:w="2691" w:type="dxa"/>
            <w:shd w:val="clear" w:color="auto" w:fill="FFFFFF" w:themeFill="background1"/>
          </w:tcPr>
          <w:p w14:paraId="40A227F4" w14:textId="7B19D166" w:rsidR="00A459CC" w:rsidRPr="000A1C6C" w:rsidRDefault="00A459CC" w:rsidP="00A459CC">
            <w:pPr>
              <w:keepNext/>
              <w:spacing w:after="0" w:line="240" w:lineRule="auto"/>
              <w:rPr>
                <w:rFonts w:ascii="Arial" w:hAnsi="Arial" w:cs="Arial"/>
              </w:rPr>
            </w:pPr>
            <w:r w:rsidRPr="000A1C6C">
              <w:rPr>
                <w:rFonts w:ascii="Arial" w:hAnsi="Arial" w:cs="Arial"/>
              </w:rPr>
              <w:t>-</w:t>
            </w:r>
          </w:p>
        </w:tc>
        <w:tc>
          <w:tcPr>
            <w:tcW w:w="7903" w:type="dxa"/>
            <w:shd w:val="clear" w:color="auto" w:fill="FFFFFF" w:themeFill="background1"/>
          </w:tcPr>
          <w:p w14:paraId="27E39D93" w14:textId="28833D74" w:rsidR="00A459CC" w:rsidRPr="000A1C6C" w:rsidRDefault="00A459CC" w:rsidP="00A459CC">
            <w:pPr>
              <w:spacing w:after="0" w:line="240" w:lineRule="auto"/>
              <w:rPr>
                <w:rFonts w:ascii="Arial" w:eastAsia="Times New Roman" w:hAnsi="Arial" w:cs="Arial"/>
                <w:lang w:val="en-GB"/>
              </w:rPr>
            </w:pPr>
            <w:r w:rsidRPr="000A1C6C">
              <w:rPr>
                <w:rFonts w:ascii="Arial" w:hAnsi="Arial" w:cs="Arial"/>
                <w:lang w:val="en-GB"/>
              </w:rPr>
              <w:t>No comment</w:t>
            </w:r>
          </w:p>
        </w:tc>
        <w:tc>
          <w:tcPr>
            <w:tcW w:w="6416" w:type="dxa"/>
            <w:shd w:val="clear" w:color="auto" w:fill="FFFFFF" w:themeFill="background1"/>
          </w:tcPr>
          <w:p w14:paraId="6220D363" w14:textId="4DD9474F" w:rsidR="00A459CC" w:rsidRPr="000A1C6C" w:rsidRDefault="00A459CC" w:rsidP="00A459CC">
            <w:pPr>
              <w:spacing w:after="0" w:line="240" w:lineRule="auto"/>
              <w:jc w:val="both"/>
              <w:rPr>
                <w:rFonts w:ascii="Arial" w:eastAsia="Times New Roman" w:hAnsi="Arial" w:cs="Arial"/>
                <w:lang w:val="en-GB"/>
              </w:rPr>
            </w:pPr>
            <w:r w:rsidRPr="000A1C6C">
              <w:rPr>
                <w:rFonts w:ascii="Arial" w:eastAsia="Times New Roman" w:hAnsi="Arial" w:cs="Arial"/>
                <w:lang w:val="en-GB"/>
              </w:rPr>
              <w:t>Noted</w:t>
            </w:r>
          </w:p>
        </w:tc>
      </w:tr>
      <w:tr w:rsidR="00A459CC" w:rsidRPr="009D05E3" w14:paraId="74185225" w14:textId="77777777" w:rsidTr="00515BD8">
        <w:tc>
          <w:tcPr>
            <w:tcW w:w="1886" w:type="dxa"/>
            <w:shd w:val="clear" w:color="auto" w:fill="auto"/>
          </w:tcPr>
          <w:p w14:paraId="1D3254C1" w14:textId="4458D795" w:rsidR="00A459CC" w:rsidRPr="000A1C6C" w:rsidRDefault="0046211D" w:rsidP="0046211D">
            <w:pPr>
              <w:spacing w:after="0"/>
              <w:jc w:val="center"/>
              <w:rPr>
                <w:rFonts w:ascii="Arial" w:hAnsi="Arial" w:cs="Arial"/>
                <w:lang w:val="en-GB"/>
              </w:rPr>
            </w:pPr>
            <w:r w:rsidRPr="000A1C6C">
              <w:rPr>
                <w:rFonts w:ascii="Arial" w:hAnsi="Arial" w:cs="Arial"/>
                <w:lang w:val="en-GB"/>
              </w:rPr>
              <w:t>63</w:t>
            </w:r>
          </w:p>
        </w:tc>
        <w:tc>
          <w:tcPr>
            <w:tcW w:w="2078" w:type="dxa"/>
            <w:shd w:val="clear" w:color="auto" w:fill="FFFFFF" w:themeFill="background1"/>
          </w:tcPr>
          <w:p w14:paraId="2EEA2E74" w14:textId="5A8536B3" w:rsidR="00A459CC" w:rsidRPr="000A1C6C" w:rsidRDefault="00A459CC" w:rsidP="00A459CC">
            <w:pPr>
              <w:spacing w:after="0" w:line="240" w:lineRule="auto"/>
              <w:rPr>
                <w:rFonts w:ascii="Arial" w:hAnsi="Arial" w:cs="Arial"/>
              </w:rPr>
            </w:pPr>
            <w:r w:rsidRPr="000A1C6C">
              <w:rPr>
                <w:rFonts w:ascii="Arial" w:hAnsi="Arial" w:cs="Arial"/>
              </w:rPr>
              <w:t>BASA</w:t>
            </w:r>
          </w:p>
        </w:tc>
        <w:tc>
          <w:tcPr>
            <w:tcW w:w="2691" w:type="dxa"/>
            <w:shd w:val="clear" w:color="auto" w:fill="FFFFFF" w:themeFill="background1"/>
          </w:tcPr>
          <w:p w14:paraId="7E7BF393" w14:textId="2B457125" w:rsidR="00A459CC" w:rsidRPr="000A1C6C" w:rsidRDefault="00A459CC" w:rsidP="00A459CC">
            <w:pPr>
              <w:keepNext/>
              <w:spacing w:after="0" w:line="240" w:lineRule="auto"/>
              <w:rPr>
                <w:rFonts w:ascii="Arial" w:hAnsi="Arial" w:cs="Arial"/>
              </w:rPr>
            </w:pPr>
            <w:r w:rsidRPr="000A1C6C">
              <w:rPr>
                <w:rFonts w:ascii="Arial" w:hAnsi="Arial" w:cs="Arial"/>
                <w:bCs/>
              </w:rPr>
              <w:t>7.4 and 8.6</w:t>
            </w:r>
          </w:p>
        </w:tc>
        <w:tc>
          <w:tcPr>
            <w:tcW w:w="7903" w:type="dxa"/>
            <w:shd w:val="clear" w:color="auto" w:fill="auto"/>
          </w:tcPr>
          <w:p w14:paraId="22127355" w14:textId="77777777" w:rsidR="00A459CC" w:rsidRPr="000A1C6C" w:rsidRDefault="00A459CC" w:rsidP="00A459CC">
            <w:pPr>
              <w:spacing w:after="0" w:line="240" w:lineRule="auto"/>
              <w:rPr>
                <w:rFonts w:ascii="Arial" w:hAnsi="Arial" w:cs="Arial"/>
                <w:lang w:val="en-GB"/>
              </w:rPr>
            </w:pPr>
            <w:r w:rsidRPr="000A1C6C">
              <w:rPr>
                <w:rFonts w:ascii="Arial" w:hAnsi="Arial" w:cs="Arial"/>
                <w:lang w:val="en-GB"/>
              </w:rPr>
              <w:t xml:space="preserve">This paragraph indicates that the financial institutions will be responsible for drafting the “transfer playbook”. This will create a more onerous burden than is required, unless the “Resolution Plan” is shared with the institution and scenarios that do not need to be catered for can be excluded. </w:t>
            </w:r>
          </w:p>
          <w:p w14:paraId="49471A8E" w14:textId="38DF4405" w:rsidR="00A459CC" w:rsidRPr="000A1C6C" w:rsidRDefault="00A459CC" w:rsidP="00A459CC">
            <w:pPr>
              <w:spacing w:after="0" w:line="240" w:lineRule="auto"/>
              <w:rPr>
                <w:rFonts w:ascii="Arial" w:hAnsi="Arial" w:cs="Arial"/>
              </w:rPr>
            </w:pPr>
            <w:r w:rsidRPr="00894FB5">
              <w:rPr>
                <w:rFonts w:ascii="Arial" w:hAnsi="Arial" w:cs="Arial"/>
                <w:bCs/>
              </w:rPr>
              <w:t xml:space="preserve">The OCIR discussion paper indicates that there will be a “OCIR playbook”, yet the contents thereof are listed as a portion of the “transfer playbook”. </w:t>
            </w:r>
            <w:r w:rsidRPr="00894FB5">
              <w:rPr>
                <w:rFonts w:ascii="Arial" w:hAnsi="Arial" w:cs="Arial"/>
                <w:b/>
              </w:rPr>
              <w:t>Clarify</w:t>
            </w:r>
            <w:r w:rsidRPr="00894FB5">
              <w:rPr>
                <w:rFonts w:ascii="Arial" w:hAnsi="Arial" w:cs="Arial"/>
                <w:bCs/>
              </w:rPr>
              <w:t xml:space="preserve"> (</w:t>
            </w:r>
            <w:proofErr w:type="spellStart"/>
            <w:r w:rsidRPr="00894FB5">
              <w:rPr>
                <w:rFonts w:ascii="Arial" w:hAnsi="Arial" w:cs="Arial"/>
                <w:bCs/>
              </w:rPr>
              <w:t>i</w:t>
            </w:r>
            <w:proofErr w:type="spellEnd"/>
            <w:r w:rsidRPr="00894FB5">
              <w:rPr>
                <w:rFonts w:ascii="Arial" w:hAnsi="Arial" w:cs="Arial"/>
                <w:bCs/>
              </w:rPr>
              <w:t>) what playbooks will need to be drafted or if institutions can look at what is appropriate to them under the supervision of the Resolution Authority (ii) how the “transfer” “OCIR” playbooks are meant to interact if different documents are expected for both.</w:t>
            </w:r>
          </w:p>
        </w:tc>
        <w:tc>
          <w:tcPr>
            <w:tcW w:w="6416" w:type="dxa"/>
            <w:shd w:val="clear" w:color="auto" w:fill="auto"/>
          </w:tcPr>
          <w:p w14:paraId="7C2A9646" w14:textId="14FF0E07" w:rsidR="00F318CB" w:rsidRDefault="00F318CB" w:rsidP="00A459CC">
            <w:pPr>
              <w:spacing w:after="0" w:line="240" w:lineRule="auto"/>
              <w:jc w:val="both"/>
              <w:rPr>
                <w:rFonts w:ascii="Arial" w:eastAsia="Times New Roman" w:hAnsi="Arial" w:cs="Arial"/>
                <w:lang w:val="en-GB"/>
              </w:rPr>
            </w:pPr>
            <w:r w:rsidRPr="00C5199F">
              <w:rPr>
                <w:rFonts w:ascii="Arial" w:eastAsia="Times New Roman" w:hAnsi="Arial" w:cs="Arial"/>
                <w:lang w:val="en-GB"/>
              </w:rPr>
              <w:t>Designated institutions will</w:t>
            </w:r>
            <w:r>
              <w:rPr>
                <w:rFonts w:ascii="Arial" w:eastAsia="Times New Roman" w:hAnsi="Arial" w:cs="Arial"/>
                <w:lang w:val="en-GB"/>
              </w:rPr>
              <w:t xml:space="preserve"> be informed by the </w:t>
            </w:r>
            <w:r w:rsidR="00873D81">
              <w:rPr>
                <w:rFonts w:ascii="Arial" w:eastAsia="Times New Roman" w:hAnsi="Arial" w:cs="Arial"/>
                <w:lang w:val="en-GB"/>
              </w:rPr>
              <w:t>Reserve Bank</w:t>
            </w:r>
            <w:r>
              <w:rPr>
                <w:rFonts w:ascii="Arial" w:eastAsia="Times New Roman" w:hAnsi="Arial" w:cs="Arial"/>
                <w:lang w:val="en-GB"/>
              </w:rPr>
              <w:t xml:space="preserve">, </w:t>
            </w:r>
            <w:r w:rsidRPr="00C5199F">
              <w:rPr>
                <w:rFonts w:ascii="Arial" w:eastAsia="Times New Roman" w:hAnsi="Arial" w:cs="Arial"/>
                <w:lang w:val="en-GB"/>
              </w:rPr>
              <w:t xml:space="preserve">during the resolution planning phase whether the </w:t>
            </w:r>
            <w:r w:rsidR="00873D81">
              <w:rPr>
                <w:rFonts w:ascii="Arial" w:eastAsia="Times New Roman" w:hAnsi="Arial" w:cs="Arial"/>
                <w:lang w:val="en-GB"/>
              </w:rPr>
              <w:t>Reserve Bank</w:t>
            </w:r>
            <w:r w:rsidRPr="00C5199F">
              <w:rPr>
                <w:rFonts w:ascii="Arial" w:eastAsia="Times New Roman" w:hAnsi="Arial" w:cs="Arial"/>
                <w:lang w:val="en-GB"/>
              </w:rPr>
              <w:t xml:space="preserve"> intend</w:t>
            </w:r>
            <w:r>
              <w:rPr>
                <w:rFonts w:ascii="Arial" w:eastAsia="Times New Roman" w:hAnsi="Arial" w:cs="Arial"/>
                <w:lang w:val="en-GB"/>
              </w:rPr>
              <w:t>s</w:t>
            </w:r>
            <w:r w:rsidRPr="00C5199F">
              <w:rPr>
                <w:rFonts w:ascii="Arial" w:eastAsia="Times New Roman" w:hAnsi="Arial" w:cs="Arial"/>
                <w:lang w:val="en-GB"/>
              </w:rPr>
              <w:t xml:space="preserve"> on using transfer tool</w:t>
            </w:r>
            <w:r w:rsidR="00BD4043">
              <w:rPr>
                <w:rFonts w:ascii="Arial" w:eastAsia="Times New Roman" w:hAnsi="Arial" w:cs="Arial"/>
                <w:lang w:val="en-GB"/>
              </w:rPr>
              <w:t>(s)</w:t>
            </w:r>
            <w:r w:rsidRPr="00C5199F">
              <w:rPr>
                <w:rFonts w:ascii="Arial" w:eastAsia="Times New Roman" w:hAnsi="Arial" w:cs="Arial"/>
                <w:lang w:val="en-GB"/>
              </w:rPr>
              <w:t xml:space="preserve"> as part of the </w:t>
            </w:r>
            <w:r w:rsidR="00BD4043">
              <w:rPr>
                <w:rFonts w:ascii="Arial" w:eastAsia="Times New Roman" w:hAnsi="Arial" w:cs="Arial"/>
                <w:lang w:val="en-GB"/>
              </w:rPr>
              <w:t xml:space="preserve">resolution </w:t>
            </w:r>
            <w:r w:rsidRPr="00C5199F">
              <w:rPr>
                <w:rFonts w:ascii="Arial" w:eastAsia="Times New Roman" w:hAnsi="Arial" w:cs="Arial"/>
                <w:lang w:val="en-GB"/>
              </w:rPr>
              <w:t>strategy</w:t>
            </w:r>
            <w:r>
              <w:rPr>
                <w:rFonts w:ascii="Arial" w:eastAsia="Times New Roman" w:hAnsi="Arial" w:cs="Arial"/>
                <w:lang w:val="en-GB"/>
              </w:rPr>
              <w:t xml:space="preserve"> for that institution</w:t>
            </w:r>
            <w:r w:rsidR="00C40A83">
              <w:rPr>
                <w:rFonts w:ascii="Arial" w:eastAsia="Times New Roman" w:hAnsi="Arial" w:cs="Arial"/>
                <w:lang w:val="en-GB"/>
              </w:rPr>
              <w:t xml:space="preserve"> (and the extent of the use of that tool in the resolution strategy)</w:t>
            </w:r>
            <w:r w:rsidR="00EC6FCD">
              <w:rPr>
                <w:rFonts w:ascii="Arial" w:eastAsia="Times New Roman" w:hAnsi="Arial" w:cs="Arial"/>
                <w:lang w:val="en-GB"/>
              </w:rPr>
              <w:t>.</w:t>
            </w:r>
          </w:p>
          <w:p w14:paraId="44DCC4E1" w14:textId="77777777" w:rsidR="00F318CB" w:rsidRDefault="00F318CB" w:rsidP="00A459CC">
            <w:pPr>
              <w:spacing w:after="0" w:line="240" w:lineRule="auto"/>
              <w:jc w:val="both"/>
              <w:rPr>
                <w:rFonts w:ascii="Arial" w:eastAsia="Times New Roman" w:hAnsi="Arial" w:cs="Arial"/>
                <w:lang w:val="en-GB"/>
              </w:rPr>
            </w:pPr>
          </w:p>
          <w:p w14:paraId="47D2912D" w14:textId="52901C16" w:rsidR="00FD2E57" w:rsidRPr="000A1C6C" w:rsidRDefault="00FD2E57" w:rsidP="00564E3D">
            <w:pPr>
              <w:spacing w:after="0" w:line="240" w:lineRule="auto"/>
              <w:jc w:val="both"/>
              <w:rPr>
                <w:rFonts w:ascii="Arial" w:eastAsia="Times New Roman" w:hAnsi="Arial" w:cs="Arial"/>
                <w:lang w:val="en-GB"/>
              </w:rPr>
            </w:pPr>
            <w:r>
              <w:rPr>
                <w:rFonts w:ascii="Arial" w:eastAsia="Times New Roman" w:hAnsi="Arial" w:cs="Arial"/>
                <w:lang w:val="en-GB"/>
              </w:rPr>
              <w:t xml:space="preserve">Where there are similar requirements between this Standard and other Standards to </w:t>
            </w:r>
            <w:r w:rsidR="00CE5BE9">
              <w:rPr>
                <w:rFonts w:ascii="Arial" w:eastAsia="Times New Roman" w:hAnsi="Arial" w:cs="Arial"/>
                <w:lang w:val="en-GB"/>
              </w:rPr>
              <w:t>follow</w:t>
            </w:r>
            <w:r>
              <w:rPr>
                <w:rFonts w:ascii="Arial" w:eastAsia="Times New Roman" w:hAnsi="Arial" w:cs="Arial"/>
                <w:lang w:val="en-GB"/>
              </w:rPr>
              <w:t xml:space="preserve"> such as the</w:t>
            </w:r>
            <w:r w:rsidR="00564E3D">
              <w:rPr>
                <w:rFonts w:ascii="Arial" w:eastAsia="Times New Roman" w:hAnsi="Arial" w:cs="Arial"/>
                <w:lang w:val="en-GB"/>
              </w:rPr>
              <w:t xml:space="preserve"> Operational Continuity in Resolution (</w:t>
            </w:r>
            <w:r>
              <w:rPr>
                <w:rFonts w:ascii="Arial" w:eastAsia="Times New Roman" w:hAnsi="Arial" w:cs="Arial"/>
                <w:lang w:val="en-GB"/>
              </w:rPr>
              <w:t>OCIR</w:t>
            </w:r>
            <w:r w:rsidR="00564E3D">
              <w:rPr>
                <w:rFonts w:ascii="Arial" w:eastAsia="Times New Roman" w:hAnsi="Arial" w:cs="Arial"/>
                <w:lang w:val="en-GB"/>
              </w:rPr>
              <w:t xml:space="preserve">), </w:t>
            </w:r>
            <w:r w:rsidR="00CE5BE9">
              <w:rPr>
                <w:rFonts w:ascii="Arial" w:eastAsia="Times New Roman" w:hAnsi="Arial" w:cs="Arial"/>
                <w:lang w:val="en-GB"/>
              </w:rPr>
              <w:t>designated</w:t>
            </w:r>
            <w:r>
              <w:rPr>
                <w:rFonts w:ascii="Arial" w:eastAsia="Times New Roman" w:hAnsi="Arial" w:cs="Arial"/>
                <w:lang w:val="en-GB"/>
              </w:rPr>
              <w:t xml:space="preserve"> institutions will not be expected to duplicate efforts</w:t>
            </w:r>
            <w:r w:rsidR="00564E3D">
              <w:rPr>
                <w:rFonts w:ascii="Arial" w:eastAsia="Times New Roman" w:hAnsi="Arial" w:cs="Arial"/>
                <w:lang w:val="en-GB"/>
              </w:rPr>
              <w:t>.</w:t>
            </w:r>
          </w:p>
        </w:tc>
      </w:tr>
      <w:tr w:rsidR="00A459CC" w:rsidRPr="009D05E3" w14:paraId="45C1F5A5" w14:textId="3D3EDD32" w:rsidTr="00532AB8">
        <w:trPr>
          <w:trHeight w:val="279"/>
        </w:trPr>
        <w:tc>
          <w:tcPr>
            <w:tcW w:w="20974" w:type="dxa"/>
            <w:gridSpan w:val="5"/>
            <w:shd w:val="clear" w:color="auto" w:fill="D9D9D9" w:themeFill="background1" w:themeFillShade="D9"/>
          </w:tcPr>
          <w:p w14:paraId="2FB88A00" w14:textId="10896F48" w:rsidR="00A459CC" w:rsidRPr="00532AB8" w:rsidRDefault="00532AB8" w:rsidP="00515BD8">
            <w:pPr>
              <w:spacing w:after="0"/>
              <w:jc w:val="center"/>
              <w:rPr>
                <w:rFonts w:ascii="Arial" w:hAnsi="Arial" w:cs="Arial"/>
                <w:b/>
                <w:sz w:val="32"/>
                <w:szCs w:val="32"/>
                <w:lang w:val="en-GB"/>
              </w:rPr>
            </w:pPr>
            <w:r>
              <w:rPr>
                <w:rFonts w:ascii="Arial" w:hAnsi="Arial" w:cs="Arial"/>
                <w:b/>
                <w:sz w:val="32"/>
                <w:szCs w:val="32"/>
                <w:lang w:val="en-GB"/>
              </w:rPr>
              <w:t>8.</w:t>
            </w:r>
            <w:r w:rsidR="00A459CC" w:rsidRPr="00532AB8">
              <w:rPr>
                <w:rFonts w:ascii="Arial" w:hAnsi="Arial" w:cs="Arial"/>
                <w:b/>
                <w:sz w:val="32"/>
                <w:szCs w:val="32"/>
                <w:lang w:val="en-GB"/>
              </w:rPr>
              <w:t>Requirements</w:t>
            </w:r>
          </w:p>
        </w:tc>
      </w:tr>
      <w:tr w:rsidR="00A459CC" w:rsidRPr="009D05E3" w14:paraId="55E3F1B3" w14:textId="5592FCBD" w:rsidTr="00C91BD9">
        <w:tc>
          <w:tcPr>
            <w:tcW w:w="1886" w:type="dxa"/>
            <w:shd w:val="clear" w:color="auto" w:fill="auto"/>
          </w:tcPr>
          <w:p w14:paraId="3CF9A617" w14:textId="7D1F8C67" w:rsidR="00A459CC" w:rsidRPr="000A1C6C" w:rsidRDefault="0046211D" w:rsidP="008C3A29">
            <w:pPr>
              <w:spacing w:after="0"/>
              <w:jc w:val="center"/>
              <w:rPr>
                <w:rFonts w:ascii="Arial" w:hAnsi="Arial" w:cs="Arial"/>
                <w:lang w:val="en-GB"/>
              </w:rPr>
            </w:pPr>
            <w:r w:rsidRPr="000A1C6C">
              <w:rPr>
                <w:rFonts w:ascii="Arial" w:hAnsi="Arial" w:cs="Arial"/>
                <w:lang w:val="en-GB"/>
              </w:rPr>
              <w:t>64</w:t>
            </w:r>
          </w:p>
        </w:tc>
        <w:tc>
          <w:tcPr>
            <w:tcW w:w="2078" w:type="dxa"/>
            <w:shd w:val="clear" w:color="auto" w:fill="auto"/>
          </w:tcPr>
          <w:p w14:paraId="744EBCF5" w14:textId="2722C095" w:rsidR="00A459CC" w:rsidRPr="000A1C6C" w:rsidRDefault="00A459CC" w:rsidP="00A459CC">
            <w:pPr>
              <w:spacing w:after="0" w:line="240" w:lineRule="auto"/>
              <w:jc w:val="both"/>
              <w:rPr>
                <w:rFonts w:ascii="Arial" w:hAnsi="Arial" w:cs="Arial"/>
                <w:lang w:val="en-GB"/>
              </w:rPr>
            </w:pPr>
            <w:r w:rsidRPr="000A1C6C">
              <w:rPr>
                <w:rFonts w:ascii="Arial" w:hAnsi="Arial" w:cs="Arial"/>
              </w:rPr>
              <w:t>CLS</w:t>
            </w:r>
          </w:p>
        </w:tc>
        <w:tc>
          <w:tcPr>
            <w:tcW w:w="2691" w:type="dxa"/>
            <w:shd w:val="clear" w:color="auto" w:fill="auto"/>
          </w:tcPr>
          <w:p w14:paraId="097A711D" w14:textId="77777777" w:rsidR="00A459CC" w:rsidRPr="000A1C6C" w:rsidRDefault="00A459CC" w:rsidP="00A459CC">
            <w:pPr>
              <w:spacing w:after="0" w:line="240" w:lineRule="auto"/>
              <w:jc w:val="both"/>
              <w:rPr>
                <w:rFonts w:ascii="Arial" w:hAnsi="Arial" w:cs="Arial"/>
                <w:lang w:val="en-GB"/>
              </w:rPr>
            </w:pPr>
            <w:r w:rsidRPr="000A1C6C">
              <w:rPr>
                <w:rFonts w:ascii="Arial" w:hAnsi="Arial" w:cs="Arial"/>
                <w:lang w:val="en-GB"/>
              </w:rPr>
              <w:t>8.2(c)(v)</w:t>
            </w:r>
          </w:p>
          <w:p w14:paraId="50659074" w14:textId="2196F6EB" w:rsidR="00A459CC" w:rsidRPr="000A1C6C" w:rsidRDefault="00A459CC" w:rsidP="00A459CC">
            <w:pPr>
              <w:spacing w:after="0" w:line="240" w:lineRule="auto"/>
              <w:jc w:val="both"/>
              <w:rPr>
                <w:rFonts w:ascii="Arial" w:hAnsi="Arial" w:cs="Arial"/>
                <w:lang w:val="en-GB"/>
              </w:rPr>
            </w:pPr>
            <w:r w:rsidRPr="000A1C6C">
              <w:rPr>
                <w:rFonts w:ascii="Arial" w:hAnsi="Arial" w:cs="Arial"/>
                <w:lang w:val="en-GB"/>
              </w:rPr>
              <w:t>As a new insertion</w:t>
            </w:r>
          </w:p>
        </w:tc>
        <w:tc>
          <w:tcPr>
            <w:tcW w:w="7903" w:type="dxa"/>
            <w:shd w:val="clear" w:color="auto" w:fill="auto"/>
          </w:tcPr>
          <w:p w14:paraId="34C8EE88" w14:textId="77777777" w:rsidR="00A459CC" w:rsidRPr="000A1C6C" w:rsidRDefault="00A459CC" w:rsidP="00A459CC">
            <w:pPr>
              <w:spacing w:after="120"/>
              <w:rPr>
                <w:rFonts w:ascii="Arial" w:hAnsi="Arial" w:cs="Arial"/>
                <w:bCs/>
              </w:rPr>
            </w:pPr>
            <w:r w:rsidRPr="000A1C6C">
              <w:rPr>
                <w:rFonts w:ascii="Arial" w:hAnsi="Arial" w:cs="Arial"/>
                <w:bCs/>
              </w:rPr>
              <w:t>The following further sub-paragraph is proposed:</w:t>
            </w:r>
          </w:p>
          <w:p w14:paraId="0B159438" w14:textId="1B739680" w:rsidR="00A459CC" w:rsidRPr="000A1C6C" w:rsidRDefault="00A459CC" w:rsidP="00A459CC">
            <w:pPr>
              <w:pStyle w:val="ListParagraph"/>
              <w:ind w:left="360"/>
              <w:jc w:val="both"/>
              <w:rPr>
                <w:rFonts w:ascii="Arial" w:hAnsi="Arial" w:cs="Arial"/>
                <w:lang w:val="en-GB"/>
              </w:rPr>
            </w:pPr>
            <w:r w:rsidRPr="00F60F23">
              <w:rPr>
                <w:rFonts w:ascii="Arial" w:hAnsi="Arial" w:cs="Arial"/>
                <w:bCs/>
              </w:rPr>
              <w:t>"</w:t>
            </w:r>
            <w:proofErr w:type="gramStart"/>
            <w:r w:rsidRPr="00F60F23">
              <w:rPr>
                <w:rFonts w:ascii="Arial" w:hAnsi="Arial" w:cs="Arial"/>
                <w:bCs/>
                <w:i/>
                <w:iCs/>
              </w:rPr>
              <w:t>any</w:t>
            </w:r>
            <w:proofErr w:type="gramEnd"/>
            <w:r w:rsidRPr="00F60F23">
              <w:rPr>
                <w:rFonts w:ascii="Arial" w:hAnsi="Arial" w:cs="Arial"/>
                <w:bCs/>
                <w:i/>
                <w:iCs/>
              </w:rPr>
              <w:t xml:space="preserve"> settlement obligations in the settlement system and any obligations owed to </w:t>
            </w:r>
            <w:r w:rsidRPr="00F60F23">
              <w:rPr>
                <w:rFonts w:ascii="Arial" w:eastAsia="Times New Roman" w:hAnsi="Arial" w:cs="Arial"/>
                <w:i/>
                <w:iCs/>
              </w:rPr>
              <w:t>designated settlement systems"</w:t>
            </w:r>
          </w:p>
        </w:tc>
        <w:tc>
          <w:tcPr>
            <w:tcW w:w="6416" w:type="dxa"/>
            <w:shd w:val="clear" w:color="auto" w:fill="auto"/>
          </w:tcPr>
          <w:p w14:paraId="5FDC1B04" w14:textId="2E69D310" w:rsidR="00AA0D93" w:rsidRDefault="00763794" w:rsidP="00A459CC">
            <w:pPr>
              <w:jc w:val="both"/>
              <w:rPr>
                <w:rFonts w:ascii="Arial" w:hAnsi="Arial" w:cs="Arial"/>
                <w:lang w:val="en-GB"/>
              </w:rPr>
            </w:pPr>
            <w:r>
              <w:rPr>
                <w:rFonts w:ascii="Arial" w:hAnsi="Arial" w:cs="Arial"/>
                <w:lang w:val="en-GB"/>
              </w:rPr>
              <w:t xml:space="preserve">The </w:t>
            </w:r>
            <w:r w:rsidR="00DA560E">
              <w:rPr>
                <w:rFonts w:ascii="Arial" w:hAnsi="Arial" w:cs="Arial"/>
                <w:lang w:val="en-GB"/>
              </w:rPr>
              <w:t>Authorities</w:t>
            </w:r>
            <w:r>
              <w:rPr>
                <w:rFonts w:ascii="Arial" w:hAnsi="Arial" w:cs="Arial"/>
                <w:lang w:val="en-GB"/>
              </w:rPr>
              <w:t xml:space="preserve"> </w:t>
            </w:r>
            <w:r w:rsidR="0096523F">
              <w:rPr>
                <w:rFonts w:ascii="Arial" w:hAnsi="Arial" w:cs="Arial"/>
                <w:lang w:val="en-GB"/>
              </w:rPr>
              <w:t xml:space="preserve">agree with the recommendation </w:t>
            </w:r>
            <w:r w:rsidR="00155C50">
              <w:rPr>
                <w:rFonts w:ascii="Arial" w:hAnsi="Arial" w:cs="Arial"/>
                <w:lang w:val="en-GB"/>
              </w:rPr>
              <w:t>and</w:t>
            </w:r>
            <w:r w:rsidR="0096523F">
              <w:rPr>
                <w:rFonts w:ascii="Arial" w:hAnsi="Arial" w:cs="Arial"/>
                <w:lang w:val="en-GB"/>
              </w:rPr>
              <w:t xml:space="preserve"> </w:t>
            </w:r>
            <w:r w:rsidR="00F60F23">
              <w:rPr>
                <w:rFonts w:ascii="Arial" w:hAnsi="Arial" w:cs="Arial"/>
                <w:lang w:val="en-GB"/>
              </w:rPr>
              <w:t>ha</w:t>
            </w:r>
            <w:r w:rsidR="00312DCF">
              <w:rPr>
                <w:rFonts w:ascii="Arial" w:hAnsi="Arial" w:cs="Arial"/>
                <w:lang w:val="en-GB"/>
              </w:rPr>
              <w:t>ve</w:t>
            </w:r>
            <w:r w:rsidR="00F60F23">
              <w:rPr>
                <w:rFonts w:ascii="Arial" w:hAnsi="Arial" w:cs="Arial"/>
                <w:lang w:val="en-GB"/>
              </w:rPr>
              <w:t xml:space="preserve"> added 8</w:t>
            </w:r>
            <w:r w:rsidR="00AA0D93">
              <w:rPr>
                <w:rFonts w:ascii="Arial" w:hAnsi="Arial" w:cs="Arial"/>
                <w:lang w:val="en-GB"/>
              </w:rPr>
              <w:t xml:space="preserve">.2(c)(v) </w:t>
            </w:r>
            <w:r w:rsidR="00155C50">
              <w:rPr>
                <w:rFonts w:ascii="Arial" w:hAnsi="Arial" w:cs="Arial"/>
                <w:lang w:val="en-GB"/>
              </w:rPr>
              <w:t>to the list of financial interconnections for designated institutions to identify.</w:t>
            </w:r>
          </w:p>
          <w:p w14:paraId="5AB27C0A" w14:textId="5F1D832E" w:rsidR="00AA0D93" w:rsidRDefault="00E42F1B" w:rsidP="00A459CC">
            <w:pPr>
              <w:jc w:val="both"/>
              <w:rPr>
                <w:rFonts w:ascii="Arial" w:hAnsi="Arial" w:cs="Arial"/>
                <w:lang w:val="en-GB"/>
              </w:rPr>
            </w:pPr>
            <w:r>
              <w:rPr>
                <w:rFonts w:ascii="Arial" w:hAnsi="Arial" w:cs="Arial"/>
                <w:lang w:val="en-GB"/>
              </w:rPr>
              <w:t xml:space="preserve">The new insertion </w:t>
            </w:r>
            <w:r w:rsidR="00155C50">
              <w:rPr>
                <w:rFonts w:ascii="Arial" w:hAnsi="Arial" w:cs="Arial"/>
                <w:lang w:val="en-GB"/>
              </w:rPr>
              <w:t>reads as follows:</w:t>
            </w:r>
          </w:p>
          <w:p w14:paraId="02F6B73B" w14:textId="75C02498" w:rsidR="00154747" w:rsidRPr="00763794" w:rsidRDefault="009E34E2" w:rsidP="00A459CC">
            <w:pPr>
              <w:jc w:val="both"/>
              <w:rPr>
                <w:rFonts w:ascii="Arial" w:hAnsi="Arial" w:cs="Arial"/>
                <w:lang w:val="en-GB"/>
              </w:rPr>
            </w:pPr>
            <w:r>
              <w:rPr>
                <w:rFonts w:ascii="Arial" w:hAnsi="Arial" w:cs="Arial"/>
                <w:lang w:val="en-GB"/>
              </w:rPr>
              <w:t>“</w:t>
            </w:r>
            <w:proofErr w:type="gramStart"/>
            <w:r w:rsidR="00411FCE" w:rsidRPr="00763794">
              <w:rPr>
                <w:rFonts w:ascii="Arial" w:hAnsi="Arial" w:cs="Arial"/>
                <w:lang w:val="en-GB"/>
              </w:rPr>
              <w:t>any</w:t>
            </w:r>
            <w:proofErr w:type="gramEnd"/>
            <w:r w:rsidR="00411FCE" w:rsidRPr="00763794">
              <w:rPr>
                <w:rFonts w:ascii="Arial" w:hAnsi="Arial" w:cs="Arial"/>
                <w:lang w:val="en-GB"/>
              </w:rPr>
              <w:t xml:space="preserve"> settlement obligations in </w:t>
            </w:r>
            <w:r w:rsidR="009479CE">
              <w:rPr>
                <w:rFonts w:ascii="Arial" w:hAnsi="Arial" w:cs="Arial"/>
                <w:lang w:val="en-GB"/>
              </w:rPr>
              <w:t>a</w:t>
            </w:r>
            <w:r w:rsidR="00411FCE" w:rsidRPr="00763794">
              <w:rPr>
                <w:rFonts w:ascii="Arial" w:hAnsi="Arial" w:cs="Arial"/>
                <w:lang w:val="en-GB"/>
              </w:rPr>
              <w:t xml:space="preserve"> settlement system and any obligations </w:t>
            </w:r>
            <w:r w:rsidR="009479CE">
              <w:rPr>
                <w:rFonts w:ascii="Arial" w:hAnsi="Arial" w:cs="Arial"/>
                <w:lang w:val="en-GB"/>
              </w:rPr>
              <w:t>due to a</w:t>
            </w:r>
            <w:r w:rsidR="00411FCE" w:rsidRPr="00155C50">
              <w:rPr>
                <w:rFonts w:ascii="Arial" w:hAnsi="Arial" w:cs="Arial"/>
                <w:lang w:val="en-GB"/>
              </w:rPr>
              <w:t xml:space="preserve"> designated </w:t>
            </w:r>
            <w:r w:rsidR="009479CE">
              <w:rPr>
                <w:rFonts w:ascii="Arial" w:hAnsi="Arial" w:cs="Arial"/>
                <w:lang w:val="en-GB"/>
              </w:rPr>
              <w:t>settlement</w:t>
            </w:r>
            <w:r w:rsidR="00411FCE" w:rsidRPr="00763794">
              <w:rPr>
                <w:rFonts w:ascii="Arial" w:hAnsi="Arial" w:cs="Arial"/>
                <w:lang w:val="en-GB"/>
              </w:rPr>
              <w:t xml:space="preserve"> system</w:t>
            </w:r>
            <w:r>
              <w:rPr>
                <w:rFonts w:ascii="Arial" w:hAnsi="Arial" w:cs="Arial"/>
                <w:lang w:val="en-GB"/>
              </w:rPr>
              <w:t>”</w:t>
            </w:r>
            <w:r w:rsidR="00DB44D5" w:rsidRPr="00763794">
              <w:rPr>
                <w:rFonts w:ascii="Arial" w:hAnsi="Arial" w:cs="Arial"/>
                <w:lang w:val="en-GB"/>
              </w:rPr>
              <w:t>.</w:t>
            </w:r>
          </w:p>
        </w:tc>
      </w:tr>
      <w:tr w:rsidR="00A459CC" w:rsidRPr="009D05E3" w14:paraId="55E46A8C" w14:textId="77777777" w:rsidTr="00515BD8">
        <w:tc>
          <w:tcPr>
            <w:tcW w:w="1886" w:type="dxa"/>
          </w:tcPr>
          <w:p w14:paraId="1E35D342" w14:textId="27B5344A" w:rsidR="00A459CC" w:rsidRPr="000A1C6C" w:rsidRDefault="0046211D" w:rsidP="008C3A29">
            <w:pPr>
              <w:spacing w:after="0"/>
              <w:jc w:val="center"/>
              <w:rPr>
                <w:rFonts w:ascii="Arial" w:hAnsi="Arial" w:cs="Arial"/>
                <w:lang w:val="en-GB"/>
              </w:rPr>
            </w:pPr>
            <w:r w:rsidRPr="000A1C6C">
              <w:rPr>
                <w:rFonts w:ascii="Arial" w:hAnsi="Arial" w:cs="Arial"/>
                <w:lang w:val="en-GB"/>
              </w:rPr>
              <w:t>65</w:t>
            </w:r>
          </w:p>
        </w:tc>
        <w:tc>
          <w:tcPr>
            <w:tcW w:w="2078" w:type="dxa"/>
          </w:tcPr>
          <w:p w14:paraId="11F658AE" w14:textId="7B42E7F8" w:rsidR="00A459CC" w:rsidRPr="000A1C6C" w:rsidRDefault="00A459CC" w:rsidP="00A459CC">
            <w:pPr>
              <w:spacing w:after="0" w:line="240" w:lineRule="auto"/>
              <w:rPr>
                <w:rFonts w:ascii="Arial" w:hAnsi="Arial" w:cs="Arial"/>
                <w:lang w:val="en-GB"/>
              </w:rPr>
            </w:pPr>
            <w:r w:rsidRPr="000A1C6C">
              <w:rPr>
                <w:rFonts w:ascii="Arial" w:hAnsi="Arial" w:cs="Arial"/>
              </w:rPr>
              <w:t>FirstRand</w:t>
            </w:r>
          </w:p>
        </w:tc>
        <w:tc>
          <w:tcPr>
            <w:tcW w:w="2691" w:type="dxa"/>
          </w:tcPr>
          <w:p w14:paraId="24E49626" w14:textId="77777777" w:rsidR="00A459CC" w:rsidRPr="000A1C6C" w:rsidRDefault="00A459CC" w:rsidP="00A459CC">
            <w:pPr>
              <w:spacing w:after="0" w:line="240" w:lineRule="auto"/>
              <w:rPr>
                <w:rFonts w:ascii="Arial" w:hAnsi="Arial" w:cs="Arial"/>
                <w:lang w:val="en-GB"/>
              </w:rPr>
            </w:pPr>
            <w:r w:rsidRPr="000A1C6C">
              <w:rPr>
                <w:rFonts w:ascii="Arial" w:hAnsi="Arial" w:cs="Arial"/>
                <w:lang w:val="en-GB"/>
              </w:rPr>
              <w:t>8.2 (f)(ii)</w:t>
            </w:r>
          </w:p>
          <w:p w14:paraId="32B4CC8D" w14:textId="3D0A8727" w:rsidR="00A459CC" w:rsidRPr="000A1C6C" w:rsidRDefault="00A459CC" w:rsidP="00A459CC">
            <w:pPr>
              <w:spacing w:after="0" w:line="240" w:lineRule="auto"/>
              <w:rPr>
                <w:rFonts w:ascii="Arial" w:hAnsi="Arial" w:cs="Arial"/>
                <w:lang w:val="en-GB"/>
              </w:rPr>
            </w:pPr>
          </w:p>
        </w:tc>
        <w:tc>
          <w:tcPr>
            <w:tcW w:w="7903" w:type="dxa"/>
          </w:tcPr>
          <w:p w14:paraId="66EF2B7B" w14:textId="77777777" w:rsidR="00A459CC" w:rsidRPr="000A1C6C" w:rsidRDefault="00A459CC" w:rsidP="00A459CC">
            <w:pPr>
              <w:spacing w:after="120"/>
              <w:rPr>
                <w:rFonts w:ascii="Arial" w:hAnsi="Arial" w:cs="Arial"/>
                <w:bCs/>
              </w:rPr>
            </w:pPr>
            <w:r w:rsidRPr="000A1C6C">
              <w:rPr>
                <w:rFonts w:ascii="Arial" w:hAnsi="Arial" w:cs="Arial"/>
                <w:bCs/>
              </w:rPr>
              <w:t>It is unclear what is meant by “franchise impact”?</w:t>
            </w:r>
          </w:p>
          <w:p w14:paraId="0063FBE8" w14:textId="77777777" w:rsidR="00A459CC" w:rsidRPr="000A1C6C" w:rsidRDefault="00A459CC" w:rsidP="00A459CC">
            <w:pPr>
              <w:rPr>
                <w:rFonts w:ascii="Arial" w:hAnsi="Arial" w:cs="Arial"/>
              </w:rPr>
            </w:pPr>
            <w:r w:rsidRPr="000A1C6C">
              <w:rPr>
                <w:rFonts w:ascii="Arial" w:hAnsi="Arial" w:cs="Arial"/>
              </w:rPr>
              <w:t xml:space="preserve">Clarification needed on the requirement for assessing cross organisational business links and franchise impact. What is the scope, purpose, and the expected output of such assessments?  Guidance on how franchise impact on unknow potential acquirer might be considered? </w:t>
            </w:r>
          </w:p>
          <w:p w14:paraId="5D17FFAF" w14:textId="5C2C7455" w:rsidR="00A459CC" w:rsidRPr="000A1C6C" w:rsidRDefault="00A459CC" w:rsidP="00A459CC">
            <w:pPr>
              <w:spacing w:after="0" w:line="240" w:lineRule="auto"/>
              <w:rPr>
                <w:rFonts w:ascii="Arial" w:eastAsia="Times New Roman" w:hAnsi="Arial" w:cs="Arial"/>
                <w:lang w:val="en-GB"/>
              </w:rPr>
            </w:pPr>
          </w:p>
        </w:tc>
        <w:tc>
          <w:tcPr>
            <w:tcW w:w="6416" w:type="dxa"/>
            <w:shd w:val="clear" w:color="auto" w:fill="auto"/>
          </w:tcPr>
          <w:p w14:paraId="53B43911" w14:textId="00BCA4BB" w:rsidR="00D91762" w:rsidRDefault="00F6104A" w:rsidP="00D91762">
            <w:pPr>
              <w:spacing w:after="0" w:line="240" w:lineRule="auto"/>
              <w:jc w:val="both"/>
              <w:rPr>
                <w:rFonts w:ascii="Arial" w:eastAsia="Times New Roman" w:hAnsi="Arial" w:cs="Arial"/>
                <w:lang w:val="en-GB"/>
              </w:rPr>
            </w:pPr>
            <w:r w:rsidRPr="006370DD">
              <w:rPr>
                <w:rFonts w:ascii="Arial" w:eastAsia="Times New Roman" w:hAnsi="Arial" w:cs="Arial"/>
                <w:b/>
                <w:bCs/>
                <w:lang w:val="en-GB"/>
              </w:rPr>
              <w:t>Franchise impact</w:t>
            </w:r>
            <w:r>
              <w:rPr>
                <w:rFonts w:ascii="Arial" w:eastAsia="Times New Roman" w:hAnsi="Arial" w:cs="Arial"/>
                <w:lang w:val="en-GB"/>
              </w:rPr>
              <w:t xml:space="preserve"> </w:t>
            </w:r>
            <w:r w:rsidR="004F5DC2">
              <w:rPr>
                <w:rFonts w:ascii="Arial" w:eastAsia="Times New Roman" w:hAnsi="Arial" w:cs="Arial"/>
                <w:lang w:val="en-GB"/>
              </w:rPr>
              <w:t xml:space="preserve">includes </w:t>
            </w:r>
            <w:r>
              <w:rPr>
                <w:rFonts w:ascii="Arial" w:eastAsia="Times New Roman" w:hAnsi="Arial" w:cs="Arial"/>
                <w:lang w:val="en-GB"/>
              </w:rPr>
              <w:t xml:space="preserve">the </w:t>
            </w:r>
            <w:r w:rsidR="00172955">
              <w:rPr>
                <w:rFonts w:ascii="Arial" w:eastAsia="Times New Roman" w:hAnsi="Arial" w:cs="Arial"/>
                <w:lang w:val="en-GB"/>
              </w:rPr>
              <w:t xml:space="preserve">actual </w:t>
            </w:r>
            <w:r w:rsidR="00E11261">
              <w:rPr>
                <w:rFonts w:ascii="Arial" w:eastAsia="Times New Roman" w:hAnsi="Arial" w:cs="Arial"/>
                <w:lang w:val="en-GB"/>
              </w:rPr>
              <w:t>or</w:t>
            </w:r>
            <w:r w:rsidR="00172955">
              <w:rPr>
                <w:rFonts w:ascii="Arial" w:eastAsia="Times New Roman" w:hAnsi="Arial" w:cs="Arial"/>
                <w:lang w:val="en-GB"/>
              </w:rPr>
              <w:t xml:space="preserve"> perceived </w:t>
            </w:r>
            <w:r w:rsidR="00034AE8">
              <w:rPr>
                <w:rFonts w:ascii="Arial" w:eastAsia="Times New Roman" w:hAnsi="Arial" w:cs="Arial"/>
                <w:lang w:val="en-GB"/>
              </w:rPr>
              <w:t>effect</w:t>
            </w:r>
            <w:r w:rsidR="00E11261">
              <w:rPr>
                <w:rFonts w:ascii="Arial" w:eastAsia="Times New Roman" w:hAnsi="Arial" w:cs="Arial"/>
                <w:lang w:val="en-GB"/>
              </w:rPr>
              <w:t xml:space="preserve"> </w:t>
            </w:r>
            <w:r>
              <w:rPr>
                <w:rFonts w:ascii="Arial" w:eastAsia="Times New Roman" w:hAnsi="Arial" w:cs="Arial"/>
                <w:lang w:val="en-GB"/>
              </w:rPr>
              <w:t>o</w:t>
            </w:r>
            <w:r w:rsidR="00E17544">
              <w:rPr>
                <w:rFonts w:ascii="Arial" w:eastAsia="Times New Roman" w:hAnsi="Arial" w:cs="Arial"/>
                <w:lang w:val="en-GB"/>
              </w:rPr>
              <w:t>n</w:t>
            </w:r>
            <w:r w:rsidR="00D91762">
              <w:rPr>
                <w:rFonts w:ascii="Arial" w:eastAsia="Times New Roman" w:hAnsi="Arial" w:cs="Arial"/>
                <w:lang w:val="en-GB"/>
              </w:rPr>
              <w:t>:</w:t>
            </w:r>
          </w:p>
          <w:p w14:paraId="4C47874B" w14:textId="3F55EEED" w:rsidR="00FE37D0" w:rsidRPr="00D91762" w:rsidRDefault="00E17544" w:rsidP="00D91762">
            <w:pPr>
              <w:pStyle w:val="ListParagraph"/>
              <w:numPr>
                <w:ilvl w:val="0"/>
                <w:numId w:val="21"/>
              </w:numPr>
              <w:ind w:left="357"/>
              <w:jc w:val="both"/>
              <w:rPr>
                <w:rFonts w:ascii="Arial" w:eastAsia="Times New Roman" w:hAnsi="Arial" w:cs="Arial"/>
                <w:lang w:val="en-GB"/>
              </w:rPr>
            </w:pPr>
            <w:r w:rsidRPr="00D91762">
              <w:rPr>
                <w:rFonts w:ascii="Arial" w:eastAsia="Times New Roman" w:hAnsi="Arial" w:cs="Arial"/>
                <w:lang w:val="en-GB"/>
              </w:rPr>
              <w:t>the brand</w:t>
            </w:r>
            <w:r w:rsidR="001616C4" w:rsidRPr="00D91762">
              <w:rPr>
                <w:rFonts w:ascii="Arial" w:eastAsia="Times New Roman" w:hAnsi="Arial" w:cs="Arial"/>
                <w:lang w:val="en-GB"/>
              </w:rPr>
              <w:t>/ business</w:t>
            </w:r>
            <w:r w:rsidR="00034AE8" w:rsidRPr="00D91762">
              <w:rPr>
                <w:rFonts w:ascii="Arial" w:eastAsia="Times New Roman" w:hAnsi="Arial" w:cs="Arial"/>
                <w:lang w:val="en-GB"/>
              </w:rPr>
              <w:t>/operations/customers</w:t>
            </w:r>
            <w:r w:rsidR="00E17816">
              <w:rPr>
                <w:rFonts w:ascii="Arial" w:eastAsia="Times New Roman" w:hAnsi="Arial" w:cs="Arial"/>
                <w:lang w:val="en-GB"/>
              </w:rPr>
              <w:t>/</w:t>
            </w:r>
            <w:r w:rsidR="007B21E4">
              <w:rPr>
                <w:rFonts w:ascii="Arial" w:eastAsia="Times New Roman" w:hAnsi="Arial" w:cs="Arial"/>
                <w:lang w:val="en-GB"/>
              </w:rPr>
              <w:t>cross-activity customers/synergies</w:t>
            </w:r>
            <w:r w:rsidR="00034AE8" w:rsidRPr="00D91762">
              <w:rPr>
                <w:rFonts w:ascii="Arial" w:eastAsia="Times New Roman" w:hAnsi="Arial" w:cs="Arial"/>
                <w:lang w:val="en-GB"/>
              </w:rPr>
              <w:t xml:space="preserve"> etc.</w:t>
            </w:r>
            <w:r w:rsidR="001616C4" w:rsidRPr="00D91762">
              <w:rPr>
                <w:rFonts w:ascii="Arial" w:eastAsia="Times New Roman" w:hAnsi="Arial" w:cs="Arial"/>
                <w:lang w:val="en-GB"/>
              </w:rPr>
              <w:t xml:space="preserve"> of the </w:t>
            </w:r>
            <w:r w:rsidR="00D91762" w:rsidRPr="00D91762">
              <w:rPr>
                <w:rFonts w:ascii="Arial" w:eastAsia="Times New Roman" w:hAnsi="Arial" w:cs="Arial"/>
                <w:lang w:val="en-GB"/>
              </w:rPr>
              <w:t>designated</w:t>
            </w:r>
            <w:r w:rsidR="005F1F4E">
              <w:rPr>
                <w:rFonts w:ascii="Arial" w:eastAsia="Times New Roman" w:hAnsi="Arial" w:cs="Arial"/>
                <w:lang w:val="en-GB"/>
              </w:rPr>
              <w:t xml:space="preserve"> </w:t>
            </w:r>
            <w:r w:rsidR="00AF6001">
              <w:rPr>
                <w:rFonts w:ascii="Arial" w:eastAsia="Times New Roman" w:hAnsi="Arial" w:cs="Arial"/>
                <w:lang w:val="en-GB"/>
              </w:rPr>
              <w:t>institution</w:t>
            </w:r>
            <w:r w:rsidR="00AF6001" w:rsidRPr="00D91762">
              <w:rPr>
                <w:rFonts w:ascii="Arial" w:eastAsia="Times New Roman" w:hAnsi="Arial" w:cs="Arial"/>
                <w:lang w:val="en-GB"/>
              </w:rPr>
              <w:t xml:space="preserve"> </w:t>
            </w:r>
            <w:proofErr w:type="gramStart"/>
            <w:r w:rsidR="00AF6001">
              <w:rPr>
                <w:rFonts w:ascii="Arial" w:eastAsia="Times New Roman" w:hAnsi="Arial" w:cs="Arial"/>
                <w:lang w:val="en-GB"/>
              </w:rPr>
              <w:t>as</w:t>
            </w:r>
            <w:r w:rsidR="005F1F4E">
              <w:rPr>
                <w:rFonts w:ascii="Arial" w:eastAsia="Times New Roman" w:hAnsi="Arial" w:cs="Arial"/>
                <w:lang w:val="en-GB"/>
              </w:rPr>
              <w:t xml:space="preserve"> a result of</w:t>
            </w:r>
            <w:proofErr w:type="gramEnd"/>
            <w:r w:rsidR="005F1F4E">
              <w:rPr>
                <w:rFonts w:ascii="Arial" w:eastAsia="Times New Roman" w:hAnsi="Arial" w:cs="Arial"/>
                <w:lang w:val="en-GB"/>
              </w:rPr>
              <w:t xml:space="preserve"> </w:t>
            </w:r>
            <w:r w:rsidR="00216BAF">
              <w:rPr>
                <w:rFonts w:ascii="Arial" w:eastAsia="Times New Roman" w:hAnsi="Arial" w:cs="Arial"/>
                <w:lang w:val="en-GB"/>
              </w:rPr>
              <w:t>no longer having the assets and liabilities that will be transferred out)</w:t>
            </w:r>
            <w:r w:rsidR="000C6C8F" w:rsidRPr="00D91762">
              <w:rPr>
                <w:rFonts w:ascii="Arial" w:eastAsia="Times New Roman" w:hAnsi="Arial" w:cs="Arial"/>
                <w:lang w:val="en-GB"/>
              </w:rPr>
              <w:t>;</w:t>
            </w:r>
            <w:r w:rsidR="002A5AFE" w:rsidRPr="00D91762">
              <w:rPr>
                <w:rFonts w:ascii="Arial" w:eastAsia="Times New Roman" w:hAnsi="Arial" w:cs="Arial"/>
                <w:lang w:val="en-GB"/>
              </w:rPr>
              <w:t xml:space="preserve"> </w:t>
            </w:r>
          </w:p>
          <w:p w14:paraId="5588904D" w14:textId="275032FA" w:rsidR="00C7746C" w:rsidRDefault="002A5AFE" w:rsidP="006370DD">
            <w:pPr>
              <w:pStyle w:val="ListParagraph"/>
              <w:numPr>
                <w:ilvl w:val="0"/>
                <w:numId w:val="21"/>
              </w:numPr>
              <w:ind w:left="357"/>
              <w:jc w:val="both"/>
              <w:rPr>
                <w:rFonts w:ascii="Arial" w:eastAsia="Times New Roman" w:hAnsi="Arial" w:cs="Arial"/>
                <w:lang w:val="en-GB"/>
              </w:rPr>
            </w:pPr>
            <w:r w:rsidRPr="00BD4F54">
              <w:rPr>
                <w:rFonts w:ascii="Arial" w:eastAsia="Times New Roman" w:hAnsi="Arial" w:cs="Arial"/>
                <w:lang w:val="en-GB"/>
              </w:rPr>
              <w:t>the</w:t>
            </w:r>
            <w:r w:rsidR="00BD4F54" w:rsidRPr="00BD4F54">
              <w:rPr>
                <w:rFonts w:ascii="Arial" w:eastAsia="Times New Roman" w:hAnsi="Arial" w:cs="Arial"/>
                <w:lang w:val="en-GB"/>
              </w:rPr>
              <w:t xml:space="preserve"> business of the</w:t>
            </w:r>
            <w:r w:rsidR="003C2EB6" w:rsidRPr="00BD4F54">
              <w:rPr>
                <w:rFonts w:ascii="Arial" w:eastAsia="Times New Roman" w:hAnsi="Arial" w:cs="Arial"/>
                <w:lang w:val="en-GB"/>
              </w:rPr>
              <w:t xml:space="preserve"> acquirer</w:t>
            </w:r>
            <w:r w:rsidR="00407062" w:rsidRPr="00BD4F54">
              <w:rPr>
                <w:rFonts w:ascii="Arial" w:eastAsia="Times New Roman" w:hAnsi="Arial" w:cs="Arial"/>
                <w:lang w:val="en-GB"/>
              </w:rPr>
              <w:t xml:space="preserve"> due to </w:t>
            </w:r>
            <w:r w:rsidR="00760C7E" w:rsidRPr="00BD4F54">
              <w:rPr>
                <w:rFonts w:ascii="Arial" w:eastAsia="Times New Roman" w:hAnsi="Arial" w:cs="Arial"/>
                <w:lang w:val="en-GB"/>
              </w:rPr>
              <w:t xml:space="preserve">certain assets and </w:t>
            </w:r>
            <w:r w:rsidR="00A94ECC" w:rsidRPr="00BD4F54">
              <w:rPr>
                <w:rFonts w:ascii="Arial" w:eastAsia="Times New Roman" w:hAnsi="Arial" w:cs="Arial"/>
                <w:lang w:val="en-GB"/>
              </w:rPr>
              <w:t xml:space="preserve">liabilities </w:t>
            </w:r>
            <w:r w:rsidR="00074D9E">
              <w:rPr>
                <w:rFonts w:ascii="Arial" w:eastAsia="Times New Roman" w:hAnsi="Arial" w:cs="Arial"/>
                <w:lang w:val="en-GB"/>
              </w:rPr>
              <w:t>being /</w:t>
            </w:r>
            <w:r w:rsidR="00A94ECC" w:rsidRPr="00BD4F54">
              <w:rPr>
                <w:rFonts w:ascii="Arial" w:eastAsia="Times New Roman" w:hAnsi="Arial" w:cs="Arial"/>
                <w:lang w:val="en-GB"/>
              </w:rPr>
              <w:t>not</w:t>
            </w:r>
            <w:r w:rsidR="00407062" w:rsidRPr="00BD4F54">
              <w:rPr>
                <w:rFonts w:ascii="Arial" w:eastAsia="Times New Roman" w:hAnsi="Arial" w:cs="Arial"/>
                <w:lang w:val="en-GB"/>
              </w:rPr>
              <w:t xml:space="preserve"> being included </w:t>
            </w:r>
            <w:r w:rsidR="00760C7E" w:rsidRPr="00BD4F54">
              <w:rPr>
                <w:rFonts w:ascii="Arial" w:eastAsia="Times New Roman" w:hAnsi="Arial" w:cs="Arial"/>
                <w:lang w:val="en-GB"/>
              </w:rPr>
              <w:t xml:space="preserve">in </w:t>
            </w:r>
            <w:r w:rsidR="008F3236" w:rsidRPr="00BD4F54">
              <w:rPr>
                <w:rFonts w:ascii="Arial" w:eastAsia="Times New Roman" w:hAnsi="Arial" w:cs="Arial"/>
                <w:lang w:val="en-GB"/>
              </w:rPr>
              <w:t>the</w:t>
            </w:r>
            <w:r w:rsidR="00760C7E" w:rsidRPr="00BD4F54">
              <w:rPr>
                <w:rFonts w:ascii="Arial" w:eastAsia="Times New Roman" w:hAnsi="Arial" w:cs="Arial"/>
                <w:lang w:val="en-GB"/>
              </w:rPr>
              <w:t xml:space="preserve"> transfer perimeter</w:t>
            </w:r>
            <w:r w:rsidR="00AF6001">
              <w:rPr>
                <w:rFonts w:ascii="Arial" w:eastAsia="Times New Roman" w:hAnsi="Arial" w:cs="Arial"/>
                <w:lang w:val="en-GB"/>
              </w:rPr>
              <w:t>.</w:t>
            </w:r>
          </w:p>
          <w:p w14:paraId="6CE0D2ED" w14:textId="77777777" w:rsidR="00BD4F54" w:rsidRPr="00BD4F54" w:rsidRDefault="00BD4F54" w:rsidP="00BD4F54">
            <w:pPr>
              <w:rPr>
                <w:lang w:val="en-GB"/>
              </w:rPr>
            </w:pPr>
          </w:p>
          <w:p w14:paraId="5586E05C" w14:textId="081FB974" w:rsidR="00A459CC" w:rsidRDefault="006370DD" w:rsidP="006370DD">
            <w:pPr>
              <w:jc w:val="both"/>
              <w:rPr>
                <w:rFonts w:ascii="Arial" w:eastAsia="Times New Roman" w:hAnsi="Arial" w:cs="Arial"/>
                <w:b/>
                <w:bCs/>
                <w:lang w:val="en-GB"/>
              </w:rPr>
            </w:pPr>
            <w:r w:rsidRPr="006370DD">
              <w:rPr>
                <w:rFonts w:ascii="Arial" w:eastAsia="Times New Roman" w:hAnsi="Arial" w:cs="Arial"/>
                <w:b/>
                <w:bCs/>
                <w:lang w:val="en-GB"/>
              </w:rPr>
              <w:t>Clarification</w:t>
            </w:r>
            <w:r w:rsidR="00D84A7E">
              <w:rPr>
                <w:rFonts w:ascii="Arial" w:eastAsia="Times New Roman" w:hAnsi="Arial" w:cs="Arial"/>
                <w:b/>
                <w:bCs/>
                <w:lang w:val="en-GB"/>
              </w:rPr>
              <w:t xml:space="preserve"> on cross organisational </w:t>
            </w:r>
            <w:r w:rsidR="00017C2E">
              <w:rPr>
                <w:rFonts w:ascii="Arial" w:eastAsia="Times New Roman" w:hAnsi="Arial" w:cs="Arial"/>
                <w:b/>
                <w:bCs/>
                <w:lang w:val="en-GB"/>
              </w:rPr>
              <w:t>business links</w:t>
            </w:r>
            <w:r w:rsidR="009B41CD">
              <w:rPr>
                <w:rFonts w:ascii="Arial" w:eastAsia="Times New Roman" w:hAnsi="Arial" w:cs="Arial"/>
                <w:b/>
                <w:bCs/>
                <w:lang w:val="en-GB"/>
              </w:rPr>
              <w:t>:</w:t>
            </w:r>
          </w:p>
          <w:p w14:paraId="551F1528" w14:textId="4DA41B7A" w:rsidR="00C73E04" w:rsidRDefault="00C73E04" w:rsidP="006370DD">
            <w:pPr>
              <w:jc w:val="both"/>
              <w:rPr>
                <w:rFonts w:ascii="Arial" w:eastAsia="Times New Roman" w:hAnsi="Arial" w:cs="Arial"/>
                <w:lang w:val="en-GB"/>
              </w:rPr>
            </w:pPr>
            <w:r w:rsidRPr="00D54614">
              <w:rPr>
                <w:rFonts w:ascii="Arial" w:eastAsia="Times New Roman" w:hAnsi="Arial" w:cs="Arial"/>
                <w:lang w:val="en-GB"/>
              </w:rPr>
              <w:t xml:space="preserve">The </w:t>
            </w:r>
            <w:r w:rsidR="00D54614" w:rsidRPr="00D54614">
              <w:rPr>
                <w:rFonts w:ascii="Arial" w:eastAsia="Times New Roman" w:hAnsi="Arial" w:cs="Arial"/>
                <w:lang w:val="en-GB"/>
              </w:rPr>
              <w:t>purpose</w:t>
            </w:r>
            <w:r w:rsidRPr="00D54614">
              <w:rPr>
                <w:rFonts w:ascii="Arial" w:eastAsia="Times New Roman" w:hAnsi="Arial" w:cs="Arial"/>
                <w:lang w:val="en-GB"/>
              </w:rPr>
              <w:t xml:space="preserve"> of identifying cross</w:t>
            </w:r>
            <w:r w:rsidR="00D54614" w:rsidRPr="00D54614">
              <w:rPr>
                <w:rFonts w:ascii="Arial" w:eastAsia="Times New Roman" w:hAnsi="Arial" w:cs="Arial"/>
                <w:lang w:val="en-GB"/>
              </w:rPr>
              <w:t xml:space="preserve"> organisational business links is to ensure that</w:t>
            </w:r>
            <w:r w:rsidR="00D54614">
              <w:rPr>
                <w:rFonts w:ascii="Arial" w:eastAsia="Times New Roman" w:hAnsi="Arial" w:cs="Arial"/>
                <w:lang w:val="en-GB"/>
              </w:rPr>
              <w:t xml:space="preserve"> th</w:t>
            </w:r>
            <w:r w:rsidR="007928C1">
              <w:rPr>
                <w:rFonts w:ascii="Arial" w:eastAsia="Times New Roman" w:hAnsi="Arial" w:cs="Arial"/>
                <w:lang w:val="en-GB"/>
              </w:rPr>
              <w:t xml:space="preserve">e designated institution takes full account of the </w:t>
            </w:r>
            <w:r w:rsidR="0021346A">
              <w:rPr>
                <w:rFonts w:ascii="Arial" w:eastAsia="Times New Roman" w:hAnsi="Arial" w:cs="Arial"/>
                <w:lang w:val="en-GB"/>
              </w:rPr>
              <w:t xml:space="preserve">impact of the assets </w:t>
            </w:r>
            <w:r w:rsidR="00C24E91">
              <w:rPr>
                <w:rFonts w:ascii="Arial" w:eastAsia="Times New Roman" w:hAnsi="Arial" w:cs="Arial"/>
                <w:lang w:val="en-GB"/>
              </w:rPr>
              <w:t>and</w:t>
            </w:r>
            <w:r w:rsidR="0021346A">
              <w:rPr>
                <w:rFonts w:ascii="Arial" w:eastAsia="Times New Roman" w:hAnsi="Arial" w:cs="Arial"/>
                <w:lang w:val="en-GB"/>
              </w:rPr>
              <w:t xml:space="preserve"> liabilities in the </w:t>
            </w:r>
            <w:r w:rsidR="00012604">
              <w:rPr>
                <w:rFonts w:ascii="Arial" w:eastAsia="Times New Roman" w:hAnsi="Arial" w:cs="Arial"/>
                <w:lang w:val="en-GB"/>
              </w:rPr>
              <w:t xml:space="preserve">transfer </w:t>
            </w:r>
            <w:r w:rsidR="0021346A">
              <w:rPr>
                <w:rFonts w:ascii="Arial" w:eastAsia="Times New Roman" w:hAnsi="Arial" w:cs="Arial"/>
                <w:lang w:val="en-GB"/>
              </w:rPr>
              <w:t xml:space="preserve">perimeter that will </w:t>
            </w:r>
            <w:r w:rsidR="00D65F1D">
              <w:rPr>
                <w:rFonts w:ascii="Arial" w:eastAsia="Times New Roman" w:hAnsi="Arial" w:cs="Arial"/>
                <w:lang w:val="en-GB"/>
              </w:rPr>
              <w:t>transferred out</w:t>
            </w:r>
            <w:r w:rsidR="00C91BD9">
              <w:rPr>
                <w:rFonts w:ascii="Arial" w:eastAsia="Times New Roman" w:hAnsi="Arial" w:cs="Arial"/>
                <w:lang w:val="en-GB"/>
              </w:rPr>
              <w:t>,</w:t>
            </w:r>
            <w:r w:rsidR="0021346A">
              <w:rPr>
                <w:rFonts w:ascii="Arial" w:eastAsia="Times New Roman" w:hAnsi="Arial" w:cs="Arial"/>
                <w:lang w:val="en-GB"/>
              </w:rPr>
              <w:t xml:space="preserve"> o</w:t>
            </w:r>
            <w:r w:rsidR="0057413B">
              <w:rPr>
                <w:rFonts w:ascii="Arial" w:eastAsia="Times New Roman" w:hAnsi="Arial" w:cs="Arial"/>
                <w:lang w:val="en-GB"/>
              </w:rPr>
              <w:t>n</w:t>
            </w:r>
            <w:r w:rsidR="0021346A">
              <w:rPr>
                <w:rFonts w:ascii="Arial" w:eastAsia="Times New Roman" w:hAnsi="Arial" w:cs="Arial"/>
                <w:lang w:val="en-GB"/>
              </w:rPr>
              <w:t xml:space="preserve"> the remaining institution</w:t>
            </w:r>
            <w:r w:rsidR="00E72F7A">
              <w:rPr>
                <w:rFonts w:ascii="Arial" w:eastAsia="Times New Roman" w:hAnsi="Arial" w:cs="Arial"/>
                <w:lang w:val="en-GB"/>
              </w:rPr>
              <w:t xml:space="preserve"> (when it is meant to be a surviving institution) </w:t>
            </w:r>
            <w:r w:rsidR="0021346A">
              <w:rPr>
                <w:rFonts w:ascii="Arial" w:eastAsia="Times New Roman" w:hAnsi="Arial" w:cs="Arial"/>
                <w:lang w:val="en-GB"/>
              </w:rPr>
              <w:t xml:space="preserve">and the impact of the designated institution on the </w:t>
            </w:r>
            <w:r w:rsidR="00D65F1D">
              <w:rPr>
                <w:rFonts w:ascii="Arial" w:eastAsia="Times New Roman" w:hAnsi="Arial" w:cs="Arial"/>
                <w:lang w:val="en-GB"/>
              </w:rPr>
              <w:t>assets</w:t>
            </w:r>
            <w:r w:rsidR="0021346A">
              <w:rPr>
                <w:rFonts w:ascii="Arial" w:eastAsia="Times New Roman" w:hAnsi="Arial" w:cs="Arial"/>
                <w:lang w:val="en-GB"/>
              </w:rPr>
              <w:t xml:space="preserve"> and liabilities, to ensure that the activities within the perimeter</w:t>
            </w:r>
            <w:r w:rsidR="00D65F1D">
              <w:rPr>
                <w:rFonts w:ascii="Arial" w:eastAsia="Times New Roman" w:hAnsi="Arial" w:cs="Arial"/>
                <w:lang w:val="en-GB"/>
              </w:rPr>
              <w:t xml:space="preserve"> </w:t>
            </w:r>
            <w:r w:rsidR="00AF6001">
              <w:rPr>
                <w:rFonts w:ascii="Arial" w:eastAsia="Times New Roman" w:hAnsi="Arial" w:cs="Arial"/>
                <w:lang w:val="en-GB"/>
              </w:rPr>
              <w:t xml:space="preserve">and </w:t>
            </w:r>
            <w:r w:rsidR="00D65F1D">
              <w:rPr>
                <w:rFonts w:ascii="Arial" w:eastAsia="Times New Roman" w:hAnsi="Arial" w:cs="Arial"/>
                <w:lang w:val="en-GB"/>
              </w:rPr>
              <w:t>the</w:t>
            </w:r>
            <w:r w:rsidR="0060665D">
              <w:rPr>
                <w:rFonts w:ascii="Arial" w:eastAsia="Times New Roman" w:hAnsi="Arial" w:cs="Arial"/>
                <w:lang w:val="en-GB"/>
              </w:rPr>
              <w:t xml:space="preserve"> performance</w:t>
            </w:r>
            <w:r w:rsidR="00D65F1D">
              <w:rPr>
                <w:rFonts w:ascii="Arial" w:eastAsia="Times New Roman" w:hAnsi="Arial" w:cs="Arial"/>
                <w:lang w:val="en-GB"/>
              </w:rPr>
              <w:t xml:space="preserve"> thereof, </w:t>
            </w:r>
            <w:r w:rsidR="0060665D">
              <w:rPr>
                <w:rFonts w:ascii="Arial" w:eastAsia="Times New Roman" w:hAnsi="Arial" w:cs="Arial"/>
                <w:lang w:val="en-GB"/>
              </w:rPr>
              <w:t xml:space="preserve"> are not hampered because of business dependencies</w:t>
            </w:r>
            <w:r w:rsidR="008C65E2">
              <w:rPr>
                <w:rFonts w:ascii="Arial" w:eastAsia="Times New Roman" w:hAnsi="Arial" w:cs="Arial"/>
                <w:lang w:val="en-GB"/>
              </w:rPr>
              <w:t xml:space="preserve"> or</w:t>
            </w:r>
            <w:r w:rsidR="00D65F1D">
              <w:rPr>
                <w:rFonts w:ascii="Arial" w:eastAsia="Times New Roman" w:hAnsi="Arial" w:cs="Arial"/>
                <w:lang w:val="en-GB"/>
              </w:rPr>
              <w:t xml:space="preserve"> arrangements</w:t>
            </w:r>
            <w:r w:rsidR="001D1E53">
              <w:rPr>
                <w:rFonts w:ascii="Arial" w:eastAsia="Times New Roman" w:hAnsi="Arial" w:cs="Arial"/>
                <w:lang w:val="en-GB"/>
              </w:rPr>
              <w:t xml:space="preserve"> with remaining parts of the designated institution.</w:t>
            </w:r>
          </w:p>
          <w:p w14:paraId="7CB8BAD5" w14:textId="60084FBB" w:rsidR="008A63EC" w:rsidRPr="0057413B" w:rsidRDefault="00F007A8" w:rsidP="006370DD">
            <w:pPr>
              <w:jc w:val="both"/>
              <w:rPr>
                <w:rFonts w:ascii="Arial" w:eastAsia="Times New Roman" w:hAnsi="Arial" w:cs="Arial"/>
                <w:lang w:val="en-GB"/>
              </w:rPr>
            </w:pPr>
            <w:r>
              <w:rPr>
                <w:rFonts w:ascii="Arial" w:eastAsia="Times New Roman" w:hAnsi="Arial" w:cs="Arial"/>
                <w:lang w:val="en-GB"/>
              </w:rPr>
              <w:t xml:space="preserve">After a </w:t>
            </w:r>
            <w:r w:rsidR="002742F0">
              <w:rPr>
                <w:rFonts w:ascii="Arial" w:eastAsia="Times New Roman" w:hAnsi="Arial" w:cs="Arial"/>
                <w:lang w:val="en-GB"/>
              </w:rPr>
              <w:t>further</w:t>
            </w:r>
            <w:r>
              <w:rPr>
                <w:rFonts w:ascii="Arial" w:eastAsia="Times New Roman" w:hAnsi="Arial" w:cs="Arial"/>
                <w:lang w:val="en-GB"/>
              </w:rPr>
              <w:t xml:space="preserve"> review, the </w:t>
            </w:r>
            <w:r w:rsidR="00DA560E">
              <w:rPr>
                <w:rFonts w:ascii="Arial" w:eastAsia="Times New Roman" w:hAnsi="Arial" w:cs="Arial"/>
                <w:lang w:val="en-GB"/>
              </w:rPr>
              <w:t>Authorities</w:t>
            </w:r>
            <w:r>
              <w:rPr>
                <w:rFonts w:ascii="Arial" w:eastAsia="Times New Roman" w:hAnsi="Arial" w:cs="Arial"/>
                <w:lang w:val="en-GB"/>
              </w:rPr>
              <w:t xml:space="preserve"> </w:t>
            </w:r>
            <w:r w:rsidR="00DB5662">
              <w:rPr>
                <w:rFonts w:ascii="Arial" w:eastAsia="Times New Roman" w:hAnsi="Arial" w:cs="Arial"/>
                <w:lang w:val="en-GB"/>
              </w:rPr>
              <w:t>expanded the considerations under section 8.2(f)(</w:t>
            </w:r>
            <w:proofErr w:type="spellStart"/>
            <w:r w:rsidR="00D04281">
              <w:rPr>
                <w:rFonts w:ascii="Arial" w:eastAsia="Times New Roman" w:hAnsi="Arial" w:cs="Arial"/>
                <w:lang w:val="en-GB"/>
              </w:rPr>
              <w:t>i</w:t>
            </w:r>
            <w:proofErr w:type="spellEnd"/>
            <w:r w:rsidR="00D04281">
              <w:rPr>
                <w:rFonts w:ascii="Arial" w:eastAsia="Times New Roman" w:hAnsi="Arial" w:cs="Arial"/>
                <w:lang w:val="en-GB"/>
              </w:rPr>
              <w:t>)</w:t>
            </w:r>
            <w:r w:rsidR="00106381">
              <w:rPr>
                <w:rFonts w:ascii="Arial" w:eastAsia="Times New Roman" w:hAnsi="Arial" w:cs="Arial"/>
                <w:lang w:val="en-GB"/>
              </w:rPr>
              <w:t xml:space="preserve"> to provide clarity on cross organisational business links.</w:t>
            </w:r>
          </w:p>
        </w:tc>
      </w:tr>
      <w:tr w:rsidR="00A459CC" w:rsidRPr="009D05E3" w14:paraId="4CAA3585" w14:textId="77777777" w:rsidTr="00515BD8">
        <w:tc>
          <w:tcPr>
            <w:tcW w:w="1886" w:type="dxa"/>
            <w:shd w:val="clear" w:color="auto" w:fill="auto"/>
          </w:tcPr>
          <w:p w14:paraId="48BA4D55" w14:textId="3CFA1EDC" w:rsidR="00A459CC" w:rsidRPr="000A1C6C" w:rsidRDefault="0046211D" w:rsidP="008C3A29">
            <w:pPr>
              <w:spacing w:after="0"/>
              <w:jc w:val="center"/>
              <w:rPr>
                <w:rFonts w:ascii="Arial" w:hAnsi="Arial" w:cs="Arial"/>
                <w:lang w:val="en-GB"/>
              </w:rPr>
            </w:pPr>
            <w:r w:rsidRPr="000A1C6C">
              <w:rPr>
                <w:rFonts w:ascii="Arial" w:hAnsi="Arial" w:cs="Arial"/>
                <w:lang w:val="en-GB"/>
              </w:rPr>
              <w:lastRenderedPageBreak/>
              <w:t>66</w:t>
            </w:r>
          </w:p>
        </w:tc>
        <w:tc>
          <w:tcPr>
            <w:tcW w:w="2078" w:type="dxa"/>
            <w:shd w:val="clear" w:color="auto" w:fill="FFFFFF" w:themeFill="background1"/>
          </w:tcPr>
          <w:p w14:paraId="2E358514" w14:textId="75D57D8A" w:rsidR="00A459CC" w:rsidRPr="000A1C6C" w:rsidRDefault="00A459CC" w:rsidP="00A459CC">
            <w:pPr>
              <w:spacing w:after="0" w:line="240" w:lineRule="auto"/>
              <w:rPr>
                <w:rFonts w:ascii="Arial" w:hAnsi="Arial" w:cs="Arial"/>
              </w:rPr>
            </w:pPr>
            <w:r w:rsidRPr="000A1C6C">
              <w:rPr>
                <w:rFonts w:ascii="Arial" w:hAnsi="Arial" w:cs="Arial"/>
              </w:rPr>
              <w:t>FirstRand</w:t>
            </w:r>
          </w:p>
        </w:tc>
        <w:tc>
          <w:tcPr>
            <w:tcW w:w="2691" w:type="dxa"/>
            <w:shd w:val="clear" w:color="auto" w:fill="FFFFFF" w:themeFill="background1"/>
          </w:tcPr>
          <w:p w14:paraId="563F29E1" w14:textId="31B7F884" w:rsidR="00A459CC" w:rsidRPr="000A1C6C" w:rsidRDefault="00A459CC" w:rsidP="00A459CC">
            <w:pPr>
              <w:rPr>
                <w:rFonts w:ascii="Arial" w:hAnsi="Arial" w:cs="Arial"/>
              </w:rPr>
            </w:pPr>
            <w:r w:rsidRPr="000A1C6C">
              <w:rPr>
                <w:rFonts w:ascii="Arial" w:hAnsi="Arial" w:cs="Arial"/>
              </w:rPr>
              <w:t>8.2</w:t>
            </w:r>
            <w:r w:rsidR="00DE2403">
              <w:rPr>
                <w:rFonts w:ascii="Arial" w:hAnsi="Arial" w:cs="Arial"/>
              </w:rPr>
              <w:t xml:space="preserve"> </w:t>
            </w:r>
            <w:r w:rsidRPr="000A1C6C">
              <w:rPr>
                <w:rFonts w:ascii="Arial" w:hAnsi="Arial" w:cs="Arial"/>
              </w:rPr>
              <w:t>(c)(iii)</w:t>
            </w:r>
          </w:p>
        </w:tc>
        <w:tc>
          <w:tcPr>
            <w:tcW w:w="7903" w:type="dxa"/>
            <w:shd w:val="clear" w:color="auto" w:fill="FFFFFF" w:themeFill="background1"/>
          </w:tcPr>
          <w:p w14:paraId="696759B6" w14:textId="77777777" w:rsidR="00924E9F" w:rsidRDefault="00A459CC" w:rsidP="00A459CC">
            <w:pPr>
              <w:spacing w:after="0" w:line="240" w:lineRule="auto"/>
              <w:rPr>
                <w:rFonts w:ascii="Arial" w:hAnsi="Arial" w:cs="Arial"/>
              </w:rPr>
            </w:pPr>
            <w:r w:rsidRPr="000A1C6C">
              <w:rPr>
                <w:rFonts w:ascii="Arial" w:hAnsi="Arial" w:cs="Arial"/>
              </w:rPr>
              <w:t xml:space="preserve">Will this also consider other intragroup credit exposures? </w:t>
            </w:r>
          </w:p>
          <w:p w14:paraId="6540F544" w14:textId="77777777" w:rsidR="00924E9F" w:rsidRDefault="00924E9F" w:rsidP="00A459CC">
            <w:pPr>
              <w:spacing w:after="0" w:line="240" w:lineRule="auto"/>
              <w:rPr>
                <w:rFonts w:ascii="Arial" w:hAnsi="Arial" w:cs="Arial"/>
              </w:rPr>
            </w:pPr>
          </w:p>
          <w:p w14:paraId="50367FDE" w14:textId="2AED8FF4" w:rsidR="00A459CC" w:rsidRPr="000A1C6C" w:rsidRDefault="00A459CC" w:rsidP="00A459CC">
            <w:pPr>
              <w:spacing w:after="0" w:line="240" w:lineRule="auto"/>
              <w:rPr>
                <w:rFonts w:ascii="Arial" w:hAnsi="Arial" w:cs="Arial"/>
              </w:rPr>
            </w:pPr>
            <w:r w:rsidRPr="00E35814">
              <w:rPr>
                <w:rFonts w:ascii="Arial" w:hAnsi="Arial" w:cs="Arial"/>
                <w:color w:val="000000" w:themeColor="text1"/>
              </w:rPr>
              <w:t>Does this align to the same definition of interconnect</w:t>
            </w:r>
            <w:r w:rsidR="00034164">
              <w:rPr>
                <w:rFonts w:ascii="Arial" w:hAnsi="Arial" w:cs="Arial"/>
                <w:color w:val="000000" w:themeColor="text1"/>
              </w:rPr>
              <w:t>ed</w:t>
            </w:r>
            <w:r w:rsidRPr="00E35814">
              <w:rPr>
                <w:rFonts w:ascii="Arial" w:hAnsi="Arial" w:cs="Arial"/>
                <w:color w:val="000000" w:themeColor="text1"/>
              </w:rPr>
              <w:t>ness used for the recent large exposure framework?</w:t>
            </w:r>
          </w:p>
        </w:tc>
        <w:tc>
          <w:tcPr>
            <w:tcW w:w="6416" w:type="dxa"/>
            <w:shd w:val="clear" w:color="auto" w:fill="auto"/>
          </w:tcPr>
          <w:p w14:paraId="3CB32F5E" w14:textId="0FBCEDD1" w:rsidR="007A6F1B" w:rsidRPr="007A6F1B" w:rsidRDefault="007A6F1B" w:rsidP="007A6F1B">
            <w:pPr>
              <w:jc w:val="both"/>
              <w:rPr>
                <w:rFonts w:ascii="Arial" w:eastAsia="Times New Roman" w:hAnsi="Arial" w:cs="Arial"/>
                <w:b/>
                <w:bCs/>
                <w:lang w:val="en-GB"/>
              </w:rPr>
            </w:pPr>
            <w:r w:rsidRPr="007A6F1B">
              <w:rPr>
                <w:rFonts w:ascii="Arial" w:eastAsia="Times New Roman" w:hAnsi="Arial" w:cs="Arial"/>
                <w:b/>
                <w:bCs/>
                <w:lang w:val="en-GB"/>
              </w:rPr>
              <w:t>Intragroup credit exposures</w:t>
            </w:r>
            <w:r w:rsidR="0098411E">
              <w:rPr>
                <w:rFonts w:ascii="Arial" w:eastAsia="Times New Roman" w:hAnsi="Arial" w:cs="Arial"/>
                <w:b/>
                <w:bCs/>
                <w:lang w:val="en-GB"/>
              </w:rPr>
              <w:t>:</w:t>
            </w:r>
            <w:r w:rsidRPr="007A6F1B">
              <w:rPr>
                <w:rFonts w:ascii="Arial" w:eastAsia="Times New Roman" w:hAnsi="Arial" w:cs="Arial"/>
                <w:b/>
                <w:bCs/>
                <w:lang w:val="en-GB"/>
              </w:rPr>
              <w:t xml:space="preserve"> </w:t>
            </w:r>
          </w:p>
          <w:p w14:paraId="5B76026A" w14:textId="39E7A2CF" w:rsidR="00545C22" w:rsidRPr="004A276E" w:rsidRDefault="00545C22" w:rsidP="00A459CC">
            <w:pPr>
              <w:spacing w:after="0" w:line="240" w:lineRule="auto"/>
              <w:jc w:val="both"/>
              <w:rPr>
                <w:rFonts w:ascii="Arial" w:eastAsia="Times New Roman" w:hAnsi="Arial" w:cs="Arial"/>
                <w:color w:val="000000" w:themeColor="text1"/>
                <w:lang w:val="en-GB"/>
              </w:rPr>
            </w:pPr>
            <w:r>
              <w:rPr>
                <w:rFonts w:ascii="Arial" w:eastAsia="Times New Roman" w:hAnsi="Arial" w:cs="Arial"/>
                <w:lang w:val="en-GB"/>
              </w:rPr>
              <w:t>The purpose of section 8.2</w:t>
            </w:r>
            <w:r w:rsidR="00426174">
              <w:rPr>
                <w:rFonts w:ascii="Arial" w:eastAsia="Times New Roman" w:hAnsi="Arial" w:cs="Arial"/>
                <w:lang w:val="en-GB"/>
              </w:rPr>
              <w:t>(</w:t>
            </w:r>
            <w:r w:rsidR="00C57C08">
              <w:rPr>
                <w:rFonts w:ascii="Arial" w:eastAsia="Times New Roman" w:hAnsi="Arial" w:cs="Arial"/>
                <w:lang w:val="en-GB"/>
              </w:rPr>
              <w:t>c)</w:t>
            </w:r>
            <w:r w:rsidR="00426174">
              <w:rPr>
                <w:rFonts w:ascii="Arial" w:eastAsia="Times New Roman" w:hAnsi="Arial" w:cs="Arial"/>
                <w:lang w:val="en-GB"/>
              </w:rPr>
              <w:t xml:space="preserve"> is for the designated institution to identify any financial interconnections </w:t>
            </w:r>
            <w:r w:rsidR="00AF6F2F">
              <w:rPr>
                <w:rFonts w:ascii="Arial" w:eastAsia="Times New Roman" w:hAnsi="Arial" w:cs="Arial"/>
                <w:lang w:val="en-GB"/>
              </w:rPr>
              <w:t>that the transfer perimeter might have with the rest of the de</w:t>
            </w:r>
            <w:r w:rsidR="009842ED">
              <w:rPr>
                <w:rFonts w:ascii="Arial" w:eastAsia="Times New Roman" w:hAnsi="Arial" w:cs="Arial"/>
                <w:lang w:val="en-GB"/>
              </w:rPr>
              <w:t>signated</w:t>
            </w:r>
            <w:r w:rsidR="00AF6F2F">
              <w:rPr>
                <w:rFonts w:ascii="Arial" w:eastAsia="Times New Roman" w:hAnsi="Arial" w:cs="Arial"/>
                <w:lang w:val="en-GB"/>
              </w:rPr>
              <w:t xml:space="preserve"> </w:t>
            </w:r>
            <w:r w:rsidR="009842ED">
              <w:rPr>
                <w:rFonts w:ascii="Arial" w:eastAsia="Times New Roman" w:hAnsi="Arial" w:cs="Arial"/>
                <w:lang w:val="en-GB"/>
              </w:rPr>
              <w:t xml:space="preserve">institution </w:t>
            </w:r>
            <w:r w:rsidR="00B020A0">
              <w:rPr>
                <w:rFonts w:ascii="Arial" w:eastAsia="Times New Roman" w:hAnsi="Arial" w:cs="Arial"/>
                <w:lang w:val="en-GB"/>
              </w:rPr>
              <w:t xml:space="preserve">that </w:t>
            </w:r>
            <w:r w:rsidR="00A16DE3">
              <w:rPr>
                <w:rFonts w:ascii="Arial" w:eastAsia="Times New Roman" w:hAnsi="Arial" w:cs="Arial"/>
                <w:lang w:val="en-GB"/>
              </w:rPr>
              <w:t xml:space="preserve">could </w:t>
            </w:r>
            <w:r w:rsidR="00C0482A">
              <w:rPr>
                <w:rFonts w:ascii="Arial" w:eastAsia="Times New Roman" w:hAnsi="Arial" w:cs="Arial"/>
                <w:lang w:val="en-GB"/>
              </w:rPr>
              <w:t xml:space="preserve">cause a barrier to </w:t>
            </w:r>
            <w:r w:rsidR="00B020A0">
              <w:rPr>
                <w:rFonts w:ascii="Arial" w:eastAsia="Times New Roman" w:hAnsi="Arial" w:cs="Arial"/>
                <w:lang w:val="en-GB"/>
              </w:rPr>
              <w:t xml:space="preserve">separability </w:t>
            </w:r>
            <w:r w:rsidR="00AF1091">
              <w:rPr>
                <w:rFonts w:ascii="Arial" w:eastAsia="Times New Roman" w:hAnsi="Arial" w:cs="Arial"/>
                <w:lang w:val="en-GB"/>
              </w:rPr>
              <w:t>for</w:t>
            </w:r>
            <w:r w:rsidR="00FD1943">
              <w:rPr>
                <w:rFonts w:ascii="Arial" w:eastAsia="Times New Roman" w:hAnsi="Arial" w:cs="Arial"/>
                <w:lang w:val="en-GB"/>
              </w:rPr>
              <w:t xml:space="preserve"> the transfer perimeter.</w:t>
            </w:r>
            <w:r w:rsidR="00E84636">
              <w:rPr>
                <w:rFonts w:ascii="Arial" w:eastAsia="Times New Roman" w:hAnsi="Arial" w:cs="Arial"/>
                <w:lang w:val="en-GB"/>
              </w:rPr>
              <w:t xml:space="preserve"> Th</w:t>
            </w:r>
            <w:r w:rsidR="002A10AE">
              <w:rPr>
                <w:rFonts w:ascii="Arial" w:eastAsia="Times New Roman" w:hAnsi="Arial" w:cs="Arial"/>
                <w:lang w:val="en-GB"/>
              </w:rPr>
              <w:t xml:space="preserve">e identification is done </w:t>
            </w:r>
            <w:r w:rsidR="004835A5">
              <w:rPr>
                <w:rFonts w:ascii="Arial" w:eastAsia="Times New Roman" w:hAnsi="Arial" w:cs="Arial"/>
                <w:lang w:val="en-GB"/>
              </w:rPr>
              <w:t xml:space="preserve">so that the </w:t>
            </w:r>
            <w:r w:rsidR="004835A5" w:rsidRPr="004A276E">
              <w:rPr>
                <w:rFonts w:ascii="Arial" w:eastAsia="Times New Roman" w:hAnsi="Arial" w:cs="Arial"/>
                <w:color w:val="000000" w:themeColor="text1"/>
                <w:lang w:val="en-GB"/>
              </w:rPr>
              <w:t>interconnections</w:t>
            </w:r>
            <w:r w:rsidR="00E84636" w:rsidRPr="004A276E">
              <w:rPr>
                <w:rFonts w:ascii="Arial" w:eastAsia="Times New Roman" w:hAnsi="Arial" w:cs="Arial"/>
                <w:color w:val="000000" w:themeColor="text1"/>
                <w:lang w:val="en-GB"/>
              </w:rPr>
              <w:t xml:space="preserve"> </w:t>
            </w:r>
            <w:r w:rsidR="00EB6F1D" w:rsidRPr="004A276E">
              <w:rPr>
                <w:rFonts w:ascii="Arial" w:eastAsia="Times New Roman" w:hAnsi="Arial" w:cs="Arial"/>
                <w:color w:val="000000" w:themeColor="text1"/>
                <w:lang w:val="en-GB"/>
              </w:rPr>
              <w:t>that are too difficult or complex</w:t>
            </w:r>
            <w:r w:rsidR="00E2296D" w:rsidRPr="004A276E">
              <w:rPr>
                <w:rFonts w:ascii="Arial" w:eastAsia="Times New Roman" w:hAnsi="Arial" w:cs="Arial"/>
                <w:color w:val="000000" w:themeColor="text1"/>
                <w:lang w:val="en-GB"/>
              </w:rPr>
              <w:t xml:space="preserve"> </w:t>
            </w:r>
            <w:r w:rsidR="008C33C1">
              <w:rPr>
                <w:rFonts w:ascii="Arial" w:eastAsia="Times New Roman" w:hAnsi="Arial" w:cs="Arial"/>
                <w:color w:val="000000" w:themeColor="text1"/>
                <w:lang w:val="en-GB"/>
              </w:rPr>
              <w:t>can be</w:t>
            </w:r>
            <w:r w:rsidR="00E84636" w:rsidRPr="004A276E">
              <w:rPr>
                <w:rFonts w:ascii="Arial" w:eastAsia="Times New Roman" w:hAnsi="Arial" w:cs="Arial"/>
                <w:color w:val="000000" w:themeColor="text1"/>
                <w:lang w:val="en-GB"/>
              </w:rPr>
              <w:t xml:space="preserve"> included in the transfer perimeter.</w:t>
            </w:r>
          </w:p>
          <w:p w14:paraId="25158BB2" w14:textId="77777777" w:rsidR="00A80030" w:rsidRPr="004A276E" w:rsidRDefault="00A80030" w:rsidP="00A459CC">
            <w:pPr>
              <w:spacing w:after="0" w:line="240" w:lineRule="auto"/>
              <w:jc w:val="both"/>
              <w:rPr>
                <w:rFonts w:ascii="Arial" w:eastAsia="Times New Roman" w:hAnsi="Arial" w:cs="Arial"/>
                <w:color w:val="000000" w:themeColor="text1"/>
                <w:lang w:val="en-GB"/>
              </w:rPr>
            </w:pPr>
          </w:p>
          <w:p w14:paraId="503E31C2" w14:textId="0BBF8B30" w:rsidR="00A80030" w:rsidRDefault="00BC543B" w:rsidP="00A459CC">
            <w:pPr>
              <w:spacing w:after="0" w:line="240" w:lineRule="auto"/>
              <w:jc w:val="both"/>
              <w:rPr>
                <w:rFonts w:ascii="Arial" w:eastAsia="Times New Roman" w:hAnsi="Arial" w:cs="Arial"/>
                <w:lang w:val="en-GB"/>
              </w:rPr>
            </w:pPr>
            <w:r>
              <w:rPr>
                <w:rFonts w:ascii="Arial" w:eastAsia="Times New Roman" w:hAnsi="Arial" w:cs="Arial"/>
                <w:lang w:val="en-GB"/>
              </w:rPr>
              <w:t>Section 8.2</w:t>
            </w:r>
            <w:r w:rsidR="00C57C08">
              <w:rPr>
                <w:rFonts w:ascii="Arial" w:eastAsia="Times New Roman" w:hAnsi="Arial" w:cs="Arial"/>
                <w:lang w:val="en-GB"/>
              </w:rPr>
              <w:t>(</w:t>
            </w:r>
            <w:r>
              <w:rPr>
                <w:rFonts w:ascii="Arial" w:eastAsia="Times New Roman" w:hAnsi="Arial" w:cs="Arial"/>
                <w:lang w:val="en-GB"/>
              </w:rPr>
              <w:t>b</w:t>
            </w:r>
            <w:r w:rsidR="00C57C08">
              <w:rPr>
                <w:rFonts w:ascii="Arial" w:eastAsia="Times New Roman" w:hAnsi="Arial" w:cs="Arial"/>
                <w:lang w:val="en-GB"/>
              </w:rPr>
              <w:t>)</w:t>
            </w:r>
            <w:r>
              <w:rPr>
                <w:rFonts w:ascii="Arial" w:eastAsia="Times New Roman" w:hAnsi="Arial" w:cs="Arial"/>
                <w:lang w:val="en-GB"/>
              </w:rPr>
              <w:t xml:space="preserve"> states that the lists </w:t>
            </w:r>
            <w:r w:rsidR="0041240F">
              <w:rPr>
                <w:rFonts w:ascii="Arial" w:eastAsia="Times New Roman" w:hAnsi="Arial" w:cs="Arial"/>
                <w:lang w:val="en-GB"/>
              </w:rPr>
              <w:t>provided in 8.2</w:t>
            </w:r>
            <w:r w:rsidR="00523807">
              <w:rPr>
                <w:rFonts w:ascii="Arial" w:eastAsia="Times New Roman" w:hAnsi="Arial" w:cs="Arial"/>
                <w:lang w:val="en-GB"/>
              </w:rPr>
              <w:t>(</w:t>
            </w:r>
            <w:r w:rsidR="00204C36">
              <w:rPr>
                <w:rFonts w:ascii="Arial" w:eastAsia="Times New Roman" w:hAnsi="Arial" w:cs="Arial"/>
                <w:lang w:val="en-GB"/>
              </w:rPr>
              <w:t>c)</w:t>
            </w:r>
            <w:r w:rsidR="00523807">
              <w:rPr>
                <w:rFonts w:ascii="Arial" w:eastAsia="Times New Roman" w:hAnsi="Arial" w:cs="Arial"/>
                <w:lang w:val="en-GB"/>
              </w:rPr>
              <w:t xml:space="preserve"> to</w:t>
            </w:r>
            <w:r w:rsidR="00661252">
              <w:rPr>
                <w:rFonts w:ascii="Arial" w:eastAsia="Times New Roman" w:hAnsi="Arial" w:cs="Arial"/>
                <w:lang w:val="en-GB"/>
              </w:rPr>
              <w:t xml:space="preserve"> </w:t>
            </w:r>
            <w:r w:rsidR="00523807">
              <w:rPr>
                <w:rFonts w:ascii="Arial" w:eastAsia="Times New Roman" w:hAnsi="Arial" w:cs="Arial"/>
                <w:lang w:val="en-GB"/>
              </w:rPr>
              <w:t>(</w:t>
            </w:r>
            <w:r w:rsidR="00661252">
              <w:rPr>
                <w:rFonts w:ascii="Arial" w:eastAsia="Times New Roman" w:hAnsi="Arial" w:cs="Arial"/>
                <w:lang w:val="en-GB"/>
              </w:rPr>
              <w:t xml:space="preserve">f) are not exhaustive considerations, therefore </w:t>
            </w:r>
            <w:r w:rsidR="00D229BD">
              <w:rPr>
                <w:rFonts w:ascii="Arial" w:eastAsia="Times New Roman" w:hAnsi="Arial" w:cs="Arial"/>
                <w:lang w:val="en-GB"/>
              </w:rPr>
              <w:t>i</w:t>
            </w:r>
            <w:r w:rsidR="00A80030">
              <w:rPr>
                <w:rFonts w:ascii="Arial" w:eastAsia="Times New Roman" w:hAnsi="Arial" w:cs="Arial"/>
                <w:lang w:val="en-GB"/>
              </w:rPr>
              <w:t xml:space="preserve">f </w:t>
            </w:r>
            <w:r w:rsidR="0033448E">
              <w:rPr>
                <w:rFonts w:ascii="Arial" w:eastAsia="Times New Roman" w:hAnsi="Arial" w:cs="Arial"/>
                <w:lang w:val="en-GB"/>
              </w:rPr>
              <w:t xml:space="preserve">the designated institution </w:t>
            </w:r>
            <w:r w:rsidR="005A2E85">
              <w:rPr>
                <w:rFonts w:ascii="Arial" w:eastAsia="Times New Roman" w:hAnsi="Arial" w:cs="Arial"/>
                <w:lang w:val="en-GB"/>
              </w:rPr>
              <w:t xml:space="preserve">deems </w:t>
            </w:r>
            <w:r w:rsidR="00A80030">
              <w:rPr>
                <w:rFonts w:ascii="Arial" w:eastAsia="Times New Roman" w:hAnsi="Arial" w:cs="Arial"/>
                <w:lang w:val="en-GB"/>
              </w:rPr>
              <w:t>intragroup cred</w:t>
            </w:r>
            <w:r w:rsidR="0033448E">
              <w:rPr>
                <w:rFonts w:ascii="Arial" w:eastAsia="Times New Roman" w:hAnsi="Arial" w:cs="Arial"/>
                <w:lang w:val="en-GB"/>
              </w:rPr>
              <w:t xml:space="preserve">it exposures </w:t>
            </w:r>
            <w:r w:rsidR="005A2E85">
              <w:rPr>
                <w:rFonts w:ascii="Arial" w:eastAsia="Times New Roman" w:hAnsi="Arial" w:cs="Arial"/>
                <w:lang w:val="en-GB"/>
              </w:rPr>
              <w:t xml:space="preserve">related to the transfer perimeter </w:t>
            </w:r>
            <w:r w:rsidR="00D86701">
              <w:rPr>
                <w:rFonts w:ascii="Arial" w:eastAsia="Times New Roman" w:hAnsi="Arial" w:cs="Arial"/>
                <w:lang w:val="en-GB"/>
              </w:rPr>
              <w:t>to</w:t>
            </w:r>
            <w:r w:rsidR="008A00F9">
              <w:rPr>
                <w:rFonts w:ascii="Arial" w:eastAsia="Times New Roman" w:hAnsi="Arial" w:cs="Arial"/>
                <w:lang w:val="en-GB"/>
              </w:rPr>
              <w:t xml:space="preserve"> have potential separability</w:t>
            </w:r>
            <w:r w:rsidR="00210A68">
              <w:rPr>
                <w:rFonts w:ascii="Arial" w:eastAsia="Times New Roman" w:hAnsi="Arial" w:cs="Arial"/>
                <w:lang w:val="en-GB"/>
              </w:rPr>
              <w:t xml:space="preserve"> barriers</w:t>
            </w:r>
            <w:r w:rsidR="007268B1">
              <w:rPr>
                <w:rFonts w:ascii="Arial" w:eastAsia="Times New Roman" w:hAnsi="Arial" w:cs="Arial"/>
                <w:lang w:val="en-GB"/>
              </w:rPr>
              <w:t>, then</w:t>
            </w:r>
            <w:r w:rsidR="00E528B4">
              <w:rPr>
                <w:rFonts w:ascii="Arial" w:eastAsia="Times New Roman" w:hAnsi="Arial" w:cs="Arial"/>
                <w:lang w:val="en-GB"/>
              </w:rPr>
              <w:t xml:space="preserve"> those credit exposures</w:t>
            </w:r>
            <w:r w:rsidR="002D41CF">
              <w:rPr>
                <w:rFonts w:ascii="Arial" w:eastAsia="Times New Roman" w:hAnsi="Arial" w:cs="Arial"/>
                <w:lang w:val="en-GB"/>
              </w:rPr>
              <w:t xml:space="preserve"> (and other financial considerations beyond the provided lists)</w:t>
            </w:r>
            <w:r w:rsidR="00E528B4">
              <w:rPr>
                <w:rFonts w:ascii="Arial" w:eastAsia="Times New Roman" w:hAnsi="Arial" w:cs="Arial"/>
                <w:lang w:val="en-GB"/>
              </w:rPr>
              <w:t xml:space="preserve"> should be assessed </w:t>
            </w:r>
            <w:r w:rsidR="002D41CF">
              <w:rPr>
                <w:rFonts w:ascii="Arial" w:eastAsia="Times New Roman" w:hAnsi="Arial" w:cs="Arial"/>
                <w:lang w:val="en-GB"/>
              </w:rPr>
              <w:t>a</w:t>
            </w:r>
            <w:r w:rsidR="00E528B4">
              <w:rPr>
                <w:rFonts w:ascii="Arial" w:eastAsia="Times New Roman" w:hAnsi="Arial" w:cs="Arial"/>
                <w:lang w:val="en-GB"/>
              </w:rPr>
              <w:t>nd be treated accordingly</w:t>
            </w:r>
            <w:r w:rsidR="00EB6F1D">
              <w:rPr>
                <w:rFonts w:ascii="Arial" w:eastAsia="Times New Roman" w:hAnsi="Arial" w:cs="Arial"/>
                <w:lang w:val="en-GB"/>
              </w:rPr>
              <w:t xml:space="preserve"> to enable efficient execution of the transfer tool.</w:t>
            </w:r>
          </w:p>
          <w:p w14:paraId="4E4B63D6" w14:textId="3D41F9CF" w:rsidR="007A6F1B" w:rsidRDefault="007A6F1B" w:rsidP="00A459CC">
            <w:pPr>
              <w:spacing w:after="0" w:line="240" w:lineRule="auto"/>
              <w:jc w:val="both"/>
              <w:rPr>
                <w:rFonts w:ascii="Arial" w:eastAsia="Times New Roman" w:hAnsi="Arial" w:cs="Arial"/>
                <w:lang w:val="en-GB"/>
              </w:rPr>
            </w:pPr>
          </w:p>
          <w:p w14:paraId="271957B6" w14:textId="2D8168DE" w:rsidR="007A6F1B" w:rsidRPr="00974D28" w:rsidRDefault="007A6F1B" w:rsidP="007A6F1B">
            <w:pPr>
              <w:jc w:val="both"/>
              <w:rPr>
                <w:rFonts w:ascii="Arial" w:eastAsia="Times New Roman" w:hAnsi="Arial" w:cs="Arial"/>
                <w:b/>
                <w:bCs/>
                <w:lang w:val="en-GB"/>
              </w:rPr>
            </w:pPr>
            <w:r w:rsidRPr="00974D28">
              <w:rPr>
                <w:rFonts w:ascii="Arial" w:eastAsia="Times New Roman" w:hAnsi="Arial" w:cs="Arial"/>
                <w:b/>
                <w:bCs/>
                <w:lang w:val="en-GB"/>
              </w:rPr>
              <w:t>Large exposure framework</w:t>
            </w:r>
            <w:r w:rsidR="0098411E">
              <w:rPr>
                <w:rFonts w:ascii="Arial" w:eastAsia="Times New Roman" w:hAnsi="Arial" w:cs="Arial"/>
                <w:b/>
                <w:bCs/>
                <w:lang w:val="en-GB"/>
              </w:rPr>
              <w:t>:</w:t>
            </w:r>
          </w:p>
          <w:p w14:paraId="3AD21FD8" w14:textId="7AD7B967" w:rsidR="00AD62A9" w:rsidRDefault="0055274F" w:rsidP="00A459CC">
            <w:pPr>
              <w:spacing w:after="0" w:line="240" w:lineRule="auto"/>
              <w:jc w:val="both"/>
              <w:rPr>
                <w:rFonts w:ascii="Arial" w:eastAsia="Times New Roman" w:hAnsi="Arial" w:cs="Arial"/>
                <w:lang w:val="en-GB"/>
              </w:rPr>
            </w:pPr>
            <w:r w:rsidRPr="00974D28">
              <w:rPr>
                <w:rFonts w:ascii="Arial" w:eastAsia="Times New Roman" w:hAnsi="Arial" w:cs="Arial"/>
                <w:lang w:val="en-GB"/>
              </w:rPr>
              <w:t>The</w:t>
            </w:r>
            <w:r w:rsidR="003F6B82" w:rsidRPr="00974D28">
              <w:rPr>
                <w:rFonts w:ascii="Arial" w:eastAsia="Times New Roman" w:hAnsi="Arial" w:cs="Arial"/>
                <w:lang w:val="en-GB"/>
              </w:rPr>
              <w:t xml:space="preserve"> </w:t>
            </w:r>
            <w:r w:rsidR="00674B1E" w:rsidRPr="00974D28">
              <w:rPr>
                <w:rFonts w:ascii="Arial" w:eastAsia="Times New Roman" w:hAnsi="Arial" w:cs="Arial"/>
                <w:lang w:val="en-GB"/>
              </w:rPr>
              <w:t>high-leve</w:t>
            </w:r>
            <w:r w:rsidR="00AD62A9" w:rsidRPr="00974D28">
              <w:rPr>
                <w:rFonts w:ascii="Arial" w:eastAsia="Times New Roman" w:hAnsi="Arial" w:cs="Arial"/>
                <w:lang w:val="en-GB"/>
              </w:rPr>
              <w:t>l</w:t>
            </w:r>
            <w:r w:rsidRPr="00974D28">
              <w:rPr>
                <w:rFonts w:ascii="Arial" w:eastAsia="Times New Roman" w:hAnsi="Arial" w:cs="Arial"/>
                <w:lang w:val="en-GB"/>
              </w:rPr>
              <w:t xml:space="preserve"> purpose of the large exposure framework</w:t>
            </w:r>
            <w:r w:rsidR="00EE63DD" w:rsidRPr="00974D28">
              <w:rPr>
                <w:rFonts w:ascii="Arial" w:eastAsia="Times New Roman" w:hAnsi="Arial" w:cs="Arial"/>
                <w:lang w:val="en-GB"/>
              </w:rPr>
              <w:t xml:space="preserve"> (LEX)</w:t>
            </w:r>
            <w:r w:rsidRPr="00974D28">
              <w:rPr>
                <w:rFonts w:ascii="Arial" w:eastAsia="Times New Roman" w:hAnsi="Arial" w:cs="Arial"/>
                <w:lang w:val="en-GB"/>
              </w:rPr>
              <w:t xml:space="preserve"> is </w:t>
            </w:r>
            <w:r w:rsidR="00C022DF" w:rsidRPr="00974D28">
              <w:rPr>
                <w:rFonts w:ascii="Arial" w:eastAsia="Times New Roman" w:hAnsi="Arial" w:cs="Arial"/>
                <w:lang w:val="en-GB"/>
              </w:rPr>
              <w:t>to limit interconnectedness and concentration risk.</w:t>
            </w:r>
            <w:r w:rsidRPr="00974D28">
              <w:rPr>
                <w:rFonts w:ascii="Arial" w:eastAsia="Times New Roman" w:hAnsi="Arial" w:cs="Arial"/>
                <w:lang w:val="en-GB"/>
              </w:rPr>
              <w:t xml:space="preserve"> </w:t>
            </w:r>
            <w:r w:rsidR="00720349" w:rsidRPr="00974D28">
              <w:rPr>
                <w:rFonts w:ascii="Arial" w:eastAsia="Times New Roman" w:hAnsi="Arial" w:cs="Arial"/>
                <w:lang w:val="en-GB"/>
              </w:rPr>
              <w:t>Therefore,</w:t>
            </w:r>
            <w:r w:rsidR="00AD62A9" w:rsidRPr="00974D28">
              <w:rPr>
                <w:rFonts w:ascii="Arial" w:eastAsia="Times New Roman" w:hAnsi="Arial" w:cs="Arial"/>
                <w:lang w:val="en-GB"/>
              </w:rPr>
              <w:t xml:space="preserve"> the interconnectedness in the LEX would most likely </w:t>
            </w:r>
            <w:r w:rsidR="002218E8" w:rsidRPr="00974D28">
              <w:rPr>
                <w:rFonts w:ascii="Arial" w:eastAsia="Times New Roman" w:hAnsi="Arial" w:cs="Arial"/>
                <w:lang w:val="en-GB"/>
              </w:rPr>
              <w:t>relate</w:t>
            </w:r>
            <w:r w:rsidR="00AD62A9" w:rsidRPr="00974D28">
              <w:rPr>
                <w:rFonts w:ascii="Arial" w:eastAsia="Times New Roman" w:hAnsi="Arial" w:cs="Arial"/>
                <w:lang w:val="en-GB"/>
              </w:rPr>
              <w:t xml:space="preserve"> to </w:t>
            </w:r>
            <w:r w:rsidR="001F3985" w:rsidRPr="00974D28">
              <w:rPr>
                <w:rFonts w:ascii="Arial" w:eastAsia="Times New Roman" w:hAnsi="Arial" w:cs="Arial"/>
                <w:lang w:val="en-GB"/>
              </w:rPr>
              <w:t xml:space="preserve">limiting concentration and interconnectedness </w:t>
            </w:r>
            <w:r w:rsidR="002218E8" w:rsidRPr="00974D28">
              <w:rPr>
                <w:rFonts w:ascii="Arial" w:eastAsia="Times New Roman" w:hAnsi="Arial" w:cs="Arial"/>
                <w:lang w:val="en-GB"/>
              </w:rPr>
              <w:t>between entities within a group.</w:t>
            </w:r>
          </w:p>
          <w:p w14:paraId="6EC87726" w14:textId="1B8FF135" w:rsidR="00DF575D" w:rsidRDefault="00DF575D" w:rsidP="00A459CC">
            <w:pPr>
              <w:spacing w:after="0" w:line="240" w:lineRule="auto"/>
              <w:jc w:val="both"/>
              <w:rPr>
                <w:rFonts w:ascii="Arial" w:eastAsia="Times New Roman" w:hAnsi="Arial" w:cs="Arial"/>
                <w:lang w:val="en-GB"/>
              </w:rPr>
            </w:pPr>
          </w:p>
          <w:p w14:paraId="7C25303A" w14:textId="628C679F" w:rsidR="00DF575D" w:rsidRDefault="00DF575D" w:rsidP="00A459CC">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720349">
              <w:rPr>
                <w:rFonts w:ascii="Arial" w:eastAsia="Times New Roman" w:hAnsi="Arial" w:cs="Arial"/>
                <w:lang w:val="en-GB"/>
              </w:rPr>
              <w:t>context of identifying interconnections in the Standard</w:t>
            </w:r>
            <w:r>
              <w:rPr>
                <w:rFonts w:ascii="Arial" w:eastAsia="Times New Roman" w:hAnsi="Arial" w:cs="Arial"/>
                <w:lang w:val="en-GB"/>
              </w:rPr>
              <w:t xml:space="preserve">, is </w:t>
            </w:r>
            <w:r w:rsidR="002B639C">
              <w:rPr>
                <w:rFonts w:ascii="Arial" w:eastAsia="Times New Roman" w:hAnsi="Arial" w:cs="Arial"/>
                <w:lang w:val="en-GB"/>
              </w:rPr>
              <w:t>for the designated institution to</w:t>
            </w:r>
            <w:r>
              <w:rPr>
                <w:rFonts w:ascii="Arial" w:eastAsia="Times New Roman" w:hAnsi="Arial" w:cs="Arial"/>
                <w:lang w:val="en-GB"/>
              </w:rPr>
              <w:t xml:space="preserve"> </w:t>
            </w:r>
            <w:r w:rsidR="00E53233">
              <w:rPr>
                <w:rFonts w:ascii="Arial" w:eastAsia="Times New Roman" w:hAnsi="Arial" w:cs="Arial"/>
                <w:lang w:val="en-GB"/>
              </w:rPr>
              <w:t xml:space="preserve">identify economic relationships between the </w:t>
            </w:r>
            <w:r w:rsidR="00E53233" w:rsidRPr="00BD7484">
              <w:rPr>
                <w:rFonts w:ascii="Arial" w:eastAsia="Times New Roman" w:hAnsi="Arial" w:cs="Arial"/>
                <w:u w:val="single"/>
                <w:lang w:val="en-GB"/>
              </w:rPr>
              <w:t>transfer perimeter</w:t>
            </w:r>
            <w:r w:rsidR="00E53233">
              <w:rPr>
                <w:rFonts w:ascii="Arial" w:eastAsia="Times New Roman" w:hAnsi="Arial" w:cs="Arial"/>
                <w:lang w:val="en-GB"/>
              </w:rPr>
              <w:t xml:space="preserve"> and the rest of the designated institution, to ensure that</w:t>
            </w:r>
            <w:r w:rsidR="006044C7">
              <w:rPr>
                <w:rFonts w:ascii="Arial" w:eastAsia="Times New Roman" w:hAnsi="Arial" w:cs="Arial"/>
                <w:lang w:val="en-GB"/>
              </w:rPr>
              <w:t xml:space="preserve"> they are treated appropriately to enable the transfer perimeter to continue post separation.</w:t>
            </w:r>
          </w:p>
          <w:p w14:paraId="55D44D66" w14:textId="2B7B00EA" w:rsidR="007A6F1B" w:rsidRPr="000A1C6C" w:rsidRDefault="007A6F1B" w:rsidP="00E35814">
            <w:pPr>
              <w:spacing w:after="0" w:line="240" w:lineRule="auto"/>
              <w:jc w:val="both"/>
              <w:rPr>
                <w:rFonts w:ascii="Arial" w:eastAsia="Times New Roman" w:hAnsi="Arial" w:cs="Arial"/>
                <w:lang w:val="en-GB"/>
              </w:rPr>
            </w:pPr>
          </w:p>
        </w:tc>
      </w:tr>
      <w:tr w:rsidR="00A459CC" w:rsidRPr="009D05E3" w14:paraId="44E15640" w14:textId="77777777" w:rsidTr="00515BD8">
        <w:tc>
          <w:tcPr>
            <w:tcW w:w="1886" w:type="dxa"/>
            <w:shd w:val="clear" w:color="auto" w:fill="FFFFFF" w:themeFill="background1"/>
          </w:tcPr>
          <w:p w14:paraId="6411DDBC" w14:textId="31768FDC" w:rsidR="00A459CC" w:rsidRPr="000A1C6C" w:rsidRDefault="0046211D" w:rsidP="00E54595">
            <w:pPr>
              <w:spacing w:after="0"/>
              <w:jc w:val="center"/>
              <w:rPr>
                <w:rFonts w:ascii="Arial" w:hAnsi="Arial" w:cs="Arial"/>
                <w:lang w:val="en-GB"/>
              </w:rPr>
            </w:pPr>
            <w:r w:rsidRPr="000A1C6C">
              <w:rPr>
                <w:rFonts w:ascii="Arial" w:hAnsi="Arial" w:cs="Arial"/>
                <w:lang w:val="en-GB"/>
              </w:rPr>
              <w:t>67</w:t>
            </w:r>
          </w:p>
        </w:tc>
        <w:tc>
          <w:tcPr>
            <w:tcW w:w="2078" w:type="dxa"/>
            <w:shd w:val="clear" w:color="auto" w:fill="FFFFFF" w:themeFill="background1"/>
          </w:tcPr>
          <w:p w14:paraId="1C746E9C" w14:textId="5ACFF3F6" w:rsidR="00A459CC" w:rsidRPr="000A1C6C" w:rsidRDefault="00A459CC" w:rsidP="00A459CC">
            <w:pPr>
              <w:spacing w:after="0" w:line="240" w:lineRule="auto"/>
              <w:rPr>
                <w:rFonts w:ascii="Arial" w:hAnsi="Arial" w:cs="Arial"/>
              </w:rPr>
            </w:pPr>
            <w:r w:rsidRPr="000A1C6C">
              <w:rPr>
                <w:rFonts w:ascii="Arial" w:hAnsi="Arial" w:cs="Arial"/>
              </w:rPr>
              <w:t>FirstRand</w:t>
            </w:r>
          </w:p>
        </w:tc>
        <w:tc>
          <w:tcPr>
            <w:tcW w:w="2691" w:type="dxa"/>
            <w:shd w:val="clear" w:color="auto" w:fill="FFFFFF" w:themeFill="background1"/>
          </w:tcPr>
          <w:p w14:paraId="39C40D12" w14:textId="0F93E08B" w:rsidR="00A459CC" w:rsidRPr="000A1C6C" w:rsidRDefault="00A459CC" w:rsidP="00A459CC">
            <w:pPr>
              <w:spacing w:after="0" w:line="240" w:lineRule="auto"/>
              <w:rPr>
                <w:rFonts w:ascii="Arial" w:hAnsi="Arial" w:cs="Arial"/>
              </w:rPr>
            </w:pPr>
            <w:r w:rsidRPr="000A1C6C">
              <w:rPr>
                <w:rFonts w:ascii="Arial" w:hAnsi="Arial" w:cs="Arial"/>
              </w:rPr>
              <w:t>8.3(a)</w:t>
            </w:r>
          </w:p>
        </w:tc>
        <w:tc>
          <w:tcPr>
            <w:tcW w:w="7903" w:type="dxa"/>
            <w:shd w:val="clear" w:color="auto" w:fill="FFFFFF" w:themeFill="background1"/>
          </w:tcPr>
          <w:p w14:paraId="7A2497AC" w14:textId="77777777" w:rsidR="00A459CC" w:rsidRPr="000A1C6C" w:rsidRDefault="00A459CC" w:rsidP="00A459CC">
            <w:pPr>
              <w:rPr>
                <w:rFonts w:ascii="Arial" w:hAnsi="Arial" w:cs="Arial"/>
              </w:rPr>
            </w:pPr>
            <w:r w:rsidRPr="000A1C6C">
              <w:rPr>
                <w:rFonts w:ascii="Arial" w:hAnsi="Arial" w:cs="Arial"/>
              </w:rPr>
              <w:t>Historic financial analysis/business plan for the transfer perimeter which includes items (</w:t>
            </w:r>
            <w:proofErr w:type="spellStart"/>
            <w:r w:rsidRPr="000A1C6C">
              <w:rPr>
                <w:rFonts w:ascii="Arial" w:hAnsi="Arial" w:cs="Arial"/>
              </w:rPr>
              <w:t>i</w:t>
            </w:r>
            <w:proofErr w:type="spellEnd"/>
            <w:r w:rsidRPr="000A1C6C">
              <w:rPr>
                <w:rFonts w:ascii="Arial" w:hAnsi="Arial" w:cs="Arial"/>
              </w:rPr>
              <w:t>) to (iv) implicitly assumes that segments or portfolios under (</w:t>
            </w:r>
            <w:proofErr w:type="spellStart"/>
            <w:r w:rsidRPr="000A1C6C">
              <w:rPr>
                <w:rFonts w:ascii="Arial" w:hAnsi="Arial" w:cs="Arial"/>
              </w:rPr>
              <w:t>i</w:t>
            </w:r>
            <w:proofErr w:type="spellEnd"/>
            <w:r w:rsidRPr="000A1C6C">
              <w:rPr>
                <w:rFonts w:ascii="Arial" w:hAnsi="Arial" w:cs="Arial"/>
              </w:rPr>
              <w:t>) are included as whole units.  However, if these segments/portfolios were the cause of the designated entity entering a resolution, management actions taken by the designated entity prior to the entry in resolution would have resulted in significant changes that will render a business plan of limited use.</w:t>
            </w:r>
          </w:p>
          <w:p w14:paraId="4DE4E287" w14:textId="77777777" w:rsidR="00A459CC" w:rsidRPr="000A1C6C" w:rsidRDefault="00A459CC" w:rsidP="00A459CC">
            <w:pPr>
              <w:rPr>
                <w:rFonts w:ascii="Arial" w:hAnsi="Arial" w:cs="Arial"/>
              </w:rPr>
            </w:pPr>
            <w:r w:rsidRPr="000A1C6C">
              <w:rPr>
                <w:rFonts w:ascii="Arial" w:hAnsi="Arial" w:cs="Arial"/>
              </w:rPr>
              <w:t>Need to also under the purpose of a ‘historical’ business plan and how far back, given that the financial analysis/plan at the point of resolution will differ quite materially.</w:t>
            </w:r>
          </w:p>
          <w:p w14:paraId="3136406F" w14:textId="77777777" w:rsidR="00A459CC" w:rsidRPr="000A1C6C" w:rsidRDefault="00A459CC" w:rsidP="00A459CC">
            <w:pPr>
              <w:spacing w:after="0" w:line="240" w:lineRule="auto"/>
              <w:rPr>
                <w:rFonts w:ascii="Arial" w:hAnsi="Arial" w:cs="Arial"/>
              </w:rPr>
            </w:pPr>
          </w:p>
        </w:tc>
        <w:tc>
          <w:tcPr>
            <w:tcW w:w="6416" w:type="dxa"/>
            <w:shd w:val="clear" w:color="auto" w:fill="auto"/>
          </w:tcPr>
          <w:p w14:paraId="1AEA2368" w14:textId="0A74157F" w:rsidR="00E83473" w:rsidRDefault="0022587C" w:rsidP="00A459CC">
            <w:pPr>
              <w:spacing w:after="0" w:line="240" w:lineRule="auto"/>
              <w:jc w:val="both"/>
              <w:rPr>
                <w:rFonts w:ascii="Arial" w:eastAsia="Times New Roman" w:hAnsi="Arial" w:cs="Arial"/>
                <w:lang w:val="en-GB"/>
              </w:rPr>
            </w:pPr>
            <w:r>
              <w:rPr>
                <w:rFonts w:ascii="Arial" w:eastAsia="Times New Roman" w:hAnsi="Arial" w:cs="Arial"/>
                <w:lang w:val="en-GB"/>
              </w:rPr>
              <w:t>Th</w:t>
            </w:r>
            <w:r w:rsidR="002913FF">
              <w:rPr>
                <w:rFonts w:ascii="Arial" w:eastAsia="Times New Roman" w:hAnsi="Arial" w:cs="Arial"/>
                <w:lang w:val="en-GB"/>
              </w:rPr>
              <w:t>e</w:t>
            </w:r>
            <w:r>
              <w:rPr>
                <w:rFonts w:ascii="Arial" w:eastAsia="Times New Roman" w:hAnsi="Arial" w:cs="Arial"/>
                <w:lang w:val="en-GB"/>
              </w:rPr>
              <w:t xml:space="preserve"> resolution strategy</w:t>
            </w:r>
            <w:r w:rsidR="000B451D">
              <w:rPr>
                <w:rFonts w:ascii="Arial" w:eastAsia="Times New Roman" w:hAnsi="Arial" w:cs="Arial"/>
                <w:lang w:val="en-GB"/>
              </w:rPr>
              <w:t xml:space="preserve"> </w:t>
            </w:r>
            <w:r>
              <w:rPr>
                <w:rFonts w:ascii="Arial" w:eastAsia="Times New Roman" w:hAnsi="Arial" w:cs="Arial"/>
                <w:lang w:val="en-GB"/>
              </w:rPr>
              <w:t>is based on the best available information at any point in time and the purpose of resolution</w:t>
            </w:r>
            <w:r w:rsidR="000B451D">
              <w:rPr>
                <w:rFonts w:ascii="Arial" w:eastAsia="Times New Roman" w:hAnsi="Arial" w:cs="Arial"/>
                <w:lang w:val="en-GB"/>
              </w:rPr>
              <w:t xml:space="preserve"> planning</w:t>
            </w:r>
            <w:r>
              <w:rPr>
                <w:rFonts w:ascii="Arial" w:eastAsia="Times New Roman" w:hAnsi="Arial" w:cs="Arial"/>
                <w:lang w:val="en-GB"/>
              </w:rPr>
              <w:t xml:space="preserve"> is to facilitate an orderly resolution.</w:t>
            </w:r>
            <w:r w:rsidR="00B70233">
              <w:rPr>
                <w:rFonts w:ascii="Arial" w:eastAsia="Times New Roman" w:hAnsi="Arial" w:cs="Arial"/>
                <w:lang w:val="en-GB"/>
              </w:rPr>
              <w:t xml:space="preserve"> The purpose of this </w:t>
            </w:r>
            <w:r w:rsidR="00BF4C79">
              <w:rPr>
                <w:rFonts w:ascii="Arial" w:eastAsia="Times New Roman" w:hAnsi="Arial" w:cs="Arial"/>
                <w:lang w:val="en-GB"/>
              </w:rPr>
              <w:t>Standard</w:t>
            </w:r>
            <w:r w:rsidR="00B70233">
              <w:rPr>
                <w:rFonts w:ascii="Arial" w:eastAsia="Times New Roman" w:hAnsi="Arial" w:cs="Arial"/>
                <w:lang w:val="en-GB"/>
              </w:rPr>
              <w:t xml:space="preserve"> is to outline </w:t>
            </w:r>
            <w:r w:rsidR="00BF4C79">
              <w:rPr>
                <w:rFonts w:ascii="Arial" w:eastAsia="Times New Roman" w:hAnsi="Arial" w:cs="Arial"/>
                <w:lang w:val="en-GB"/>
              </w:rPr>
              <w:t xml:space="preserve">transfer </w:t>
            </w:r>
            <w:r w:rsidR="00B70233">
              <w:rPr>
                <w:rFonts w:ascii="Arial" w:eastAsia="Times New Roman" w:hAnsi="Arial" w:cs="Arial"/>
                <w:lang w:val="en-GB"/>
              </w:rPr>
              <w:t xml:space="preserve">requirements so that </w:t>
            </w:r>
            <w:r w:rsidR="00BF4C79">
              <w:rPr>
                <w:rFonts w:ascii="Arial" w:eastAsia="Times New Roman" w:hAnsi="Arial" w:cs="Arial"/>
                <w:lang w:val="en-GB"/>
              </w:rPr>
              <w:t>where</w:t>
            </w:r>
            <w:r w:rsidR="00B70233">
              <w:rPr>
                <w:rFonts w:ascii="Arial" w:eastAsia="Times New Roman" w:hAnsi="Arial" w:cs="Arial"/>
                <w:lang w:val="en-GB"/>
              </w:rPr>
              <w:t xml:space="preserve"> a transfer tool is envisaged </w:t>
            </w:r>
            <w:r w:rsidR="000B451D">
              <w:rPr>
                <w:rFonts w:ascii="Arial" w:eastAsia="Times New Roman" w:hAnsi="Arial" w:cs="Arial"/>
                <w:lang w:val="en-GB"/>
              </w:rPr>
              <w:t>(as</w:t>
            </w:r>
            <w:r w:rsidR="005B0A10">
              <w:rPr>
                <w:rFonts w:ascii="Arial" w:eastAsia="Times New Roman" w:hAnsi="Arial" w:cs="Arial"/>
                <w:lang w:val="en-GB"/>
              </w:rPr>
              <w:t xml:space="preserve"> the main or </w:t>
            </w:r>
            <w:r w:rsidR="000B451D">
              <w:rPr>
                <w:rFonts w:ascii="Arial" w:eastAsia="Times New Roman" w:hAnsi="Arial" w:cs="Arial"/>
                <w:lang w:val="en-GB"/>
              </w:rPr>
              <w:t>complementary</w:t>
            </w:r>
            <w:r w:rsidR="007008B1">
              <w:rPr>
                <w:rFonts w:ascii="Arial" w:eastAsia="Times New Roman" w:hAnsi="Arial" w:cs="Arial"/>
                <w:lang w:val="en-GB"/>
              </w:rPr>
              <w:t xml:space="preserve"> resolution</w:t>
            </w:r>
            <w:r w:rsidR="000B451D">
              <w:rPr>
                <w:rFonts w:ascii="Arial" w:eastAsia="Times New Roman" w:hAnsi="Arial" w:cs="Arial"/>
                <w:lang w:val="en-GB"/>
              </w:rPr>
              <w:t xml:space="preserve"> tool) </w:t>
            </w:r>
            <w:r w:rsidR="00BF4C79">
              <w:rPr>
                <w:rFonts w:ascii="Arial" w:eastAsia="Times New Roman" w:hAnsi="Arial" w:cs="Arial"/>
                <w:lang w:val="en-GB"/>
              </w:rPr>
              <w:t>there is adequate preparation</w:t>
            </w:r>
            <w:r w:rsidR="0056185A">
              <w:rPr>
                <w:rFonts w:ascii="Arial" w:eastAsia="Times New Roman" w:hAnsi="Arial" w:cs="Arial"/>
                <w:lang w:val="en-GB"/>
              </w:rPr>
              <w:t xml:space="preserve"> to resolve a</w:t>
            </w:r>
            <w:r w:rsidR="007008B1">
              <w:rPr>
                <w:rFonts w:ascii="Arial" w:eastAsia="Times New Roman" w:hAnsi="Arial" w:cs="Arial"/>
                <w:lang w:val="en-GB"/>
              </w:rPr>
              <w:t xml:space="preserve"> designated institution </w:t>
            </w:r>
            <w:r w:rsidR="0056185A">
              <w:rPr>
                <w:rFonts w:ascii="Arial" w:eastAsia="Times New Roman" w:hAnsi="Arial" w:cs="Arial"/>
                <w:lang w:val="en-GB"/>
              </w:rPr>
              <w:t>in an orderly manner.</w:t>
            </w:r>
            <w:r w:rsidR="00B70233">
              <w:rPr>
                <w:rFonts w:ascii="Arial" w:eastAsia="Times New Roman" w:hAnsi="Arial" w:cs="Arial"/>
                <w:lang w:val="en-GB"/>
              </w:rPr>
              <w:t xml:space="preserve"> </w:t>
            </w:r>
          </w:p>
          <w:p w14:paraId="460465ED" w14:textId="77777777" w:rsidR="00E83473" w:rsidRDefault="00E83473" w:rsidP="00A459CC">
            <w:pPr>
              <w:spacing w:after="0" w:line="240" w:lineRule="auto"/>
              <w:jc w:val="both"/>
              <w:rPr>
                <w:rFonts w:ascii="Arial" w:eastAsia="Times New Roman" w:hAnsi="Arial" w:cs="Arial"/>
                <w:lang w:val="en-GB"/>
              </w:rPr>
            </w:pPr>
          </w:p>
          <w:p w14:paraId="5498BE26" w14:textId="065DB765" w:rsidR="00260EAF" w:rsidRDefault="00F31431" w:rsidP="00A459CC">
            <w:pPr>
              <w:spacing w:after="0" w:line="240" w:lineRule="auto"/>
              <w:jc w:val="both"/>
              <w:rPr>
                <w:rFonts w:ascii="Arial" w:eastAsia="Times New Roman" w:hAnsi="Arial" w:cs="Arial"/>
                <w:lang w:val="en-GB"/>
              </w:rPr>
            </w:pPr>
            <w:r>
              <w:rPr>
                <w:rFonts w:ascii="Arial" w:eastAsia="Times New Roman" w:hAnsi="Arial" w:cs="Arial"/>
                <w:lang w:val="en-GB"/>
              </w:rPr>
              <w:t>However, at the point of resolution the R</w:t>
            </w:r>
            <w:r w:rsidR="009B008F">
              <w:rPr>
                <w:rFonts w:ascii="Arial" w:eastAsia="Times New Roman" w:hAnsi="Arial" w:cs="Arial"/>
                <w:lang w:val="en-GB"/>
              </w:rPr>
              <w:t>eserve Bank</w:t>
            </w:r>
            <w:r>
              <w:rPr>
                <w:rFonts w:ascii="Arial" w:eastAsia="Times New Roman" w:hAnsi="Arial" w:cs="Arial"/>
                <w:lang w:val="en-GB"/>
              </w:rPr>
              <w:t xml:space="preserve"> will consider whether all</w:t>
            </w:r>
            <w:r w:rsidR="00D1501D">
              <w:rPr>
                <w:rFonts w:ascii="Arial" w:eastAsia="Times New Roman" w:hAnsi="Arial" w:cs="Arial"/>
                <w:lang w:val="en-GB"/>
              </w:rPr>
              <w:t xml:space="preserve"> the</w:t>
            </w:r>
            <w:r>
              <w:rPr>
                <w:rFonts w:ascii="Arial" w:eastAsia="Times New Roman" w:hAnsi="Arial" w:cs="Arial"/>
                <w:lang w:val="en-GB"/>
              </w:rPr>
              <w:t xml:space="preserve"> steps</w:t>
            </w:r>
            <w:r w:rsidR="006332F2">
              <w:rPr>
                <w:rFonts w:ascii="Arial" w:eastAsia="Times New Roman" w:hAnsi="Arial" w:cs="Arial"/>
                <w:lang w:val="en-GB"/>
              </w:rPr>
              <w:t xml:space="preserve"> laid out </w:t>
            </w:r>
            <w:r w:rsidR="007008B1">
              <w:rPr>
                <w:rFonts w:ascii="Arial" w:eastAsia="Times New Roman" w:hAnsi="Arial" w:cs="Arial"/>
                <w:lang w:val="en-GB"/>
              </w:rPr>
              <w:t>in</w:t>
            </w:r>
            <w:r w:rsidR="006332F2">
              <w:rPr>
                <w:rFonts w:ascii="Arial" w:eastAsia="Times New Roman" w:hAnsi="Arial" w:cs="Arial"/>
                <w:lang w:val="en-GB"/>
              </w:rPr>
              <w:t xml:space="preserve"> the resolution</w:t>
            </w:r>
            <w:r>
              <w:rPr>
                <w:rFonts w:ascii="Arial" w:eastAsia="Times New Roman" w:hAnsi="Arial" w:cs="Arial"/>
                <w:lang w:val="en-GB"/>
              </w:rPr>
              <w:t xml:space="preserve"> plan are </w:t>
            </w:r>
            <w:r w:rsidR="00E7480A">
              <w:rPr>
                <w:rFonts w:ascii="Arial" w:eastAsia="Times New Roman" w:hAnsi="Arial" w:cs="Arial"/>
                <w:lang w:val="en-GB"/>
              </w:rPr>
              <w:t>implementable</w:t>
            </w:r>
            <w:r w:rsidR="0021575A">
              <w:rPr>
                <w:rFonts w:ascii="Arial" w:eastAsia="Times New Roman" w:hAnsi="Arial" w:cs="Arial"/>
                <w:lang w:val="en-GB"/>
              </w:rPr>
              <w:t xml:space="preserve"> and if they are not, the </w:t>
            </w:r>
            <w:r w:rsidR="009B008F">
              <w:rPr>
                <w:rFonts w:ascii="Arial" w:eastAsia="Times New Roman" w:hAnsi="Arial" w:cs="Arial"/>
                <w:lang w:val="en-GB"/>
              </w:rPr>
              <w:t>Reserve Bank</w:t>
            </w:r>
            <w:r w:rsidR="0021575A">
              <w:rPr>
                <w:rFonts w:ascii="Arial" w:eastAsia="Times New Roman" w:hAnsi="Arial" w:cs="Arial"/>
                <w:lang w:val="en-GB"/>
              </w:rPr>
              <w:t xml:space="preserve"> </w:t>
            </w:r>
            <w:r w:rsidR="006332F2">
              <w:rPr>
                <w:rFonts w:ascii="Arial" w:eastAsia="Times New Roman" w:hAnsi="Arial" w:cs="Arial"/>
                <w:lang w:val="en-GB"/>
              </w:rPr>
              <w:t>c</w:t>
            </w:r>
            <w:r w:rsidR="00E7480A">
              <w:rPr>
                <w:rFonts w:ascii="Arial" w:eastAsia="Times New Roman" w:hAnsi="Arial" w:cs="Arial"/>
                <w:lang w:val="en-GB"/>
              </w:rPr>
              <w:t>an</w:t>
            </w:r>
            <w:r w:rsidR="0021575A">
              <w:rPr>
                <w:rFonts w:ascii="Arial" w:eastAsia="Times New Roman" w:hAnsi="Arial" w:cs="Arial"/>
                <w:lang w:val="en-GB"/>
              </w:rPr>
              <w:t xml:space="preserve"> implement a variant resolution </w:t>
            </w:r>
            <w:r w:rsidR="006332F2">
              <w:rPr>
                <w:rFonts w:ascii="Arial" w:eastAsia="Times New Roman" w:hAnsi="Arial" w:cs="Arial"/>
                <w:lang w:val="en-GB"/>
              </w:rPr>
              <w:t>strategy</w:t>
            </w:r>
            <w:r w:rsidR="0021575A">
              <w:rPr>
                <w:rFonts w:ascii="Arial" w:eastAsia="Times New Roman" w:hAnsi="Arial" w:cs="Arial"/>
                <w:lang w:val="en-GB"/>
              </w:rPr>
              <w:t xml:space="preserve"> to achieve the objective o</w:t>
            </w:r>
            <w:r w:rsidR="004C752E">
              <w:rPr>
                <w:rFonts w:ascii="Arial" w:eastAsia="Times New Roman" w:hAnsi="Arial" w:cs="Arial"/>
                <w:lang w:val="en-GB"/>
              </w:rPr>
              <w:t>f</w:t>
            </w:r>
            <w:r w:rsidR="0021575A">
              <w:rPr>
                <w:rFonts w:ascii="Arial" w:eastAsia="Times New Roman" w:hAnsi="Arial" w:cs="Arial"/>
                <w:lang w:val="en-GB"/>
              </w:rPr>
              <w:t xml:space="preserve"> an orderly </w:t>
            </w:r>
            <w:r w:rsidR="006332F2">
              <w:rPr>
                <w:rFonts w:ascii="Arial" w:eastAsia="Times New Roman" w:hAnsi="Arial" w:cs="Arial"/>
                <w:lang w:val="en-GB"/>
              </w:rPr>
              <w:t>resolution and financial stability.</w:t>
            </w:r>
          </w:p>
          <w:p w14:paraId="0952B473" w14:textId="1B36C4DF" w:rsidR="00260EAF" w:rsidRPr="000A1C6C" w:rsidRDefault="00260EAF" w:rsidP="00A459CC">
            <w:pPr>
              <w:spacing w:after="0" w:line="240" w:lineRule="auto"/>
              <w:jc w:val="both"/>
              <w:rPr>
                <w:rFonts w:ascii="Arial" w:eastAsia="Times New Roman" w:hAnsi="Arial" w:cs="Arial"/>
                <w:lang w:val="en-GB"/>
              </w:rPr>
            </w:pPr>
          </w:p>
        </w:tc>
      </w:tr>
      <w:tr w:rsidR="00A459CC" w:rsidRPr="009D05E3" w14:paraId="417BFFC6" w14:textId="77777777" w:rsidTr="00515BD8">
        <w:tc>
          <w:tcPr>
            <w:tcW w:w="1886" w:type="dxa"/>
            <w:shd w:val="clear" w:color="auto" w:fill="FFFFFF" w:themeFill="background1"/>
          </w:tcPr>
          <w:p w14:paraId="13B6B11D" w14:textId="5583FF12" w:rsidR="00A459CC" w:rsidRPr="000A1C6C" w:rsidRDefault="008C3A29" w:rsidP="008C3A29">
            <w:pPr>
              <w:spacing w:after="0"/>
              <w:jc w:val="center"/>
              <w:rPr>
                <w:rFonts w:ascii="Arial" w:hAnsi="Arial" w:cs="Arial"/>
                <w:lang w:val="en-GB"/>
              </w:rPr>
            </w:pPr>
            <w:r w:rsidRPr="000A1C6C">
              <w:rPr>
                <w:rFonts w:ascii="Arial" w:hAnsi="Arial" w:cs="Arial"/>
                <w:lang w:val="en-GB"/>
              </w:rPr>
              <w:t>68</w:t>
            </w:r>
          </w:p>
        </w:tc>
        <w:tc>
          <w:tcPr>
            <w:tcW w:w="2078" w:type="dxa"/>
            <w:shd w:val="clear" w:color="auto" w:fill="FFFFFF" w:themeFill="background1"/>
          </w:tcPr>
          <w:p w14:paraId="62B57389" w14:textId="710D1DA2" w:rsidR="00A459CC" w:rsidRPr="000A1C6C" w:rsidRDefault="00A459CC" w:rsidP="00A459CC">
            <w:pPr>
              <w:spacing w:after="0" w:line="240" w:lineRule="auto"/>
              <w:rPr>
                <w:rFonts w:ascii="Arial" w:hAnsi="Arial" w:cs="Arial"/>
              </w:rPr>
            </w:pPr>
            <w:r w:rsidRPr="000A1C6C">
              <w:rPr>
                <w:rFonts w:ascii="Arial" w:hAnsi="Arial" w:cs="Arial"/>
              </w:rPr>
              <w:t>FirstRand</w:t>
            </w:r>
          </w:p>
        </w:tc>
        <w:tc>
          <w:tcPr>
            <w:tcW w:w="2691" w:type="dxa"/>
            <w:shd w:val="clear" w:color="auto" w:fill="FFFFFF" w:themeFill="background1"/>
          </w:tcPr>
          <w:p w14:paraId="661E2BFA" w14:textId="26A49556" w:rsidR="00A459CC" w:rsidRPr="000A1C6C" w:rsidRDefault="00A459CC" w:rsidP="00A459CC">
            <w:pPr>
              <w:rPr>
                <w:rFonts w:ascii="Arial" w:hAnsi="Arial" w:cs="Arial"/>
              </w:rPr>
            </w:pPr>
            <w:r w:rsidRPr="000A1C6C">
              <w:rPr>
                <w:rFonts w:ascii="Arial" w:hAnsi="Arial" w:cs="Arial"/>
              </w:rPr>
              <w:t>8.3(c)</w:t>
            </w:r>
          </w:p>
        </w:tc>
        <w:tc>
          <w:tcPr>
            <w:tcW w:w="7903" w:type="dxa"/>
            <w:shd w:val="clear" w:color="auto" w:fill="FFFFFF" w:themeFill="background1"/>
          </w:tcPr>
          <w:p w14:paraId="1E2E4084" w14:textId="77777777" w:rsidR="00A459CC" w:rsidRPr="000A1C6C" w:rsidRDefault="00A459CC" w:rsidP="00A459CC">
            <w:pPr>
              <w:rPr>
                <w:rFonts w:ascii="Arial" w:hAnsi="Arial" w:cs="Arial"/>
              </w:rPr>
            </w:pPr>
            <w:r w:rsidRPr="000A1C6C">
              <w:rPr>
                <w:rFonts w:ascii="Arial" w:hAnsi="Arial" w:cs="Arial"/>
              </w:rPr>
              <w:t xml:space="preserve">Alternative perimeters proposals appear to be limited to deviations based on treatment of interconnections. Removal of the text in brackets </w:t>
            </w:r>
            <w:r w:rsidRPr="000A1C6C">
              <w:rPr>
                <w:rFonts w:ascii="Arial" w:hAnsi="Arial" w:cs="Arial"/>
                <w:i/>
                <w:iCs/>
              </w:rPr>
              <w:t xml:space="preserve">(which may deviate based on how the assessed interconnections could be addressed) </w:t>
            </w:r>
            <w:r w:rsidRPr="000A1C6C">
              <w:rPr>
                <w:rFonts w:ascii="Arial" w:hAnsi="Arial" w:cs="Arial"/>
              </w:rPr>
              <w:t xml:space="preserve">allows for greater flexibility in proposing appropriate transfer parameters. </w:t>
            </w:r>
          </w:p>
          <w:p w14:paraId="6F6DD846" w14:textId="77777777" w:rsidR="00A459CC" w:rsidRPr="000A1C6C" w:rsidRDefault="00A459CC" w:rsidP="00A459CC">
            <w:pPr>
              <w:rPr>
                <w:rFonts w:ascii="Arial" w:hAnsi="Arial" w:cs="Arial"/>
                <w:bCs/>
              </w:rPr>
            </w:pPr>
          </w:p>
          <w:p w14:paraId="2E8A1487" w14:textId="640EEAD7" w:rsidR="00A459CC" w:rsidRPr="000A1C6C" w:rsidRDefault="00A459CC" w:rsidP="00A459CC">
            <w:pPr>
              <w:spacing w:after="0" w:line="240" w:lineRule="auto"/>
              <w:rPr>
                <w:rFonts w:ascii="Arial" w:hAnsi="Arial" w:cs="Arial"/>
              </w:rPr>
            </w:pPr>
            <w:r w:rsidRPr="000A1C6C">
              <w:rPr>
                <w:rFonts w:ascii="Arial" w:hAnsi="Arial" w:cs="Arial"/>
                <w:bCs/>
              </w:rPr>
              <w:lastRenderedPageBreak/>
              <w:t>We would request additional clarity on S8.3(c) regarding the proposal of alternative perimeters. Perhaps we need more guidance on the need for those alternative perimeters – it appears to be alluding to creating alternative scenarios etc. Is this the case?</w:t>
            </w:r>
          </w:p>
        </w:tc>
        <w:tc>
          <w:tcPr>
            <w:tcW w:w="6416" w:type="dxa"/>
            <w:shd w:val="clear" w:color="auto" w:fill="auto"/>
          </w:tcPr>
          <w:p w14:paraId="5E6D2413" w14:textId="1B1CA518" w:rsidR="00A93DC7" w:rsidRDefault="007318F9" w:rsidP="00A459CC">
            <w:pPr>
              <w:spacing w:after="0" w:line="240" w:lineRule="auto"/>
              <w:jc w:val="both"/>
              <w:rPr>
                <w:rFonts w:ascii="Arial" w:eastAsia="Times New Roman" w:hAnsi="Arial" w:cs="Arial"/>
                <w:lang w:val="en-GB"/>
              </w:rPr>
            </w:pPr>
            <w:r>
              <w:rPr>
                <w:rFonts w:ascii="Arial" w:eastAsia="Times New Roman" w:hAnsi="Arial" w:cs="Arial"/>
                <w:lang w:val="en-GB"/>
              </w:rPr>
              <w:lastRenderedPageBreak/>
              <w:t xml:space="preserve">The </w:t>
            </w:r>
            <w:r w:rsidR="00DA560E">
              <w:rPr>
                <w:rFonts w:ascii="Arial" w:eastAsia="Times New Roman" w:hAnsi="Arial" w:cs="Arial"/>
                <w:lang w:val="en-GB"/>
              </w:rPr>
              <w:t>Authorities</w:t>
            </w:r>
            <w:r w:rsidR="00A93DC7">
              <w:rPr>
                <w:rFonts w:ascii="Arial" w:eastAsia="Times New Roman" w:hAnsi="Arial" w:cs="Arial"/>
                <w:lang w:val="en-GB"/>
              </w:rPr>
              <w:t xml:space="preserve"> disagree with the removal of the wording in brackets because of the following:</w:t>
            </w:r>
          </w:p>
          <w:p w14:paraId="5C20240F" w14:textId="77777777" w:rsidR="00A93DC7" w:rsidRDefault="00A93DC7" w:rsidP="00A459CC">
            <w:pPr>
              <w:spacing w:after="0" w:line="240" w:lineRule="auto"/>
              <w:jc w:val="both"/>
              <w:rPr>
                <w:rFonts w:ascii="Arial" w:eastAsia="Times New Roman" w:hAnsi="Arial" w:cs="Arial"/>
                <w:lang w:val="en-GB"/>
              </w:rPr>
            </w:pPr>
          </w:p>
          <w:p w14:paraId="0CBB4840" w14:textId="3F87896A" w:rsidR="006B2CF0" w:rsidRDefault="00EE300B" w:rsidP="00A459CC">
            <w:pPr>
              <w:spacing w:after="0" w:line="240" w:lineRule="auto"/>
              <w:jc w:val="both"/>
              <w:rPr>
                <w:rFonts w:ascii="Arial" w:eastAsia="Times New Roman" w:hAnsi="Arial" w:cs="Arial"/>
                <w:lang w:val="en-GB"/>
              </w:rPr>
            </w:pPr>
            <w:r>
              <w:rPr>
                <w:rFonts w:ascii="Arial" w:eastAsia="Times New Roman" w:hAnsi="Arial" w:cs="Arial"/>
                <w:lang w:val="en-GB"/>
              </w:rPr>
              <w:t xml:space="preserve">The designated institution </w:t>
            </w:r>
            <w:r w:rsidR="009F4725">
              <w:rPr>
                <w:rFonts w:ascii="Arial" w:eastAsia="Times New Roman" w:hAnsi="Arial" w:cs="Arial"/>
                <w:lang w:val="en-GB"/>
              </w:rPr>
              <w:t xml:space="preserve">identifies the first layer of the </w:t>
            </w:r>
            <w:r w:rsidR="006B2CF0">
              <w:rPr>
                <w:rFonts w:ascii="Arial" w:eastAsia="Times New Roman" w:hAnsi="Arial" w:cs="Arial"/>
                <w:lang w:val="en-GB"/>
              </w:rPr>
              <w:t>transfer perimeter and assesses the relevant interconnections that</w:t>
            </w:r>
            <w:r w:rsidR="008117C8">
              <w:rPr>
                <w:rFonts w:ascii="Arial" w:eastAsia="Times New Roman" w:hAnsi="Arial" w:cs="Arial"/>
                <w:lang w:val="en-GB"/>
              </w:rPr>
              <w:t xml:space="preserve"> will</w:t>
            </w:r>
            <w:r w:rsidR="006B2CF0">
              <w:rPr>
                <w:rFonts w:ascii="Arial" w:eastAsia="Times New Roman" w:hAnsi="Arial" w:cs="Arial"/>
                <w:lang w:val="en-GB"/>
              </w:rPr>
              <w:t xml:space="preserve"> form the second layer of the </w:t>
            </w:r>
            <w:r w:rsidR="007268B1">
              <w:rPr>
                <w:rFonts w:ascii="Arial" w:eastAsia="Times New Roman" w:hAnsi="Arial" w:cs="Arial"/>
                <w:lang w:val="en-GB"/>
              </w:rPr>
              <w:t>transfer perimeter.</w:t>
            </w:r>
          </w:p>
          <w:p w14:paraId="4DAF6E2A" w14:textId="77777777" w:rsidR="003E3BF7" w:rsidRDefault="003E3BF7" w:rsidP="00A459CC">
            <w:pPr>
              <w:spacing w:after="0" w:line="240" w:lineRule="auto"/>
              <w:jc w:val="both"/>
              <w:rPr>
                <w:rFonts w:ascii="Arial" w:eastAsia="Times New Roman" w:hAnsi="Arial" w:cs="Arial"/>
                <w:lang w:val="en-GB"/>
              </w:rPr>
            </w:pPr>
          </w:p>
          <w:p w14:paraId="4F22FEDA" w14:textId="54514926" w:rsidR="000E1E97" w:rsidRDefault="001D67C4" w:rsidP="00A459CC">
            <w:pPr>
              <w:spacing w:after="0" w:line="240" w:lineRule="auto"/>
              <w:jc w:val="both"/>
              <w:rPr>
                <w:rFonts w:ascii="Arial" w:eastAsia="Times New Roman" w:hAnsi="Arial" w:cs="Arial"/>
                <w:lang w:val="en-GB"/>
              </w:rPr>
            </w:pPr>
            <w:r>
              <w:rPr>
                <w:rFonts w:ascii="Arial" w:eastAsia="Times New Roman" w:hAnsi="Arial" w:cs="Arial"/>
                <w:lang w:val="en-GB"/>
              </w:rPr>
              <w:lastRenderedPageBreak/>
              <w:t>There could be instances</w:t>
            </w:r>
            <w:r w:rsidR="00063F5A">
              <w:rPr>
                <w:rFonts w:ascii="Arial" w:eastAsia="Times New Roman" w:hAnsi="Arial" w:cs="Arial"/>
                <w:lang w:val="en-GB"/>
              </w:rPr>
              <w:t xml:space="preserve"> (</w:t>
            </w:r>
            <w:r w:rsidR="00A60F5C">
              <w:rPr>
                <w:rFonts w:ascii="Arial" w:eastAsia="Times New Roman" w:hAnsi="Arial" w:cs="Arial"/>
                <w:lang w:val="en-GB"/>
              </w:rPr>
              <w:t>based on the outcome</w:t>
            </w:r>
            <w:r w:rsidR="00BE1C43">
              <w:rPr>
                <w:rFonts w:ascii="Arial" w:eastAsia="Times New Roman" w:hAnsi="Arial" w:cs="Arial"/>
                <w:lang w:val="en-GB"/>
              </w:rPr>
              <w:t>s</w:t>
            </w:r>
            <w:r w:rsidR="00A60F5C">
              <w:rPr>
                <w:rFonts w:ascii="Arial" w:eastAsia="Times New Roman" w:hAnsi="Arial" w:cs="Arial"/>
                <w:lang w:val="en-GB"/>
              </w:rPr>
              <w:t xml:space="preserve"> of the </w:t>
            </w:r>
            <w:r w:rsidR="00426075">
              <w:rPr>
                <w:rFonts w:ascii="Arial" w:eastAsia="Times New Roman" w:hAnsi="Arial" w:cs="Arial"/>
                <w:lang w:val="en-GB"/>
              </w:rPr>
              <w:t>interconnections assessed</w:t>
            </w:r>
            <w:r w:rsidR="0065522B">
              <w:rPr>
                <w:rFonts w:ascii="Arial" w:eastAsia="Times New Roman" w:hAnsi="Arial" w:cs="Arial"/>
                <w:lang w:val="en-GB"/>
              </w:rPr>
              <w:t xml:space="preserve"> and financial analysis</w:t>
            </w:r>
            <w:r w:rsidR="00063F5A">
              <w:rPr>
                <w:rFonts w:ascii="Arial" w:eastAsia="Times New Roman" w:hAnsi="Arial" w:cs="Arial"/>
                <w:lang w:val="en-GB"/>
              </w:rPr>
              <w:t>)</w:t>
            </w:r>
            <w:r w:rsidR="00426075">
              <w:rPr>
                <w:rFonts w:ascii="Arial" w:eastAsia="Times New Roman" w:hAnsi="Arial" w:cs="Arial"/>
                <w:lang w:val="en-GB"/>
              </w:rPr>
              <w:t xml:space="preserve"> </w:t>
            </w:r>
            <w:r w:rsidR="00D61436">
              <w:rPr>
                <w:rFonts w:ascii="Arial" w:eastAsia="Times New Roman" w:hAnsi="Arial" w:cs="Arial"/>
                <w:lang w:val="en-GB"/>
              </w:rPr>
              <w:t xml:space="preserve">where there are </w:t>
            </w:r>
            <w:r w:rsidR="00EE5965">
              <w:rPr>
                <w:rFonts w:ascii="Arial" w:eastAsia="Times New Roman" w:hAnsi="Arial" w:cs="Arial"/>
                <w:lang w:val="en-GB"/>
              </w:rPr>
              <w:t>significant</w:t>
            </w:r>
            <w:r w:rsidR="001C2DCA">
              <w:rPr>
                <w:rFonts w:ascii="Arial" w:eastAsia="Times New Roman" w:hAnsi="Arial" w:cs="Arial"/>
                <w:lang w:val="en-GB"/>
              </w:rPr>
              <w:t xml:space="preserve"> or complex</w:t>
            </w:r>
            <w:r w:rsidR="00EE5965">
              <w:rPr>
                <w:rFonts w:ascii="Arial" w:eastAsia="Times New Roman" w:hAnsi="Arial" w:cs="Arial"/>
                <w:lang w:val="en-GB"/>
              </w:rPr>
              <w:t xml:space="preserve"> separability issues</w:t>
            </w:r>
            <w:r w:rsidR="001C2DCA">
              <w:rPr>
                <w:rFonts w:ascii="Arial" w:eastAsia="Times New Roman" w:hAnsi="Arial" w:cs="Arial"/>
                <w:lang w:val="en-GB"/>
              </w:rPr>
              <w:t xml:space="preserve"> that were not </w:t>
            </w:r>
            <w:r w:rsidR="00063F5A">
              <w:rPr>
                <w:rFonts w:ascii="Arial" w:eastAsia="Times New Roman" w:hAnsi="Arial" w:cs="Arial"/>
                <w:lang w:val="en-GB"/>
              </w:rPr>
              <w:t>envisaged,</w:t>
            </w:r>
            <w:r w:rsidR="00426075">
              <w:rPr>
                <w:rFonts w:ascii="Arial" w:eastAsia="Times New Roman" w:hAnsi="Arial" w:cs="Arial"/>
                <w:lang w:val="en-GB"/>
              </w:rPr>
              <w:t xml:space="preserve"> or the financial outcomes </w:t>
            </w:r>
            <w:r w:rsidR="00715017">
              <w:rPr>
                <w:rFonts w:ascii="Arial" w:eastAsia="Times New Roman" w:hAnsi="Arial" w:cs="Arial"/>
                <w:lang w:val="en-GB"/>
              </w:rPr>
              <w:t xml:space="preserve">of the transfer </w:t>
            </w:r>
            <w:r w:rsidR="003176AC">
              <w:rPr>
                <w:rFonts w:ascii="Arial" w:eastAsia="Times New Roman" w:hAnsi="Arial" w:cs="Arial"/>
                <w:lang w:val="en-GB"/>
              </w:rPr>
              <w:t xml:space="preserve">perimeter </w:t>
            </w:r>
            <w:r w:rsidR="00327220">
              <w:rPr>
                <w:rFonts w:ascii="Arial" w:eastAsia="Times New Roman" w:hAnsi="Arial" w:cs="Arial"/>
                <w:lang w:val="en-GB"/>
              </w:rPr>
              <w:t>are</w:t>
            </w:r>
            <w:r w:rsidR="0065522B">
              <w:rPr>
                <w:rFonts w:ascii="Arial" w:eastAsia="Times New Roman" w:hAnsi="Arial" w:cs="Arial"/>
                <w:lang w:val="en-GB"/>
              </w:rPr>
              <w:t xml:space="preserve"> not deemed</w:t>
            </w:r>
            <w:r w:rsidR="00D61436">
              <w:rPr>
                <w:rFonts w:ascii="Arial" w:eastAsia="Times New Roman" w:hAnsi="Arial" w:cs="Arial"/>
                <w:lang w:val="en-GB"/>
              </w:rPr>
              <w:t xml:space="preserve"> “</w:t>
            </w:r>
            <w:r w:rsidR="00426075">
              <w:rPr>
                <w:rFonts w:ascii="Arial" w:eastAsia="Times New Roman" w:hAnsi="Arial" w:cs="Arial"/>
                <w:lang w:val="en-GB"/>
              </w:rPr>
              <w:t>attractive</w:t>
            </w:r>
            <w:r w:rsidR="00D61436">
              <w:rPr>
                <w:rFonts w:ascii="Arial" w:eastAsia="Times New Roman" w:hAnsi="Arial" w:cs="Arial"/>
                <w:lang w:val="en-GB"/>
              </w:rPr>
              <w:t>”</w:t>
            </w:r>
            <w:r w:rsidR="00063F5A">
              <w:rPr>
                <w:rFonts w:ascii="Arial" w:eastAsia="Times New Roman" w:hAnsi="Arial" w:cs="Arial"/>
                <w:lang w:val="en-GB"/>
              </w:rPr>
              <w:t xml:space="preserve"> enough</w:t>
            </w:r>
            <w:r w:rsidR="00D61436">
              <w:rPr>
                <w:rFonts w:ascii="Arial" w:eastAsia="Times New Roman" w:hAnsi="Arial" w:cs="Arial"/>
                <w:lang w:val="en-GB"/>
              </w:rPr>
              <w:t xml:space="preserve"> for</w:t>
            </w:r>
            <w:r w:rsidR="00063F5A">
              <w:rPr>
                <w:rFonts w:ascii="Arial" w:eastAsia="Times New Roman" w:hAnsi="Arial" w:cs="Arial"/>
                <w:lang w:val="en-GB"/>
              </w:rPr>
              <w:t xml:space="preserve"> </w:t>
            </w:r>
            <w:r w:rsidR="00426075">
              <w:rPr>
                <w:rFonts w:ascii="Arial" w:eastAsia="Times New Roman" w:hAnsi="Arial" w:cs="Arial"/>
                <w:lang w:val="en-GB"/>
              </w:rPr>
              <w:t>prospective acquirer</w:t>
            </w:r>
            <w:r w:rsidR="00063F5A">
              <w:rPr>
                <w:rFonts w:ascii="Arial" w:eastAsia="Times New Roman" w:hAnsi="Arial" w:cs="Arial"/>
                <w:lang w:val="en-GB"/>
              </w:rPr>
              <w:t>s</w:t>
            </w:r>
            <w:r w:rsidR="003176AC">
              <w:rPr>
                <w:rFonts w:ascii="Arial" w:eastAsia="Times New Roman" w:hAnsi="Arial" w:cs="Arial"/>
                <w:lang w:val="en-GB"/>
              </w:rPr>
              <w:t xml:space="preserve">. </w:t>
            </w:r>
            <w:r w:rsidR="00063F5A">
              <w:rPr>
                <w:rFonts w:ascii="Arial" w:eastAsia="Times New Roman" w:hAnsi="Arial" w:cs="Arial"/>
                <w:lang w:val="en-GB"/>
              </w:rPr>
              <w:t>Therefore,</w:t>
            </w:r>
            <w:r w:rsidR="003176AC">
              <w:rPr>
                <w:rFonts w:ascii="Arial" w:eastAsia="Times New Roman" w:hAnsi="Arial" w:cs="Arial"/>
                <w:lang w:val="en-GB"/>
              </w:rPr>
              <w:t xml:space="preserve"> the designated </w:t>
            </w:r>
            <w:r w:rsidR="0065522B">
              <w:rPr>
                <w:rFonts w:ascii="Arial" w:eastAsia="Times New Roman" w:hAnsi="Arial" w:cs="Arial"/>
                <w:lang w:val="en-GB"/>
              </w:rPr>
              <w:t>institution</w:t>
            </w:r>
            <w:r w:rsidR="001C2DCA">
              <w:rPr>
                <w:rFonts w:ascii="Arial" w:eastAsia="Times New Roman" w:hAnsi="Arial" w:cs="Arial"/>
                <w:lang w:val="en-GB"/>
              </w:rPr>
              <w:t xml:space="preserve"> could</w:t>
            </w:r>
            <w:r w:rsidR="0065522B">
              <w:rPr>
                <w:rFonts w:ascii="Arial" w:eastAsia="Times New Roman" w:hAnsi="Arial" w:cs="Arial"/>
                <w:lang w:val="en-GB"/>
              </w:rPr>
              <w:t xml:space="preserve"> be </w:t>
            </w:r>
            <w:r w:rsidR="00EA3FB5">
              <w:rPr>
                <w:rFonts w:ascii="Arial" w:eastAsia="Times New Roman" w:hAnsi="Arial" w:cs="Arial"/>
                <w:lang w:val="en-GB"/>
              </w:rPr>
              <w:t>require</w:t>
            </w:r>
            <w:r w:rsidR="0065522B">
              <w:rPr>
                <w:rFonts w:ascii="Arial" w:eastAsia="Times New Roman" w:hAnsi="Arial" w:cs="Arial"/>
                <w:lang w:val="en-GB"/>
              </w:rPr>
              <w:t>d</w:t>
            </w:r>
            <w:r w:rsidR="00EE5965">
              <w:rPr>
                <w:rFonts w:ascii="Arial" w:eastAsia="Times New Roman" w:hAnsi="Arial" w:cs="Arial"/>
                <w:lang w:val="en-GB"/>
              </w:rPr>
              <w:t xml:space="preserve"> to propose an alternative perimeter</w:t>
            </w:r>
            <w:r w:rsidR="00515C20">
              <w:rPr>
                <w:rFonts w:ascii="Arial" w:eastAsia="Times New Roman" w:hAnsi="Arial" w:cs="Arial"/>
                <w:lang w:val="en-GB"/>
              </w:rPr>
              <w:t xml:space="preserve"> to improve the credibility and feasibility of the transfer tool.</w:t>
            </w:r>
          </w:p>
          <w:p w14:paraId="411F99E4" w14:textId="745F86C8" w:rsidR="00871728" w:rsidRDefault="00871728" w:rsidP="00A459CC">
            <w:pPr>
              <w:spacing w:after="0" w:line="240" w:lineRule="auto"/>
              <w:jc w:val="both"/>
              <w:rPr>
                <w:rFonts w:ascii="Arial" w:eastAsia="Times New Roman" w:hAnsi="Arial" w:cs="Arial"/>
                <w:lang w:val="en-GB"/>
              </w:rPr>
            </w:pPr>
          </w:p>
          <w:p w14:paraId="0FC2A763" w14:textId="475110FE" w:rsidR="00871728" w:rsidRDefault="00871728" w:rsidP="00A459CC">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E867BF">
              <w:rPr>
                <w:rFonts w:ascii="Arial" w:eastAsia="Times New Roman" w:hAnsi="Arial" w:cs="Arial"/>
                <w:lang w:val="en-GB"/>
              </w:rPr>
              <w:t>word “may” does not</w:t>
            </w:r>
            <w:r>
              <w:rPr>
                <w:rFonts w:ascii="Arial" w:eastAsia="Times New Roman" w:hAnsi="Arial" w:cs="Arial"/>
                <w:lang w:val="en-GB"/>
              </w:rPr>
              <w:t xml:space="preserve"> necessarily put a restriction on the reasons </w:t>
            </w:r>
            <w:r w:rsidR="003620AE">
              <w:rPr>
                <w:rFonts w:ascii="Arial" w:eastAsia="Times New Roman" w:hAnsi="Arial" w:cs="Arial"/>
                <w:lang w:val="en-GB"/>
              </w:rPr>
              <w:t>to</w:t>
            </w:r>
            <w:r>
              <w:rPr>
                <w:rFonts w:ascii="Arial" w:eastAsia="Times New Roman" w:hAnsi="Arial" w:cs="Arial"/>
                <w:lang w:val="en-GB"/>
              </w:rPr>
              <w:t xml:space="preserve"> propose an alternative </w:t>
            </w:r>
            <w:r w:rsidR="003620AE">
              <w:rPr>
                <w:rFonts w:ascii="Arial" w:eastAsia="Times New Roman" w:hAnsi="Arial" w:cs="Arial"/>
                <w:lang w:val="en-GB"/>
              </w:rPr>
              <w:t>transfer</w:t>
            </w:r>
            <w:r w:rsidR="00E867BF">
              <w:rPr>
                <w:rFonts w:ascii="Arial" w:eastAsia="Times New Roman" w:hAnsi="Arial" w:cs="Arial"/>
                <w:lang w:val="en-GB"/>
              </w:rPr>
              <w:t xml:space="preserve"> perimeter.</w:t>
            </w:r>
          </w:p>
          <w:p w14:paraId="3699E6D7" w14:textId="51AF9516" w:rsidR="000E1E97" w:rsidRDefault="000E1E97" w:rsidP="00A459CC">
            <w:pPr>
              <w:spacing w:after="0" w:line="240" w:lineRule="auto"/>
              <w:jc w:val="both"/>
              <w:rPr>
                <w:rFonts w:ascii="Arial" w:eastAsia="Times New Roman" w:hAnsi="Arial" w:cs="Arial"/>
                <w:lang w:val="en-GB"/>
              </w:rPr>
            </w:pPr>
          </w:p>
          <w:p w14:paraId="57F75644" w14:textId="5E6E7B35" w:rsidR="007318F9" w:rsidRDefault="007318F9" w:rsidP="00A459CC">
            <w:pPr>
              <w:spacing w:after="0" w:line="240" w:lineRule="auto"/>
              <w:jc w:val="both"/>
              <w:rPr>
                <w:rFonts w:ascii="Arial" w:eastAsia="Times New Roman" w:hAnsi="Arial" w:cs="Arial"/>
                <w:lang w:val="en-GB"/>
              </w:rPr>
            </w:pPr>
            <w:r>
              <w:rPr>
                <w:rFonts w:ascii="Arial" w:eastAsia="Times New Roman" w:hAnsi="Arial" w:cs="Arial"/>
                <w:lang w:val="en-GB"/>
              </w:rPr>
              <w:t xml:space="preserve">In </w:t>
            </w:r>
            <w:r w:rsidR="003620AE">
              <w:rPr>
                <w:rFonts w:ascii="Arial" w:eastAsia="Times New Roman" w:hAnsi="Arial" w:cs="Arial"/>
                <w:lang w:val="en-GB"/>
              </w:rPr>
              <w:t>addition,</w:t>
            </w:r>
            <w:r w:rsidR="000174D2">
              <w:rPr>
                <w:rFonts w:ascii="Arial" w:eastAsia="Times New Roman" w:hAnsi="Arial" w:cs="Arial"/>
                <w:lang w:val="en-GB"/>
              </w:rPr>
              <w:t xml:space="preserve"> there could be perimeter shifts/movements due to changing </w:t>
            </w:r>
            <w:r>
              <w:rPr>
                <w:rFonts w:ascii="Arial" w:eastAsia="Times New Roman" w:hAnsi="Arial" w:cs="Arial"/>
                <w:lang w:val="en-GB"/>
              </w:rPr>
              <w:t>economic conditions</w:t>
            </w:r>
            <w:r w:rsidR="000174D2">
              <w:rPr>
                <w:rFonts w:ascii="Arial" w:eastAsia="Times New Roman" w:hAnsi="Arial" w:cs="Arial"/>
                <w:lang w:val="en-GB"/>
              </w:rPr>
              <w:t xml:space="preserve"> or </w:t>
            </w:r>
            <w:r w:rsidR="003620AE">
              <w:rPr>
                <w:rFonts w:ascii="Arial" w:eastAsia="Times New Roman" w:hAnsi="Arial" w:cs="Arial"/>
                <w:lang w:val="en-GB"/>
              </w:rPr>
              <w:t>evolution</w:t>
            </w:r>
            <w:r w:rsidR="000174D2">
              <w:rPr>
                <w:rFonts w:ascii="Arial" w:eastAsia="Times New Roman" w:hAnsi="Arial" w:cs="Arial"/>
                <w:lang w:val="en-GB"/>
              </w:rPr>
              <w:t xml:space="preserve"> of the designated </w:t>
            </w:r>
            <w:r w:rsidR="00F8004C">
              <w:rPr>
                <w:rFonts w:ascii="Arial" w:eastAsia="Times New Roman" w:hAnsi="Arial" w:cs="Arial"/>
                <w:lang w:val="en-GB"/>
              </w:rPr>
              <w:t>institutions</w:t>
            </w:r>
            <w:r w:rsidR="000174D2">
              <w:rPr>
                <w:rFonts w:ascii="Arial" w:eastAsia="Times New Roman" w:hAnsi="Arial" w:cs="Arial"/>
                <w:lang w:val="en-GB"/>
              </w:rPr>
              <w:t xml:space="preserve">’ </w:t>
            </w:r>
            <w:r w:rsidR="003620AE">
              <w:rPr>
                <w:rFonts w:ascii="Arial" w:eastAsia="Times New Roman" w:hAnsi="Arial" w:cs="Arial"/>
                <w:lang w:val="en-GB"/>
              </w:rPr>
              <w:t>business, which may require an al</w:t>
            </w:r>
            <w:r w:rsidR="00355B44">
              <w:rPr>
                <w:rFonts w:ascii="Arial" w:eastAsia="Times New Roman" w:hAnsi="Arial" w:cs="Arial"/>
                <w:lang w:val="en-GB"/>
              </w:rPr>
              <w:t>ternative perimeter</w:t>
            </w:r>
            <w:r w:rsidR="000A2033">
              <w:rPr>
                <w:rFonts w:ascii="Arial" w:eastAsia="Times New Roman" w:hAnsi="Arial" w:cs="Arial"/>
                <w:lang w:val="en-GB"/>
              </w:rPr>
              <w:t xml:space="preserve"> or an updated shift in the perimeter</w:t>
            </w:r>
            <w:r w:rsidR="00355B44">
              <w:rPr>
                <w:rFonts w:ascii="Arial" w:eastAsia="Times New Roman" w:hAnsi="Arial" w:cs="Arial"/>
                <w:lang w:val="en-GB"/>
              </w:rPr>
              <w:t>.</w:t>
            </w:r>
          </w:p>
          <w:p w14:paraId="02423871" w14:textId="5D5634AB" w:rsidR="00A459CC" w:rsidRPr="000A1C6C" w:rsidRDefault="00A459CC" w:rsidP="00A459CC">
            <w:pPr>
              <w:spacing w:after="0" w:line="240" w:lineRule="auto"/>
              <w:jc w:val="both"/>
              <w:rPr>
                <w:rFonts w:ascii="Arial" w:eastAsia="Times New Roman" w:hAnsi="Arial" w:cs="Arial"/>
                <w:lang w:val="en-GB"/>
              </w:rPr>
            </w:pPr>
          </w:p>
        </w:tc>
      </w:tr>
      <w:tr w:rsidR="00A459CC" w:rsidRPr="009D05E3" w14:paraId="11746A6B" w14:textId="77777777" w:rsidTr="00515BD8">
        <w:tc>
          <w:tcPr>
            <w:tcW w:w="1886" w:type="dxa"/>
            <w:shd w:val="clear" w:color="auto" w:fill="FFFFFF" w:themeFill="background1"/>
          </w:tcPr>
          <w:p w14:paraId="4D1015AA" w14:textId="176F6DEA" w:rsidR="00A459CC" w:rsidRPr="000A1C6C" w:rsidRDefault="008C3A29" w:rsidP="008C3A29">
            <w:pPr>
              <w:spacing w:after="0"/>
              <w:jc w:val="center"/>
              <w:rPr>
                <w:rFonts w:ascii="Arial" w:hAnsi="Arial" w:cs="Arial"/>
                <w:lang w:val="en-GB"/>
              </w:rPr>
            </w:pPr>
            <w:r w:rsidRPr="000A1C6C">
              <w:rPr>
                <w:rFonts w:ascii="Arial" w:hAnsi="Arial" w:cs="Arial"/>
                <w:lang w:val="en-GB"/>
              </w:rPr>
              <w:lastRenderedPageBreak/>
              <w:t>69</w:t>
            </w:r>
          </w:p>
        </w:tc>
        <w:tc>
          <w:tcPr>
            <w:tcW w:w="2078" w:type="dxa"/>
            <w:shd w:val="clear" w:color="auto" w:fill="FFFFFF" w:themeFill="background1"/>
          </w:tcPr>
          <w:p w14:paraId="7D1BF737" w14:textId="1F36BFB9" w:rsidR="00A459CC" w:rsidRPr="000A1C6C" w:rsidRDefault="00A459CC" w:rsidP="00A459CC">
            <w:pPr>
              <w:spacing w:after="0" w:line="240" w:lineRule="auto"/>
              <w:rPr>
                <w:rFonts w:ascii="Arial" w:hAnsi="Arial" w:cs="Arial"/>
              </w:rPr>
            </w:pPr>
            <w:r w:rsidRPr="000A1C6C">
              <w:rPr>
                <w:rFonts w:ascii="Arial" w:hAnsi="Arial" w:cs="Arial"/>
              </w:rPr>
              <w:t>FirstRand</w:t>
            </w:r>
          </w:p>
        </w:tc>
        <w:tc>
          <w:tcPr>
            <w:tcW w:w="2691" w:type="dxa"/>
            <w:shd w:val="clear" w:color="auto" w:fill="FFFFFF" w:themeFill="background1"/>
          </w:tcPr>
          <w:p w14:paraId="34E7FEBA" w14:textId="0E13F4B4" w:rsidR="00A459CC" w:rsidRPr="000A1C6C" w:rsidRDefault="00A459CC" w:rsidP="00A459CC">
            <w:pPr>
              <w:spacing w:after="0" w:line="240" w:lineRule="auto"/>
              <w:rPr>
                <w:rFonts w:ascii="Arial" w:hAnsi="Arial" w:cs="Arial"/>
              </w:rPr>
            </w:pPr>
            <w:r w:rsidRPr="000A1C6C">
              <w:rPr>
                <w:rFonts w:ascii="Arial" w:hAnsi="Arial" w:cs="Arial"/>
              </w:rPr>
              <w:t>8.4(a)</w:t>
            </w:r>
          </w:p>
        </w:tc>
        <w:tc>
          <w:tcPr>
            <w:tcW w:w="7903" w:type="dxa"/>
            <w:shd w:val="clear" w:color="auto" w:fill="FFFFFF" w:themeFill="background1"/>
          </w:tcPr>
          <w:p w14:paraId="554D50FF" w14:textId="77777777" w:rsidR="00A459CC" w:rsidRPr="000A1C6C" w:rsidRDefault="00A459CC" w:rsidP="00A459CC">
            <w:pPr>
              <w:spacing w:after="120"/>
              <w:rPr>
                <w:rFonts w:ascii="Arial" w:hAnsi="Arial" w:cs="Arial"/>
                <w:bCs/>
              </w:rPr>
            </w:pPr>
            <w:r w:rsidRPr="000A1C6C">
              <w:rPr>
                <w:rFonts w:ascii="Arial" w:hAnsi="Arial" w:cs="Arial"/>
                <w:bCs/>
              </w:rPr>
              <w:t>In the event of a DSIB require to go into Resolution, it is the probable scenario that there would be a Global systemic issue that result in such a crisis.  Any analysis relating to potential buyers would more than likely be unreliable at that point.  The usefulness of this analysis is questionable.</w:t>
            </w:r>
          </w:p>
          <w:p w14:paraId="43240840" w14:textId="1229244D" w:rsidR="00A459CC" w:rsidRPr="000A1C6C" w:rsidRDefault="00A459CC" w:rsidP="00A459CC">
            <w:pPr>
              <w:spacing w:after="0" w:line="240" w:lineRule="auto"/>
              <w:rPr>
                <w:rFonts w:ascii="Arial" w:hAnsi="Arial" w:cs="Arial"/>
              </w:rPr>
            </w:pPr>
            <w:r w:rsidRPr="000A1C6C">
              <w:rPr>
                <w:rFonts w:ascii="Arial" w:hAnsi="Arial" w:cs="Arial"/>
              </w:rPr>
              <w:t>The requirement for market capacity and interest is very complex since it requires the designated institution to make assumptions about potential buyers in terms of appetite, strategic fit, capital access and operational capacity.  These would likely be significantly different during a crisis compared to normal market conditions. Consideration must be given to limiting the scope of this requirement.</w:t>
            </w:r>
          </w:p>
        </w:tc>
        <w:tc>
          <w:tcPr>
            <w:tcW w:w="6416" w:type="dxa"/>
            <w:shd w:val="clear" w:color="auto" w:fill="auto"/>
          </w:tcPr>
          <w:p w14:paraId="65B8BA32" w14:textId="2A718DA9" w:rsidR="00A459CC" w:rsidRDefault="007C279C" w:rsidP="00A459CC">
            <w:pPr>
              <w:spacing w:after="0" w:line="240" w:lineRule="auto"/>
              <w:jc w:val="both"/>
              <w:rPr>
                <w:rFonts w:ascii="Arial" w:eastAsia="Times New Roman" w:hAnsi="Arial" w:cs="Arial"/>
                <w:lang w:val="en-GB"/>
              </w:rPr>
            </w:pPr>
            <w:r>
              <w:rPr>
                <w:rFonts w:ascii="Arial" w:eastAsia="Times New Roman" w:hAnsi="Arial" w:cs="Arial"/>
                <w:lang w:val="en-GB"/>
              </w:rPr>
              <w:t xml:space="preserve">In a resolution scenario, time is of the essence to </w:t>
            </w:r>
            <w:r w:rsidR="003F3F3E">
              <w:rPr>
                <w:rFonts w:ascii="Arial" w:eastAsia="Times New Roman" w:hAnsi="Arial" w:cs="Arial"/>
                <w:lang w:val="en-GB"/>
              </w:rPr>
              <w:t>p</w:t>
            </w:r>
            <w:r w:rsidR="0096455E">
              <w:rPr>
                <w:rFonts w:ascii="Arial" w:eastAsia="Times New Roman" w:hAnsi="Arial" w:cs="Arial"/>
                <w:lang w:val="en-GB"/>
              </w:rPr>
              <w:t>revent</w:t>
            </w:r>
            <w:r w:rsidR="003F3F3E">
              <w:rPr>
                <w:rFonts w:ascii="Arial" w:eastAsia="Times New Roman" w:hAnsi="Arial" w:cs="Arial"/>
                <w:lang w:val="en-GB"/>
              </w:rPr>
              <w:t xml:space="preserve"> further loss</w:t>
            </w:r>
            <w:r w:rsidR="0096455E">
              <w:rPr>
                <w:rFonts w:ascii="Arial" w:eastAsia="Times New Roman" w:hAnsi="Arial" w:cs="Arial"/>
                <w:lang w:val="en-GB"/>
              </w:rPr>
              <w:t xml:space="preserve">es in the designated </w:t>
            </w:r>
            <w:r w:rsidR="00B87269">
              <w:rPr>
                <w:rFonts w:ascii="Arial" w:eastAsia="Times New Roman" w:hAnsi="Arial" w:cs="Arial"/>
                <w:lang w:val="en-GB"/>
              </w:rPr>
              <w:t>institution</w:t>
            </w:r>
            <w:r w:rsidR="0096455E">
              <w:rPr>
                <w:rFonts w:ascii="Arial" w:eastAsia="Times New Roman" w:hAnsi="Arial" w:cs="Arial"/>
                <w:lang w:val="en-GB"/>
              </w:rPr>
              <w:t xml:space="preserve"> and its </w:t>
            </w:r>
            <w:r w:rsidR="00B87269">
              <w:rPr>
                <w:rFonts w:ascii="Arial" w:eastAsia="Times New Roman" w:hAnsi="Arial" w:cs="Arial"/>
                <w:lang w:val="en-GB"/>
              </w:rPr>
              <w:t>constituents</w:t>
            </w:r>
            <w:r w:rsidR="0096455E">
              <w:rPr>
                <w:rFonts w:ascii="Arial" w:eastAsia="Times New Roman" w:hAnsi="Arial" w:cs="Arial"/>
                <w:lang w:val="en-GB"/>
              </w:rPr>
              <w:t xml:space="preserve"> (</w:t>
            </w:r>
            <w:r w:rsidR="007514A9">
              <w:rPr>
                <w:rFonts w:ascii="Arial" w:eastAsia="Times New Roman" w:hAnsi="Arial" w:cs="Arial"/>
                <w:lang w:val="en-GB"/>
              </w:rPr>
              <w:t>regardless of the resolution tool to be implemented)</w:t>
            </w:r>
            <w:r w:rsidR="0007761D">
              <w:rPr>
                <w:rFonts w:ascii="Arial" w:eastAsia="Times New Roman" w:hAnsi="Arial" w:cs="Arial"/>
                <w:lang w:val="en-GB"/>
              </w:rPr>
              <w:t xml:space="preserve">. Having a plan and a reasonable pool of potential acquirers </w:t>
            </w:r>
            <w:r w:rsidR="00B87269">
              <w:rPr>
                <w:rFonts w:ascii="Arial" w:eastAsia="Times New Roman" w:hAnsi="Arial" w:cs="Arial"/>
                <w:lang w:val="en-GB"/>
              </w:rPr>
              <w:t xml:space="preserve">(where required) </w:t>
            </w:r>
            <w:r w:rsidR="0007761D">
              <w:rPr>
                <w:rFonts w:ascii="Arial" w:eastAsia="Times New Roman" w:hAnsi="Arial" w:cs="Arial"/>
                <w:lang w:val="en-GB"/>
              </w:rPr>
              <w:t xml:space="preserve">is </w:t>
            </w:r>
            <w:r w:rsidR="00854271">
              <w:rPr>
                <w:rFonts w:ascii="Arial" w:eastAsia="Times New Roman" w:hAnsi="Arial" w:cs="Arial"/>
                <w:lang w:val="en-GB"/>
              </w:rPr>
              <w:t>imperative</w:t>
            </w:r>
            <w:r w:rsidR="00B87269">
              <w:rPr>
                <w:rFonts w:ascii="Arial" w:eastAsia="Times New Roman" w:hAnsi="Arial" w:cs="Arial"/>
                <w:lang w:val="en-GB"/>
              </w:rPr>
              <w:t xml:space="preserve"> to enable</w:t>
            </w:r>
            <w:r w:rsidR="0007761D">
              <w:rPr>
                <w:rFonts w:ascii="Arial" w:eastAsia="Times New Roman" w:hAnsi="Arial" w:cs="Arial"/>
                <w:lang w:val="en-GB"/>
              </w:rPr>
              <w:t xml:space="preserve"> </w:t>
            </w:r>
            <w:r w:rsidR="00B2386F">
              <w:rPr>
                <w:rFonts w:ascii="Arial" w:eastAsia="Times New Roman" w:hAnsi="Arial" w:cs="Arial"/>
                <w:lang w:val="en-GB"/>
              </w:rPr>
              <w:t xml:space="preserve">a </w:t>
            </w:r>
            <w:r w:rsidR="0007761D">
              <w:rPr>
                <w:rFonts w:ascii="Arial" w:eastAsia="Times New Roman" w:hAnsi="Arial" w:cs="Arial"/>
                <w:lang w:val="en-GB"/>
              </w:rPr>
              <w:t>speedy execution of any resolution strategy</w:t>
            </w:r>
            <w:r w:rsidR="00B2386F">
              <w:rPr>
                <w:rFonts w:ascii="Arial" w:eastAsia="Times New Roman" w:hAnsi="Arial" w:cs="Arial"/>
                <w:lang w:val="en-GB"/>
              </w:rPr>
              <w:t xml:space="preserve"> and </w:t>
            </w:r>
            <w:r w:rsidR="002B7A73">
              <w:rPr>
                <w:rFonts w:ascii="Arial" w:eastAsia="Times New Roman" w:hAnsi="Arial" w:cs="Arial"/>
                <w:lang w:val="en-GB"/>
              </w:rPr>
              <w:t>preservation</w:t>
            </w:r>
            <w:r w:rsidR="00B2386F">
              <w:rPr>
                <w:rFonts w:ascii="Arial" w:eastAsia="Times New Roman" w:hAnsi="Arial" w:cs="Arial"/>
                <w:lang w:val="en-GB"/>
              </w:rPr>
              <w:t xml:space="preserve"> of value</w:t>
            </w:r>
            <w:r w:rsidR="00854271">
              <w:rPr>
                <w:rFonts w:ascii="Arial" w:eastAsia="Times New Roman" w:hAnsi="Arial" w:cs="Arial"/>
                <w:lang w:val="en-GB"/>
              </w:rPr>
              <w:t xml:space="preserve"> (the</w:t>
            </w:r>
            <w:r w:rsidR="007670C2">
              <w:rPr>
                <w:rFonts w:ascii="Arial" w:eastAsia="Times New Roman" w:hAnsi="Arial" w:cs="Arial"/>
                <w:lang w:val="en-GB"/>
              </w:rPr>
              <w:t xml:space="preserve"> resolution </w:t>
            </w:r>
            <w:r w:rsidR="00854271">
              <w:rPr>
                <w:rFonts w:ascii="Arial" w:eastAsia="Times New Roman" w:hAnsi="Arial" w:cs="Arial"/>
                <w:lang w:val="en-GB"/>
              </w:rPr>
              <w:t>plan is a base to work from in a resolution scenario)</w:t>
            </w:r>
            <w:r w:rsidR="00B2386F">
              <w:rPr>
                <w:rFonts w:ascii="Arial" w:eastAsia="Times New Roman" w:hAnsi="Arial" w:cs="Arial"/>
                <w:lang w:val="en-GB"/>
              </w:rPr>
              <w:t>.</w:t>
            </w:r>
          </w:p>
          <w:p w14:paraId="190893B8" w14:textId="7917AFDD" w:rsidR="0007761D" w:rsidRDefault="0007761D" w:rsidP="00A459CC">
            <w:pPr>
              <w:spacing w:after="0" w:line="240" w:lineRule="auto"/>
              <w:jc w:val="both"/>
              <w:rPr>
                <w:rFonts w:ascii="Arial" w:eastAsia="Times New Roman" w:hAnsi="Arial" w:cs="Arial"/>
                <w:lang w:val="en-GB"/>
              </w:rPr>
            </w:pPr>
          </w:p>
          <w:p w14:paraId="1CC2B011" w14:textId="0CB8E3BF" w:rsidR="0007761D" w:rsidRDefault="0007761D" w:rsidP="00A459CC">
            <w:pPr>
              <w:spacing w:after="0" w:line="240" w:lineRule="auto"/>
              <w:jc w:val="both"/>
              <w:rPr>
                <w:rFonts w:ascii="Arial" w:eastAsia="Times New Roman" w:hAnsi="Arial" w:cs="Arial"/>
                <w:lang w:val="en-GB"/>
              </w:rPr>
            </w:pPr>
            <w:r>
              <w:rPr>
                <w:rFonts w:ascii="Arial" w:eastAsia="Times New Roman" w:hAnsi="Arial" w:cs="Arial"/>
                <w:lang w:val="en-GB"/>
              </w:rPr>
              <w:t xml:space="preserve">Should the circumstances in a resolution scenario not </w:t>
            </w:r>
            <w:r w:rsidR="00FC076B">
              <w:rPr>
                <w:rFonts w:ascii="Arial" w:eastAsia="Times New Roman" w:hAnsi="Arial" w:cs="Arial"/>
                <w:lang w:val="en-GB"/>
              </w:rPr>
              <w:t>be conducive for the</w:t>
            </w:r>
            <w:r w:rsidR="007A5961">
              <w:rPr>
                <w:rFonts w:ascii="Arial" w:eastAsia="Times New Roman" w:hAnsi="Arial" w:cs="Arial"/>
                <w:lang w:val="en-GB"/>
              </w:rPr>
              <w:t xml:space="preserve"> resolution</w:t>
            </w:r>
            <w:r w:rsidR="00FC076B">
              <w:rPr>
                <w:rFonts w:ascii="Arial" w:eastAsia="Times New Roman" w:hAnsi="Arial" w:cs="Arial"/>
                <w:lang w:val="en-GB"/>
              </w:rPr>
              <w:t xml:space="preserve"> strategy set, the R</w:t>
            </w:r>
            <w:r w:rsidR="00614608">
              <w:rPr>
                <w:rFonts w:ascii="Arial" w:eastAsia="Times New Roman" w:hAnsi="Arial" w:cs="Arial"/>
                <w:lang w:val="en-GB"/>
              </w:rPr>
              <w:t xml:space="preserve">eserve Bank </w:t>
            </w:r>
            <w:r w:rsidR="00FC076B">
              <w:rPr>
                <w:rFonts w:ascii="Arial" w:eastAsia="Times New Roman" w:hAnsi="Arial" w:cs="Arial"/>
                <w:lang w:val="en-GB"/>
              </w:rPr>
              <w:t xml:space="preserve">can always implement a variant resolution strategy </w:t>
            </w:r>
            <w:r w:rsidR="007A5961">
              <w:rPr>
                <w:rFonts w:ascii="Arial" w:eastAsia="Times New Roman" w:hAnsi="Arial" w:cs="Arial"/>
                <w:lang w:val="en-GB"/>
              </w:rPr>
              <w:t>t</w:t>
            </w:r>
            <w:r w:rsidR="00FC076B">
              <w:rPr>
                <w:rFonts w:ascii="Arial" w:eastAsia="Times New Roman" w:hAnsi="Arial" w:cs="Arial"/>
                <w:lang w:val="en-GB"/>
              </w:rPr>
              <w:t xml:space="preserve">o achieve an orderly resolution and financial stability. </w:t>
            </w:r>
            <w:r w:rsidR="00B2386F">
              <w:rPr>
                <w:rFonts w:ascii="Arial" w:eastAsia="Times New Roman" w:hAnsi="Arial" w:cs="Arial"/>
                <w:lang w:val="en-GB"/>
              </w:rPr>
              <w:t>However,</w:t>
            </w:r>
            <w:r w:rsidR="00FC076B">
              <w:rPr>
                <w:rFonts w:ascii="Arial" w:eastAsia="Times New Roman" w:hAnsi="Arial" w:cs="Arial"/>
                <w:lang w:val="en-GB"/>
              </w:rPr>
              <w:t xml:space="preserve"> that does not </w:t>
            </w:r>
            <w:r w:rsidR="0088453E">
              <w:rPr>
                <w:rFonts w:ascii="Arial" w:eastAsia="Times New Roman" w:hAnsi="Arial" w:cs="Arial"/>
                <w:lang w:val="en-GB"/>
              </w:rPr>
              <w:t xml:space="preserve">discount the </w:t>
            </w:r>
            <w:r w:rsidR="00B2386F">
              <w:rPr>
                <w:rFonts w:ascii="Arial" w:eastAsia="Times New Roman" w:hAnsi="Arial" w:cs="Arial"/>
                <w:lang w:val="en-GB"/>
              </w:rPr>
              <w:t>necessity and</w:t>
            </w:r>
            <w:r w:rsidR="00AE2A63">
              <w:rPr>
                <w:rFonts w:ascii="Arial" w:eastAsia="Times New Roman" w:hAnsi="Arial" w:cs="Arial"/>
                <w:lang w:val="en-GB"/>
              </w:rPr>
              <w:t xml:space="preserve"> importance </w:t>
            </w:r>
            <w:r w:rsidR="0088453E">
              <w:rPr>
                <w:rFonts w:ascii="Arial" w:eastAsia="Times New Roman" w:hAnsi="Arial" w:cs="Arial"/>
                <w:lang w:val="en-GB"/>
              </w:rPr>
              <w:t xml:space="preserve">of having a </w:t>
            </w:r>
            <w:r w:rsidR="00993024">
              <w:rPr>
                <w:rFonts w:ascii="Arial" w:eastAsia="Times New Roman" w:hAnsi="Arial" w:cs="Arial"/>
                <w:lang w:val="en-GB"/>
              </w:rPr>
              <w:t xml:space="preserve">resolution </w:t>
            </w:r>
            <w:r w:rsidR="0088453E">
              <w:rPr>
                <w:rFonts w:ascii="Arial" w:eastAsia="Times New Roman" w:hAnsi="Arial" w:cs="Arial"/>
                <w:lang w:val="en-GB"/>
              </w:rPr>
              <w:t>plan</w:t>
            </w:r>
            <w:r w:rsidR="00993024">
              <w:rPr>
                <w:rFonts w:ascii="Arial" w:eastAsia="Times New Roman" w:hAnsi="Arial" w:cs="Arial"/>
                <w:lang w:val="en-GB"/>
              </w:rPr>
              <w:t>.</w:t>
            </w:r>
          </w:p>
          <w:p w14:paraId="585D618E" w14:textId="6AD96BCA" w:rsidR="00614B9D" w:rsidRPr="000A1C6C" w:rsidRDefault="00614B9D" w:rsidP="00EC1449">
            <w:pPr>
              <w:spacing w:after="0" w:line="240" w:lineRule="auto"/>
              <w:jc w:val="both"/>
              <w:rPr>
                <w:rFonts w:ascii="Arial" w:eastAsia="Times New Roman" w:hAnsi="Arial" w:cs="Arial"/>
                <w:lang w:val="en-GB"/>
              </w:rPr>
            </w:pPr>
          </w:p>
        </w:tc>
      </w:tr>
      <w:tr w:rsidR="00A459CC" w:rsidRPr="009D05E3" w14:paraId="43C149C2" w14:textId="77777777" w:rsidTr="00FC2C40">
        <w:tc>
          <w:tcPr>
            <w:tcW w:w="1886" w:type="dxa"/>
            <w:shd w:val="clear" w:color="auto" w:fill="FFFFFF" w:themeFill="background1"/>
          </w:tcPr>
          <w:p w14:paraId="6C69FD65" w14:textId="0F75F07F" w:rsidR="00A459CC" w:rsidRPr="000A1C6C" w:rsidRDefault="008C3A29" w:rsidP="008C3A29">
            <w:pPr>
              <w:spacing w:after="0"/>
              <w:jc w:val="center"/>
              <w:rPr>
                <w:rFonts w:ascii="Arial" w:hAnsi="Arial" w:cs="Arial"/>
                <w:lang w:val="en-GB"/>
              </w:rPr>
            </w:pPr>
            <w:r w:rsidRPr="000A1C6C">
              <w:rPr>
                <w:rFonts w:ascii="Arial" w:hAnsi="Arial" w:cs="Arial"/>
                <w:lang w:val="en-GB"/>
              </w:rPr>
              <w:t>70</w:t>
            </w:r>
          </w:p>
        </w:tc>
        <w:tc>
          <w:tcPr>
            <w:tcW w:w="2078" w:type="dxa"/>
            <w:shd w:val="clear" w:color="auto" w:fill="FFFFFF" w:themeFill="background1"/>
          </w:tcPr>
          <w:p w14:paraId="392AF112" w14:textId="49C93270" w:rsidR="00A459CC" w:rsidRPr="000A1C6C" w:rsidRDefault="00034164" w:rsidP="00A459CC">
            <w:pPr>
              <w:spacing w:after="0" w:line="240" w:lineRule="auto"/>
              <w:rPr>
                <w:rFonts w:ascii="Arial" w:hAnsi="Arial" w:cs="Arial"/>
                <w:lang w:val="en-GB"/>
              </w:rPr>
            </w:pPr>
            <w:r w:rsidRPr="000A1C6C">
              <w:rPr>
                <w:rFonts w:ascii="Arial" w:hAnsi="Arial" w:cs="Arial"/>
              </w:rPr>
              <w:t>Grindrod</w:t>
            </w:r>
          </w:p>
        </w:tc>
        <w:tc>
          <w:tcPr>
            <w:tcW w:w="2691" w:type="dxa"/>
            <w:shd w:val="clear" w:color="auto" w:fill="FFFFFF" w:themeFill="background1"/>
          </w:tcPr>
          <w:p w14:paraId="3F6F103D" w14:textId="45315917" w:rsidR="00A459CC" w:rsidRPr="000A1C6C" w:rsidRDefault="00A459CC" w:rsidP="00A459CC">
            <w:pPr>
              <w:spacing w:after="0" w:line="240" w:lineRule="auto"/>
              <w:rPr>
                <w:rFonts w:ascii="Arial" w:hAnsi="Arial" w:cs="Arial"/>
              </w:rPr>
            </w:pPr>
            <w:r w:rsidRPr="000A1C6C">
              <w:rPr>
                <w:rFonts w:ascii="Arial" w:hAnsi="Arial" w:cs="Arial"/>
                <w:lang w:val="en-GB"/>
              </w:rPr>
              <w:t>-</w:t>
            </w:r>
          </w:p>
        </w:tc>
        <w:tc>
          <w:tcPr>
            <w:tcW w:w="7903" w:type="dxa"/>
            <w:shd w:val="clear" w:color="auto" w:fill="FFFFFF" w:themeFill="background1"/>
          </w:tcPr>
          <w:p w14:paraId="22CEBFB1" w14:textId="1133AFA9" w:rsidR="00A459CC" w:rsidRPr="000A1C6C" w:rsidRDefault="00A459CC" w:rsidP="00A459CC">
            <w:pPr>
              <w:spacing w:after="0" w:line="240" w:lineRule="auto"/>
              <w:rPr>
                <w:rFonts w:ascii="Arial" w:hAnsi="Arial" w:cs="Arial"/>
              </w:rPr>
            </w:pPr>
            <w:r w:rsidRPr="000A1C6C">
              <w:rPr>
                <w:rFonts w:ascii="Arial" w:hAnsi="Arial" w:cs="Arial"/>
                <w:lang w:val="en-GB"/>
              </w:rPr>
              <w:t>No comment</w:t>
            </w:r>
          </w:p>
        </w:tc>
        <w:tc>
          <w:tcPr>
            <w:tcW w:w="6416" w:type="dxa"/>
            <w:shd w:val="clear" w:color="auto" w:fill="FFFFFF" w:themeFill="background1"/>
          </w:tcPr>
          <w:p w14:paraId="709CA05F" w14:textId="06E693E1" w:rsidR="00A459CC" w:rsidRPr="000A1C6C" w:rsidRDefault="00A459CC" w:rsidP="00A459CC">
            <w:pPr>
              <w:spacing w:after="0" w:line="240" w:lineRule="auto"/>
              <w:jc w:val="both"/>
              <w:rPr>
                <w:rFonts w:ascii="Arial" w:eastAsia="Times New Roman" w:hAnsi="Arial" w:cs="Arial"/>
                <w:lang w:val="en-GB"/>
              </w:rPr>
            </w:pPr>
            <w:r w:rsidRPr="000A1C6C">
              <w:rPr>
                <w:rFonts w:ascii="Arial" w:eastAsia="Times New Roman" w:hAnsi="Arial" w:cs="Arial"/>
                <w:lang w:val="en-GB"/>
              </w:rPr>
              <w:t>Noted</w:t>
            </w:r>
          </w:p>
        </w:tc>
      </w:tr>
      <w:tr w:rsidR="00A459CC" w:rsidRPr="009D05E3" w14:paraId="12D1F208" w14:textId="77777777" w:rsidTr="00FC2C40">
        <w:tc>
          <w:tcPr>
            <w:tcW w:w="1886" w:type="dxa"/>
          </w:tcPr>
          <w:p w14:paraId="4BBBB240" w14:textId="74DA0DCD" w:rsidR="00A459CC" w:rsidRPr="000A1C6C" w:rsidRDefault="008C3A29" w:rsidP="008C3A29">
            <w:pPr>
              <w:spacing w:after="0"/>
              <w:jc w:val="center"/>
              <w:rPr>
                <w:rFonts w:ascii="Arial" w:hAnsi="Arial" w:cs="Arial"/>
                <w:lang w:val="en-GB"/>
              </w:rPr>
            </w:pPr>
            <w:r w:rsidRPr="000A1C6C">
              <w:rPr>
                <w:rFonts w:ascii="Arial" w:hAnsi="Arial" w:cs="Arial"/>
                <w:lang w:val="en-GB"/>
              </w:rPr>
              <w:t>71</w:t>
            </w:r>
          </w:p>
        </w:tc>
        <w:tc>
          <w:tcPr>
            <w:tcW w:w="2078" w:type="dxa"/>
          </w:tcPr>
          <w:p w14:paraId="7AB2110C" w14:textId="7518657D" w:rsidR="00A459CC" w:rsidRPr="000A1C6C" w:rsidRDefault="00A459CC" w:rsidP="00A459CC">
            <w:pPr>
              <w:spacing w:after="0" w:line="240" w:lineRule="auto"/>
              <w:rPr>
                <w:rFonts w:ascii="Arial" w:hAnsi="Arial" w:cs="Arial"/>
                <w:lang w:val="en-GB"/>
              </w:rPr>
            </w:pPr>
            <w:r w:rsidRPr="000A1C6C">
              <w:rPr>
                <w:rFonts w:ascii="Arial" w:hAnsi="Arial" w:cs="Arial"/>
              </w:rPr>
              <w:t>Habib Bank</w:t>
            </w:r>
          </w:p>
        </w:tc>
        <w:tc>
          <w:tcPr>
            <w:tcW w:w="2691" w:type="dxa"/>
          </w:tcPr>
          <w:p w14:paraId="1C44E45C" w14:textId="41F3BDB5" w:rsidR="00A459CC" w:rsidRPr="000A1C6C" w:rsidRDefault="00A459CC" w:rsidP="00A459CC">
            <w:pPr>
              <w:spacing w:after="0" w:line="240" w:lineRule="auto"/>
              <w:rPr>
                <w:rFonts w:ascii="Arial" w:hAnsi="Arial" w:cs="Arial"/>
              </w:rPr>
            </w:pPr>
            <w:r w:rsidRPr="000A1C6C">
              <w:rPr>
                <w:rFonts w:ascii="Arial" w:hAnsi="Arial" w:cs="Arial"/>
              </w:rPr>
              <w:t>-</w:t>
            </w:r>
          </w:p>
        </w:tc>
        <w:tc>
          <w:tcPr>
            <w:tcW w:w="7903" w:type="dxa"/>
          </w:tcPr>
          <w:p w14:paraId="19F95F96" w14:textId="3EC18E70" w:rsidR="00A459CC" w:rsidRPr="000A1C6C" w:rsidRDefault="00A459CC" w:rsidP="00A459CC">
            <w:pPr>
              <w:spacing w:after="0" w:line="240" w:lineRule="auto"/>
              <w:jc w:val="both"/>
              <w:rPr>
                <w:rFonts w:ascii="Arial" w:hAnsi="Arial" w:cs="Arial"/>
              </w:rPr>
            </w:pPr>
            <w:r w:rsidRPr="000A1C6C">
              <w:rPr>
                <w:rFonts w:ascii="Arial" w:hAnsi="Arial" w:cs="Arial"/>
                <w:lang w:val="en-GB"/>
              </w:rPr>
              <w:t>No comment</w:t>
            </w:r>
          </w:p>
        </w:tc>
        <w:tc>
          <w:tcPr>
            <w:tcW w:w="6416" w:type="dxa"/>
          </w:tcPr>
          <w:p w14:paraId="0ED4BFE2" w14:textId="228235AE" w:rsidR="00A459CC" w:rsidRPr="000A1C6C" w:rsidRDefault="00A459CC" w:rsidP="00A459CC">
            <w:pPr>
              <w:spacing w:after="0" w:line="240" w:lineRule="auto"/>
              <w:jc w:val="both"/>
              <w:rPr>
                <w:rFonts w:ascii="Arial" w:eastAsia="Times New Roman" w:hAnsi="Arial" w:cs="Arial"/>
                <w:lang w:val="en-GB"/>
              </w:rPr>
            </w:pPr>
            <w:r w:rsidRPr="000A1C6C">
              <w:rPr>
                <w:rFonts w:ascii="Arial" w:eastAsia="Times New Roman" w:hAnsi="Arial" w:cs="Arial"/>
                <w:lang w:val="en-GB"/>
              </w:rPr>
              <w:t>Noted</w:t>
            </w:r>
          </w:p>
        </w:tc>
      </w:tr>
      <w:tr w:rsidR="00A459CC" w:rsidRPr="009D05E3" w14:paraId="037D24EC" w14:textId="77777777" w:rsidTr="00FC2C40">
        <w:tc>
          <w:tcPr>
            <w:tcW w:w="1886" w:type="dxa"/>
            <w:vAlign w:val="bottom"/>
          </w:tcPr>
          <w:p w14:paraId="65BA4884" w14:textId="6633FF70" w:rsidR="00A459CC" w:rsidRPr="000A1C6C" w:rsidRDefault="008C3A29" w:rsidP="008C3A29">
            <w:pPr>
              <w:spacing w:after="0"/>
              <w:jc w:val="center"/>
              <w:rPr>
                <w:rFonts w:ascii="Arial" w:hAnsi="Arial" w:cs="Arial"/>
                <w:lang w:val="en-GB"/>
              </w:rPr>
            </w:pPr>
            <w:r w:rsidRPr="000A1C6C">
              <w:rPr>
                <w:rFonts w:ascii="Arial" w:hAnsi="Arial" w:cs="Arial"/>
                <w:lang w:val="en-GB"/>
              </w:rPr>
              <w:t>72</w:t>
            </w:r>
          </w:p>
        </w:tc>
        <w:tc>
          <w:tcPr>
            <w:tcW w:w="2078" w:type="dxa"/>
          </w:tcPr>
          <w:p w14:paraId="367CCB5E" w14:textId="43FA50F7" w:rsidR="00A459CC" w:rsidRPr="000A1C6C" w:rsidRDefault="00A459CC" w:rsidP="00A459CC">
            <w:pPr>
              <w:spacing w:after="0" w:line="240" w:lineRule="auto"/>
              <w:rPr>
                <w:rFonts w:ascii="Arial" w:hAnsi="Arial" w:cs="Arial"/>
                <w:lang w:val="en-GB"/>
              </w:rPr>
            </w:pPr>
            <w:r w:rsidRPr="000A1C6C">
              <w:rPr>
                <w:rFonts w:ascii="Arial" w:hAnsi="Arial" w:cs="Arial"/>
              </w:rPr>
              <w:t>JSE</w:t>
            </w:r>
          </w:p>
        </w:tc>
        <w:tc>
          <w:tcPr>
            <w:tcW w:w="2691" w:type="dxa"/>
          </w:tcPr>
          <w:p w14:paraId="6C929FB3" w14:textId="020DADD9" w:rsidR="00A459CC" w:rsidRPr="000A1C6C" w:rsidRDefault="00A459CC" w:rsidP="00A459CC">
            <w:pPr>
              <w:spacing w:after="0" w:line="240" w:lineRule="auto"/>
              <w:rPr>
                <w:rFonts w:ascii="Arial" w:hAnsi="Arial" w:cs="Arial"/>
              </w:rPr>
            </w:pPr>
            <w:r w:rsidRPr="000A1C6C">
              <w:rPr>
                <w:rFonts w:ascii="Arial" w:hAnsi="Arial" w:cs="Arial"/>
              </w:rPr>
              <w:t>-</w:t>
            </w:r>
          </w:p>
        </w:tc>
        <w:tc>
          <w:tcPr>
            <w:tcW w:w="7903" w:type="dxa"/>
            <w:shd w:val="clear" w:color="auto" w:fill="auto"/>
          </w:tcPr>
          <w:p w14:paraId="50058BF7" w14:textId="61D30731" w:rsidR="00A459CC" w:rsidRPr="000A1C6C" w:rsidRDefault="00A459CC" w:rsidP="00A459CC">
            <w:pPr>
              <w:spacing w:after="0" w:line="240" w:lineRule="auto"/>
              <w:rPr>
                <w:rFonts w:ascii="Arial" w:hAnsi="Arial" w:cs="Arial"/>
              </w:rPr>
            </w:pPr>
            <w:r w:rsidRPr="000A1C6C">
              <w:rPr>
                <w:rFonts w:ascii="Arial" w:hAnsi="Arial" w:cs="Arial"/>
                <w:lang w:val="en-GB"/>
              </w:rPr>
              <w:t>No comment</w:t>
            </w:r>
          </w:p>
        </w:tc>
        <w:tc>
          <w:tcPr>
            <w:tcW w:w="6416" w:type="dxa"/>
          </w:tcPr>
          <w:p w14:paraId="7FD758F8" w14:textId="77C7C6D4" w:rsidR="00A459CC" w:rsidRPr="000A1C6C" w:rsidRDefault="00A459CC" w:rsidP="00A459CC">
            <w:pPr>
              <w:spacing w:after="0" w:line="240" w:lineRule="auto"/>
              <w:jc w:val="both"/>
              <w:rPr>
                <w:rFonts w:ascii="Arial" w:eastAsia="Times New Roman" w:hAnsi="Arial" w:cs="Arial"/>
                <w:lang w:val="en-GB"/>
              </w:rPr>
            </w:pPr>
            <w:r w:rsidRPr="000A1C6C">
              <w:rPr>
                <w:rFonts w:ascii="Arial" w:eastAsia="Times New Roman" w:hAnsi="Arial" w:cs="Arial"/>
                <w:lang w:val="en-GB"/>
              </w:rPr>
              <w:t>Noted</w:t>
            </w:r>
          </w:p>
        </w:tc>
      </w:tr>
      <w:tr w:rsidR="00A459CC" w:rsidRPr="009D05E3" w14:paraId="5324FF44" w14:textId="77777777" w:rsidTr="00515BD8">
        <w:trPr>
          <w:trHeight w:val="387"/>
        </w:trPr>
        <w:tc>
          <w:tcPr>
            <w:tcW w:w="1886" w:type="dxa"/>
            <w:shd w:val="clear" w:color="auto" w:fill="auto"/>
          </w:tcPr>
          <w:p w14:paraId="4ADDB846" w14:textId="3E7458CD" w:rsidR="00A459CC" w:rsidRPr="000A1C6C" w:rsidRDefault="008C3A29" w:rsidP="008C3A29">
            <w:pPr>
              <w:spacing w:after="0"/>
              <w:jc w:val="center"/>
              <w:rPr>
                <w:rFonts w:ascii="Arial" w:hAnsi="Arial" w:cs="Arial"/>
                <w:lang w:val="en-GB"/>
              </w:rPr>
            </w:pPr>
            <w:r w:rsidRPr="000A1C6C">
              <w:rPr>
                <w:rFonts w:ascii="Arial" w:hAnsi="Arial" w:cs="Arial"/>
                <w:lang w:val="en-GB"/>
              </w:rPr>
              <w:t>73</w:t>
            </w:r>
          </w:p>
        </w:tc>
        <w:tc>
          <w:tcPr>
            <w:tcW w:w="2078" w:type="dxa"/>
          </w:tcPr>
          <w:p w14:paraId="36F34094" w14:textId="7500E493" w:rsidR="00A459CC" w:rsidRPr="000A1C6C" w:rsidRDefault="00A459CC" w:rsidP="00A459CC">
            <w:pPr>
              <w:spacing w:after="0" w:line="240" w:lineRule="auto"/>
              <w:jc w:val="both"/>
              <w:rPr>
                <w:rFonts w:ascii="Arial" w:hAnsi="Arial" w:cs="Arial"/>
                <w:lang w:val="en-GB"/>
              </w:rPr>
            </w:pPr>
            <w:r w:rsidRPr="000A1C6C">
              <w:rPr>
                <w:rFonts w:ascii="Arial" w:hAnsi="Arial" w:cs="Arial"/>
              </w:rPr>
              <w:t>MMH</w:t>
            </w:r>
          </w:p>
        </w:tc>
        <w:tc>
          <w:tcPr>
            <w:tcW w:w="2691" w:type="dxa"/>
          </w:tcPr>
          <w:p w14:paraId="2D013DDE" w14:textId="3E11090F" w:rsidR="00A459CC" w:rsidRPr="000A1C6C" w:rsidRDefault="00A459CC" w:rsidP="00A459CC">
            <w:pPr>
              <w:spacing w:after="0" w:line="240" w:lineRule="auto"/>
              <w:jc w:val="both"/>
              <w:rPr>
                <w:rFonts w:ascii="Arial" w:hAnsi="Arial" w:cs="Arial"/>
                <w:lang w:val="en-GB"/>
              </w:rPr>
            </w:pPr>
            <w:r w:rsidRPr="000A1C6C">
              <w:rPr>
                <w:rFonts w:ascii="Arial" w:hAnsi="Arial" w:cs="Arial"/>
                <w:lang w:val="en-GB"/>
              </w:rPr>
              <w:t>8.2(d)(iv)</w:t>
            </w:r>
          </w:p>
        </w:tc>
        <w:tc>
          <w:tcPr>
            <w:tcW w:w="7903" w:type="dxa"/>
          </w:tcPr>
          <w:p w14:paraId="23AF27CB" w14:textId="20D03E2B" w:rsidR="00A459CC" w:rsidRPr="000A1C6C" w:rsidRDefault="00A459CC" w:rsidP="00A459CC">
            <w:pPr>
              <w:jc w:val="both"/>
              <w:rPr>
                <w:rFonts w:ascii="Arial" w:hAnsi="Arial" w:cs="Arial"/>
                <w:lang w:val="en-GB"/>
              </w:rPr>
            </w:pPr>
            <w:r w:rsidRPr="000A1C6C">
              <w:rPr>
                <w:rFonts w:ascii="Arial" w:hAnsi="Arial" w:cs="Arial"/>
                <w:bCs/>
              </w:rPr>
              <w:t xml:space="preserve">While transfer pricing arrangements would normally be concluded on a fair market basis, </w:t>
            </w:r>
            <w:r w:rsidRPr="00FB6BAD">
              <w:rPr>
                <w:rFonts w:ascii="Arial" w:hAnsi="Arial" w:cs="Arial"/>
                <w:bCs/>
                <w:color w:val="000000" w:themeColor="text1"/>
              </w:rPr>
              <w:t xml:space="preserve">this may not always be practical for smaller entities or business units. This requirement therefore places additional constraints on the normal business operation </w:t>
            </w:r>
            <w:r w:rsidRPr="000A1C6C">
              <w:rPr>
                <w:rFonts w:ascii="Arial" w:hAnsi="Arial" w:cs="Arial"/>
                <w:bCs/>
              </w:rPr>
              <w:t>that may not be practical to implement in all cases.</w:t>
            </w:r>
          </w:p>
        </w:tc>
        <w:tc>
          <w:tcPr>
            <w:tcW w:w="6416" w:type="dxa"/>
            <w:shd w:val="clear" w:color="auto" w:fill="auto"/>
          </w:tcPr>
          <w:p w14:paraId="0B8FCB39" w14:textId="4F6E928F" w:rsidR="001B78DA" w:rsidRPr="00FB6BAD" w:rsidRDefault="007D6459" w:rsidP="00CD215E">
            <w:pPr>
              <w:jc w:val="both"/>
              <w:rPr>
                <w:rFonts w:ascii="Arial" w:hAnsi="Arial" w:cs="Arial"/>
                <w:color w:val="000000" w:themeColor="text1"/>
                <w:lang w:val="en-GB"/>
              </w:rPr>
            </w:pPr>
            <w:r w:rsidRPr="00FB6BAD">
              <w:rPr>
                <w:rFonts w:ascii="Arial" w:hAnsi="Arial" w:cs="Arial"/>
                <w:color w:val="000000" w:themeColor="text1"/>
                <w:lang w:val="en-GB"/>
              </w:rPr>
              <w:t>The requirement for f</w:t>
            </w:r>
            <w:r w:rsidR="00E64A42" w:rsidRPr="00FB6BAD">
              <w:rPr>
                <w:rFonts w:ascii="Arial" w:hAnsi="Arial" w:cs="Arial"/>
                <w:color w:val="000000" w:themeColor="text1"/>
                <w:lang w:val="en-GB"/>
              </w:rPr>
              <w:t xml:space="preserve">air market </w:t>
            </w:r>
            <w:r w:rsidR="00A52352" w:rsidRPr="00FB6BAD">
              <w:rPr>
                <w:rFonts w:ascii="Arial" w:hAnsi="Arial" w:cs="Arial"/>
                <w:color w:val="000000" w:themeColor="text1"/>
                <w:lang w:val="en-GB"/>
              </w:rPr>
              <w:t>basis</w:t>
            </w:r>
            <w:r w:rsidR="00FF684B" w:rsidRPr="00FB6BAD">
              <w:rPr>
                <w:rFonts w:ascii="Arial" w:hAnsi="Arial" w:cs="Arial"/>
                <w:color w:val="000000" w:themeColor="text1"/>
                <w:lang w:val="en-GB"/>
              </w:rPr>
              <w:t xml:space="preserve"> on pricing structures is to ensure that </w:t>
            </w:r>
            <w:r w:rsidR="0038509C" w:rsidRPr="00FB6BAD">
              <w:rPr>
                <w:rFonts w:ascii="Arial" w:hAnsi="Arial" w:cs="Arial"/>
                <w:color w:val="000000" w:themeColor="text1"/>
                <w:lang w:val="en-GB"/>
              </w:rPr>
              <w:t>operational continuity is not threatened by resolution measures</w:t>
            </w:r>
            <w:r w:rsidR="001B78DA" w:rsidRPr="00FB6BAD">
              <w:rPr>
                <w:rFonts w:ascii="Arial" w:hAnsi="Arial" w:cs="Arial"/>
                <w:color w:val="000000" w:themeColor="text1"/>
                <w:lang w:val="en-GB"/>
              </w:rPr>
              <w:t>.</w:t>
            </w:r>
          </w:p>
          <w:p w14:paraId="11966ECA" w14:textId="22FD1CFC" w:rsidR="00A459CC" w:rsidRPr="009E4401" w:rsidRDefault="001B78DA" w:rsidP="00FE2A46">
            <w:pPr>
              <w:jc w:val="both"/>
              <w:rPr>
                <w:rFonts w:ascii="Arial" w:hAnsi="Arial" w:cs="Arial"/>
                <w:color w:val="FF0000"/>
                <w:lang w:val="en-GB"/>
              </w:rPr>
            </w:pPr>
            <w:r w:rsidRPr="00FB6BAD">
              <w:rPr>
                <w:rFonts w:ascii="Arial" w:hAnsi="Arial" w:cs="Arial"/>
                <w:color w:val="000000" w:themeColor="text1"/>
                <w:lang w:val="en-GB"/>
              </w:rPr>
              <w:t>Where</w:t>
            </w:r>
            <w:r w:rsidR="00D90D50">
              <w:rPr>
                <w:rFonts w:ascii="Arial" w:hAnsi="Arial" w:cs="Arial"/>
                <w:color w:val="000000" w:themeColor="text1"/>
                <w:lang w:val="en-GB"/>
              </w:rPr>
              <w:t xml:space="preserve"> a </w:t>
            </w:r>
            <w:r w:rsidR="003B202E" w:rsidRPr="00FB6BAD">
              <w:rPr>
                <w:rFonts w:ascii="Arial" w:hAnsi="Arial" w:cs="Arial"/>
                <w:color w:val="000000" w:themeColor="text1"/>
                <w:lang w:val="en-GB"/>
              </w:rPr>
              <w:t xml:space="preserve">transfer tool is envisaged to be used in </w:t>
            </w:r>
            <w:r w:rsidR="00BA59D7" w:rsidRPr="00FB6BAD">
              <w:rPr>
                <w:rFonts w:ascii="Arial" w:hAnsi="Arial" w:cs="Arial"/>
                <w:color w:val="000000" w:themeColor="text1"/>
                <w:lang w:val="en-GB"/>
              </w:rPr>
              <w:t xml:space="preserve">a </w:t>
            </w:r>
            <w:r w:rsidR="003B202E" w:rsidRPr="00FB6BAD">
              <w:rPr>
                <w:rFonts w:ascii="Arial" w:hAnsi="Arial" w:cs="Arial"/>
                <w:color w:val="000000" w:themeColor="text1"/>
                <w:lang w:val="en-GB"/>
              </w:rPr>
              <w:t>resolution strategy and the relevant designated institution</w:t>
            </w:r>
            <w:r w:rsidR="00EA14DE" w:rsidRPr="00FB6BAD">
              <w:rPr>
                <w:rFonts w:ascii="Arial" w:hAnsi="Arial" w:cs="Arial"/>
                <w:color w:val="000000" w:themeColor="text1"/>
                <w:lang w:val="en-GB"/>
              </w:rPr>
              <w:t xml:space="preserve"> cannot provide the </w:t>
            </w:r>
            <w:r w:rsidR="00795031" w:rsidRPr="00FB6BAD">
              <w:rPr>
                <w:rFonts w:ascii="Arial" w:hAnsi="Arial" w:cs="Arial"/>
                <w:color w:val="000000" w:themeColor="text1"/>
                <w:lang w:val="en-GB"/>
              </w:rPr>
              <w:t>market rel</w:t>
            </w:r>
            <w:r w:rsidR="003874F5" w:rsidRPr="00FB6BAD">
              <w:rPr>
                <w:rFonts w:ascii="Arial" w:hAnsi="Arial" w:cs="Arial"/>
                <w:color w:val="000000" w:themeColor="text1"/>
                <w:lang w:val="en-GB"/>
              </w:rPr>
              <w:t xml:space="preserve">ated costs (or the services are not reasonably priced) </w:t>
            </w:r>
            <w:r w:rsidR="00EA14DE" w:rsidRPr="00FB6BAD">
              <w:rPr>
                <w:rFonts w:ascii="Arial" w:hAnsi="Arial" w:cs="Arial"/>
                <w:color w:val="000000" w:themeColor="text1"/>
                <w:lang w:val="en-GB"/>
              </w:rPr>
              <w:t>for the services</w:t>
            </w:r>
            <w:r w:rsidR="00795031" w:rsidRPr="00FB6BAD">
              <w:rPr>
                <w:rFonts w:ascii="Arial" w:hAnsi="Arial" w:cs="Arial"/>
                <w:color w:val="000000" w:themeColor="text1"/>
                <w:lang w:val="en-GB"/>
              </w:rPr>
              <w:t xml:space="preserve"> to be continued</w:t>
            </w:r>
            <w:r w:rsidR="00E25A5D" w:rsidRPr="00FB6BAD">
              <w:rPr>
                <w:rFonts w:ascii="Arial" w:hAnsi="Arial" w:cs="Arial"/>
                <w:color w:val="000000" w:themeColor="text1"/>
                <w:lang w:val="en-GB"/>
              </w:rPr>
              <w:t>, then</w:t>
            </w:r>
            <w:r w:rsidR="009813A0" w:rsidRPr="00FB6BAD">
              <w:rPr>
                <w:rFonts w:ascii="Arial" w:hAnsi="Arial" w:cs="Arial"/>
                <w:color w:val="000000" w:themeColor="text1"/>
                <w:lang w:val="en-GB"/>
              </w:rPr>
              <w:t xml:space="preserve"> the </w:t>
            </w:r>
            <w:r w:rsidR="00F55D6E">
              <w:rPr>
                <w:rFonts w:ascii="Arial" w:hAnsi="Arial" w:cs="Arial"/>
                <w:color w:val="000000" w:themeColor="text1"/>
                <w:lang w:val="en-GB"/>
              </w:rPr>
              <w:t>Resolution Authority</w:t>
            </w:r>
            <w:r w:rsidR="009813A0" w:rsidRPr="00FB6BAD">
              <w:rPr>
                <w:rFonts w:ascii="Arial" w:hAnsi="Arial" w:cs="Arial"/>
                <w:color w:val="000000" w:themeColor="text1"/>
                <w:lang w:val="en-GB"/>
              </w:rPr>
              <w:t xml:space="preserve"> will assess whether that is a barrier to </w:t>
            </w:r>
            <w:r w:rsidR="00D37CE0" w:rsidRPr="00FB6BAD">
              <w:rPr>
                <w:rFonts w:ascii="Arial" w:hAnsi="Arial" w:cs="Arial"/>
                <w:color w:val="000000" w:themeColor="text1"/>
                <w:lang w:val="en-GB"/>
              </w:rPr>
              <w:t>resolvability and</w:t>
            </w:r>
            <w:r w:rsidR="00E25A5D" w:rsidRPr="00FB6BAD">
              <w:rPr>
                <w:rFonts w:ascii="Arial" w:hAnsi="Arial" w:cs="Arial"/>
                <w:color w:val="000000" w:themeColor="text1"/>
                <w:lang w:val="en-GB"/>
              </w:rPr>
              <w:t xml:space="preserve"> on a case by case discuss </w:t>
            </w:r>
            <w:r w:rsidR="009C3691" w:rsidRPr="00FB6BAD">
              <w:rPr>
                <w:rFonts w:ascii="Arial" w:hAnsi="Arial" w:cs="Arial"/>
                <w:color w:val="000000" w:themeColor="text1"/>
                <w:lang w:val="en-GB"/>
              </w:rPr>
              <w:t>possible mitigants to remove the barriers to resolvability</w:t>
            </w:r>
            <w:r w:rsidR="007F0A02" w:rsidRPr="00FB6BAD">
              <w:rPr>
                <w:rFonts w:ascii="Arial" w:hAnsi="Arial" w:cs="Arial"/>
                <w:color w:val="000000" w:themeColor="text1"/>
                <w:lang w:val="en-GB"/>
              </w:rPr>
              <w:t xml:space="preserve"> with the designated institution</w:t>
            </w:r>
            <w:r w:rsidR="009C3691" w:rsidRPr="00FB6BAD">
              <w:rPr>
                <w:rFonts w:ascii="Arial" w:hAnsi="Arial" w:cs="Arial"/>
                <w:color w:val="000000" w:themeColor="text1"/>
                <w:lang w:val="en-GB"/>
              </w:rPr>
              <w:t>.</w:t>
            </w:r>
          </w:p>
        </w:tc>
      </w:tr>
      <w:tr w:rsidR="00A459CC" w:rsidRPr="009D05E3" w14:paraId="7F8D7DA1" w14:textId="77777777" w:rsidTr="00FC2C40">
        <w:tc>
          <w:tcPr>
            <w:tcW w:w="1886" w:type="dxa"/>
          </w:tcPr>
          <w:p w14:paraId="4D61C345" w14:textId="075FF6F2" w:rsidR="00A459CC" w:rsidRPr="000A1C6C" w:rsidRDefault="008C3A29" w:rsidP="00054DBB">
            <w:pPr>
              <w:spacing w:after="0"/>
              <w:jc w:val="center"/>
              <w:rPr>
                <w:rFonts w:ascii="Arial" w:hAnsi="Arial" w:cs="Arial"/>
                <w:lang w:val="en-GB"/>
              </w:rPr>
            </w:pPr>
            <w:r w:rsidRPr="000A1C6C">
              <w:rPr>
                <w:rFonts w:ascii="Arial" w:hAnsi="Arial" w:cs="Arial"/>
                <w:lang w:val="en-GB"/>
              </w:rPr>
              <w:t>74</w:t>
            </w:r>
          </w:p>
        </w:tc>
        <w:tc>
          <w:tcPr>
            <w:tcW w:w="2078" w:type="dxa"/>
          </w:tcPr>
          <w:p w14:paraId="3A8D19AA" w14:textId="3E4DDB3B" w:rsidR="00A459CC" w:rsidRPr="000A1C6C" w:rsidRDefault="00A459CC" w:rsidP="00A459CC">
            <w:pPr>
              <w:spacing w:after="0" w:line="240" w:lineRule="auto"/>
              <w:jc w:val="both"/>
              <w:rPr>
                <w:rFonts w:ascii="Arial" w:hAnsi="Arial" w:cs="Arial"/>
                <w:lang w:val="en-GB"/>
              </w:rPr>
            </w:pPr>
            <w:r w:rsidRPr="000A1C6C">
              <w:rPr>
                <w:rFonts w:ascii="Arial" w:hAnsi="Arial" w:cs="Arial"/>
              </w:rPr>
              <w:t>Nedbank</w:t>
            </w:r>
          </w:p>
        </w:tc>
        <w:tc>
          <w:tcPr>
            <w:tcW w:w="2691" w:type="dxa"/>
          </w:tcPr>
          <w:p w14:paraId="521E624D" w14:textId="6169A2B4" w:rsidR="00A459CC" w:rsidRPr="000A1C6C" w:rsidRDefault="00A459CC" w:rsidP="00A459CC">
            <w:pPr>
              <w:spacing w:after="0" w:line="240" w:lineRule="auto"/>
              <w:jc w:val="both"/>
              <w:rPr>
                <w:rFonts w:ascii="Arial" w:hAnsi="Arial" w:cs="Arial"/>
                <w:lang w:val="en-GB"/>
              </w:rPr>
            </w:pPr>
            <w:r w:rsidRPr="000A1C6C">
              <w:rPr>
                <w:rFonts w:ascii="Arial" w:hAnsi="Arial" w:cs="Arial"/>
              </w:rPr>
              <w:t>-</w:t>
            </w:r>
          </w:p>
        </w:tc>
        <w:tc>
          <w:tcPr>
            <w:tcW w:w="7903" w:type="dxa"/>
          </w:tcPr>
          <w:p w14:paraId="72AE121D" w14:textId="2C93CF19" w:rsidR="00A459CC" w:rsidRPr="000A1C6C" w:rsidRDefault="00A459CC" w:rsidP="00A459CC">
            <w:pPr>
              <w:jc w:val="both"/>
              <w:rPr>
                <w:rFonts w:ascii="Arial" w:hAnsi="Arial" w:cs="Arial"/>
                <w:lang w:val="en-GB"/>
              </w:rPr>
            </w:pPr>
            <w:r w:rsidRPr="000A1C6C">
              <w:rPr>
                <w:rFonts w:ascii="Arial" w:hAnsi="Arial" w:cs="Arial"/>
                <w:lang w:val="en-GB"/>
              </w:rPr>
              <w:t>No comment</w:t>
            </w:r>
          </w:p>
        </w:tc>
        <w:tc>
          <w:tcPr>
            <w:tcW w:w="6416" w:type="dxa"/>
          </w:tcPr>
          <w:p w14:paraId="1AF9E331" w14:textId="55005034" w:rsidR="00A459CC" w:rsidRPr="000A1C6C" w:rsidRDefault="00A459CC" w:rsidP="00005246">
            <w:pPr>
              <w:jc w:val="both"/>
              <w:rPr>
                <w:rFonts w:ascii="Arial" w:hAnsi="Arial" w:cs="Arial"/>
                <w:lang w:val="en-GB"/>
              </w:rPr>
            </w:pPr>
            <w:r w:rsidRPr="000A1C6C">
              <w:rPr>
                <w:rFonts w:ascii="Arial" w:eastAsia="Times New Roman" w:hAnsi="Arial" w:cs="Arial"/>
                <w:lang w:val="en-GB"/>
              </w:rPr>
              <w:t>Noted</w:t>
            </w:r>
          </w:p>
        </w:tc>
      </w:tr>
      <w:tr w:rsidR="00A459CC" w:rsidRPr="009D05E3" w14:paraId="5714BC5E" w14:textId="77777777" w:rsidTr="00515BD8">
        <w:trPr>
          <w:trHeight w:val="6180"/>
        </w:trPr>
        <w:tc>
          <w:tcPr>
            <w:tcW w:w="1886" w:type="dxa"/>
            <w:shd w:val="clear" w:color="auto" w:fill="auto"/>
          </w:tcPr>
          <w:p w14:paraId="7219777B" w14:textId="6E5A656D" w:rsidR="00A459CC" w:rsidRPr="000A1C6C" w:rsidRDefault="008C3A29" w:rsidP="008C3A29">
            <w:pPr>
              <w:spacing w:after="0"/>
              <w:jc w:val="center"/>
              <w:rPr>
                <w:rFonts w:ascii="Arial" w:hAnsi="Arial" w:cs="Arial"/>
                <w:lang w:val="en-GB"/>
              </w:rPr>
            </w:pPr>
            <w:r w:rsidRPr="000A1C6C">
              <w:rPr>
                <w:rFonts w:ascii="Arial" w:hAnsi="Arial" w:cs="Arial"/>
                <w:lang w:val="en-GB"/>
              </w:rPr>
              <w:lastRenderedPageBreak/>
              <w:t>75</w:t>
            </w:r>
          </w:p>
        </w:tc>
        <w:tc>
          <w:tcPr>
            <w:tcW w:w="2078" w:type="dxa"/>
          </w:tcPr>
          <w:p w14:paraId="56099C66" w14:textId="4BE03BC7" w:rsidR="00A459CC" w:rsidRPr="000A1C6C" w:rsidRDefault="00A459CC" w:rsidP="00A459CC">
            <w:pPr>
              <w:spacing w:after="0" w:line="240" w:lineRule="auto"/>
              <w:jc w:val="both"/>
              <w:rPr>
                <w:rFonts w:ascii="Arial" w:hAnsi="Arial" w:cs="Arial"/>
                <w:lang w:val="en-GB"/>
              </w:rPr>
            </w:pPr>
            <w:r w:rsidRPr="000A1C6C">
              <w:rPr>
                <w:rFonts w:ascii="Arial" w:hAnsi="Arial" w:cs="Arial"/>
              </w:rPr>
              <w:t>BASA</w:t>
            </w:r>
          </w:p>
        </w:tc>
        <w:tc>
          <w:tcPr>
            <w:tcW w:w="2691" w:type="dxa"/>
          </w:tcPr>
          <w:p w14:paraId="2BB4F2A8" w14:textId="674A832F" w:rsidR="00A459CC" w:rsidRPr="000A1C6C" w:rsidRDefault="00A459CC" w:rsidP="00A459CC">
            <w:pPr>
              <w:spacing w:after="0" w:line="240" w:lineRule="auto"/>
              <w:jc w:val="both"/>
              <w:rPr>
                <w:rFonts w:ascii="Arial" w:hAnsi="Arial" w:cs="Arial"/>
                <w:lang w:val="en-GB"/>
              </w:rPr>
            </w:pPr>
            <w:r w:rsidRPr="000A1C6C">
              <w:rPr>
                <w:rFonts w:ascii="Arial" w:hAnsi="Arial" w:cs="Arial"/>
                <w:lang w:val="en-GB"/>
              </w:rPr>
              <w:t>8</w:t>
            </w:r>
          </w:p>
        </w:tc>
        <w:tc>
          <w:tcPr>
            <w:tcW w:w="7903" w:type="dxa"/>
          </w:tcPr>
          <w:p w14:paraId="02330F29" w14:textId="77777777" w:rsidR="00A459CC" w:rsidRPr="000A1C6C" w:rsidRDefault="00A459CC" w:rsidP="00505F24">
            <w:pPr>
              <w:autoSpaceDE w:val="0"/>
              <w:autoSpaceDN w:val="0"/>
              <w:adjustRightInd w:val="0"/>
              <w:spacing w:afterLines="40" w:after="96" w:line="240" w:lineRule="auto"/>
              <w:rPr>
                <w:rFonts w:ascii="Arial" w:hAnsi="Arial" w:cs="Arial"/>
                <w:bCs/>
              </w:rPr>
            </w:pPr>
            <w:bookmarkStart w:id="2" w:name="_Hlk119670816"/>
            <w:r w:rsidRPr="000A1C6C">
              <w:rPr>
                <w:rFonts w:ascii="Arial" w:hAnsi="Arial" w:cs="Arial"/>
                <w:bCs/>
              </w:rPr>
              <w:t xml:space="preserve">Section 8 overall details that an institution </w:t>
            </w:r>
            <w:r w:rsidRPr="009D15AF">
              <w:rPr>
                <w:rFonts w:ascii="Arial" w:hAnsi="Arial" w:cs="Arial"/>
                <w:bCs/>
              </w:rPr>
              <w:t>needs to be ready to execute a transaction at any stage and will be difficult and costly to implement,</w:t>
            </w:r>
            <w:r w:rsidRPr="000A1C6C">
              <w:rPr>
                <w:rFonts w:ascii="Arial" w:hAnsi="Arial" w:cs="Arial"/>
                <w:bCs/>
              </w:rPr>
              <w:t xml:space="preserve"> requiring internal and external advisor costs (for example: to review and assess all legal contracts that will be impacted on transfer to the transaction perimeter). </w:t>
            </w:r>
          </w:p>
          <w:p w14:paraId="7BD93F3B" w14:textId="77777777" w:rsidR="00A459CC" w:rsidRPr="000A1C6C" w:rsidRDefault="00A459CC" w:rsidP="00A459CC">
            <w:pPr>
              <w:autoSpaceDE w:val="0"/>
              <w:autoSpaceDN w:val="0"/>
              <w:adjustRightInd w:val="0"/>
              <w:spacing w:beforeLines="40" w:before="96" w:afterLines="40" w:after="96" w:line="240" w:lineRule="auto"/>
              <w:rPr>
                <w:rFonts w:ascii="Arial" w:hAnsi="Arial" w:cs="Arial"/>
                <w:bCs/>
              </w:rPr>
            </w:pPr>
            <w:r w:rsidRPr="000A1C6C">
              <w:rPr>
                <w:rFonts w:ascii="Arial" w:hAnsi="Arial" w:cs="Arial"/>
                <w:bCs/>
              </w:rPr>
              <w:t xml:space="preserve">Our interpretation is that banks are required to compile a very detailed Virtual Data Room (VDR) (more than what would ordinarily be disclosed in a merger and acquisition process) for carve-outs, which requires detailed analysis of interconnectedness and constant updating between financial periods. It should be noted that carve-outs, compilation, and maintenance of VDR’s are very onerous and costly from a human resources and finance resource perspective. </w:t>
            </w:r>
            <w:r w:rsidRPr="000A1C6C">
              <w:rPr>
                <w:rFonts w:ascii="Arial" w:hAnsi="Arial" w:cs="Arial"/>
                <w:b/>
              </w:rPr>
              <w:t>Clarify</w:t>
            </w:r>
            <w:r w:rsidRPr="000A1C6C">
              <w:rPr>
                <w:rFonts w:ascii="Arial" w:hAnsi="Arial" w:cs="Arial"/>
                <w:bCs/>
              </w:rPr>
              <w:t>, if our interpretation is in line with the PA’s expectations.</w:t>
            </w:r>
          </w:p>
          <w:p w14:paraId="57CDEA6D" w14:textId="585BA223" w:rsidR="00A459CC" w:rsidRPr="000A1C6C" w:rsidRDefault="00A459CC" w:rsidP="001B386E">
            <w:pPr>
              <w:autoSpaceDE w:val="0"/>
              <w:autoSpaceDN w:val="0"/>
              <w:adjustRightInd w:val="0"/>
              <w:spacing w:beforeLines="40" w:before="96" w:afterLines="40" w:after="96" w:line="240" w:lineRule="auto"/>
              <w:jc w:val="both"/>
              <w:rPr>
                <w:rFonts w:ascii="Arial" w:hAnsi="Arial" w:cs="Arial"/>
                <w:lang w:val="en-GB"/>
              </w:rPr>
            </w:pPr>
            <w:r w:rsidRPr="000A1C6C">
              <w:rPr>
                <w:rFonts w:ascii="Arial" w:hAnsi="Arial" w:cs="Arial"/>
                <w:b/>
              </w:rPr>
              <w:t>Recommend</w:t>
            </w:r>
            <w:r w:rsidRPr="000A1C6C">
              <w:rPr>
                <w:rFonts w:ascii="Arial" w:hAnsi="Arial" w:cs="Arial"/>
                <w:bCs/>
              </w:rPr>
              <w:t xml:space="preserve"> detailed process requirements so that a VDR can be set up in case of resolution and would be available for the documents to be uploaded onto (rather than physically compiling and having to update every year).</w:t>
            </w:r>
            <w:bookmarkEnd w:id="2"/>
          </w:p>
        </w:tc>
        <w:tc>
          <w:tcPr>
            <w:tcW w:w="6416" w:type="dxa"/>
            <w:shd w:val="clear" w:color="auto" w:fill="auto"/>
          </w:tcPr>
          <w:p w14:paraId="07826A3A" w14:textId="292E6CFF" w:rsidR="00516CA8" w:rsidRDefault="00516CA8" w:rsidP="00516CA8">
            <w:pPr>
              <w:spacing w:after="0" w:line="240" w:lineRule="auto"/>
              <w:jc w:val="both"/>
              <w:rPr>
                <w:rFonts w:ascii="Arial" w:eastAsia="Times New Roman" w:hAnsi="Arial" w:cs="Arial"/>
                <w:lang w:val="en-GB"/>
              </w:rPr>
            </w:pPr>
            <w:r w:rsidRPr="000446B2">
              <w:rPr>
                <w:rFonts w:ascii="Arial" w:eastAsia="Times New Roman" w:hAnsi="Arial" w:cs="Arial"/>
                <w:lang w:val="en-GB"/>
              </w:rPr>
              <w:t xml:space="preserve">The </w:t>
            </w:r>
            <w:r w:rsidR="00DA560E">
              <w:rPr>
                <w:rFonts w:ascii="Arial" w:eastAsia="Times New Roman" w:hAnsi="Arial" w:cs="Arial"/>
                <w:lang w:val="en-GB"/>
              </w:rPr>
              <w:t>Authorities</w:t>
            </w:r>
            <w:r w:rsidRPr="000446B2">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requirements in the Standard.</w:t>
            </w:r>
          </w:p>
          <w:p w14:paraId="4F366BB5" w14:textId="77777777" w:rsidR="00516CA8" w:rsidRDefault="00516CA8" w:rsidP="00516CA8">
            <w:pPr>
              <w:spacing w:after="0" w:line="240" w:lineRule="auto"/>
              <w:jc w:val="both"/>
              <w:rPr>
                <w:rFonts w:ascii="Arial" w:eastAsia="Times New Roman" w:hAnsi="Arial" w:cs="Arial"/>
                <w:lang w:val="en-GB"/>
              </w:rPr>
            </w:pPr>
          </w:p>
          <w:p w14:paraId="7B3493E4" w14:textId="275AFBE6" w:rsidR="00E174E4" w:rsidRPr="00116575" w:rsidRDefault="00292F9B" w:rsidP="004063E3">
            <w:pPr>
              <w:jc w:val="both"/>
              <w:rPr>
                <w:rFonts w:ascii="Arial" w:hAnsi="Arial" w:cs="Arial"/>
                <w:lang w:val="en-GB"/>
              </w:rPr>
            </w:pPr>
            <w:r w:rsidRPr="00116575">
              <w:rPr>
                <w:rFonts w:ascii="Arial" w:hAnsi="Arial" w:cs="Arial"/>
                <w:lang w:val="en-GB"/>
              </w:rPr>
              <w:t xml:space="preserve">Section 8.5 of the Standard </w:t>
            </w:r>
            <w:r w:rsidR="006C34E4" w:rsidRPr="00116575">
              <w:rPr>
                <w:rFonts w:ascii="Arial" w:hAnsi="Arial" w:cs="Arial"/>
                <w:lang w:val="en-GB"/>
              </w:rPr>
              <w:t xml:space="preserve">stipulates requirements for </w:t>
            </w:r>
            <w:r w:rsidR="00773174">
              <w:rPr>
                <w:rFonts w:ascii="Arial" w:hAnsi="Arial" w:cs="Arial"/>
                <w:lang w:val="en-GB"/>
              </w:rPr>
              <w:t>M</w:t>
            </w:r>
            <w:r w:rsidR="006C34E4" w:rsidRPr="00116575">
              <w:rPr>
                <w:rFonts w:ascii="Arial" w:hAnsi="Arial" w:cs="Arial"/>
                <w:lang w:val="en-GB"/>
              </w:rPr>
              <w:t xml:space="preserve">anagement </w:t>
            </w:r>
            <w:r w:rsidR="00773174">
              <w:rPr>
                <w:rFonts w:ascii="Arial" w:hAnsi="Arial" w:cs="Arial"/>
                <w:lang w:val="en-GB"/>
              </w:rPr>
              <w:t>I</w:t>
            </w:r>
            <w:r w:rsidR="006C34E4" w:rsidRPr="00116575">
              <w:rPr>
                <w:rFonts w:ascii="Arial" w:hAnsi="Arial" w:cs="Arial"/>
                <w:lang w:val="en-GB"/>
              </w:rPr>
              <w:t xml:space="preserve">nformation </w:t>
            </w:r>
            <w:r w:rsidR="00773174">
              <w:rPr>
                <w:rFonts w:ascii="Arial" w:hAnsi="Arial" w:cs="Arial"/>
                <w:lang w:val="en-GB"/>
              </w:rPr>
              <w:t>S</w:t>
            </w:r>
            <w:r w:rsidR="006C34E4" w:rsidRPr="00116575">
              <w:rPr>
                <w:rFonts w:ascii="Arial" w:hAnsi="Arial" w:cs="Arial"/>
                <w:lang w:val="en-GB"/>
              </w:rPr>
              <w:t>ystems</w:t>
            </w:r>
            <w:r w:rsidR="00A414D7" w:rsidRPr="00116575">
              <w:rPr>
                <w:rFonts w:ascii="Arial" w:hAnsi="Arial" w:cs="Arial"/>
                <w:lang w:val="en-GB"/>
              </w:rPr>
              <w:t xml:space="preserve"> (MIS)</w:t>
            </w:r>
            <w:r w:rsidRPr="00116575">
              <w:rPr>
                <w:rFonts w:ascii="Arial" w:hAnsi="Arial" w:cs="Arial"/>
                <w:lang w:val="en-GB"/>
              </w:rPr>
              <w:t xml:space="preserve">, the overriding principle being that </w:t>
            </w:r>
            <w:r w:rsidR="00A414D7" w:rsidRPr="00116575">
              <w:rPr>
                <w:rFonts w:ascii="Arial" w:hAnsi="Arial" w:cs="Arial"/>
                <w:lang w:val="en-GB"/>
              </w:rPr>
              <w:t xml:space="preserve">designated institutions </w:t>
            </w:r>
            <w:r w:rsidRPr="00116575">
              <w:rPr>
                <w:rFonts w:ascii="Arial" w:hAnsi="Arial" w:cs="Arial"/>
                <w:lang w:val="en-GB"/>
              </w:rPr>
              <w:t xml:space="preserve">should </w:t>
            </w:r>
            <w:r w:rsidR="00491011" w:rsidRPr="00116575">
              <w:rPr>
                <w:rFonts w:ascii="Arial" w:hAnsi="Arial" w:cs="Arial"/>
                <w:lang w:val="en-GB"/>
              </w:rPr>
              <w:t>have accurate</w:t>
            </w:r>
            <w:r w:rsidR="00BE6EA5" w:rsidRPr="00116575">
              <w:rPr>
                <w:rFonts w:ascii="Arial" w:hAnsi="Arial" w:cs="Arial"/>
                <w:lang w:val="en-GB"/>
              </w:rPr>
              <w:t xml:space="preserve"> and</w:t>
            </w:r>
            <w:r w:rsidR="00491011" w:rsidRPr="00116575">
              <w:rPr>
                <w:rFonts w:ascii="Arial" w:hAnsi="Arial" w:cs="Arial"/>
                <w:lang w:val="en-GB"/>
              </w:rPr>
              <w:t xml:space="preserve"> </w:t>
            </w:r>
            <w:r w:rsidR="00CE46E3">
              <w:rPr>
                <w:rFonts w:ascii="Arial" w:hAnsi="Arial" w:cs="Arial"/>
                <w:lang w:val="en-GB"/>
              </w:rPr>
              <w:t>timely</w:t>
            </w:r>
            <w:r w:rsidR="00E174E4" w:rsidRPr="00116575">
              <w:rPr>
                <w:rFonts w:ascii="Arial" w:hAnsi="Arial" w:cs="Arial"/>
                <w:lang w:val="en-GB"/>
              </w:rPr>
              <w:t xml:space="preserve"> information</w:t>
            </w:r>
            <w:r w:rsidR="00BE6EA5" w:rsidRPr="00116575">
              <w:rPr>
                <w:rFonts w:ascii="Arial" w:hAnsi="Arial" w:cs="Arial"/>
                <w:lang w:val="en-GB"/>
              </w:rPr>
              <w:t xml:space="preserve"> necessary for</w:t>
            </w:r>
            <w:r w:rsidR="00EE07B7">
              <w:rPr>
                <w:rFonts w:ascii="Arial" w:hAnsi="Arial" w:cs="Arial"/>
                <w:lang w:val="en-GB"/>
              </w:rPr>
              <w:t xml:space="preserve"> transfer </w:t>
            </w:r>
            <w:r w:rsidR="00516CA8">
              <w:rPr>
                <w:rFonts w:ascii="Arial" w:hAnsi="Arial" w:cs="Arial"/>
                <w:lang w:val="en-GB"/>
              </w:rPr>
              <w:t>of</w:t>
            </w:r>
            <w:r w:rsidR="00EE07B7">
              <w:rPr>
                <w:rFonts w:ascii="Arial" w:hAnsi="Arial" w:cs="Arial"/>
                <w:lang w:val="en-GB"/>
              </w:rPr>
              <w:t xml:space="preserve"> the related assets and liabilities</w:t>
            </w:r>
            <w:r w:rsidR="00E174E4" w:rsidRPr="00116575">
              <w:rPr>
                <w:rFonts w:ascii="Arial" w:hAnsi="Arial" w:cs="Arial"/>
                <w:lang w:val="en-GB"/>
              </w:rPr>
              <w:t>.</w:t>
            </w:r>
            <w:r w:rsidR="000B01F1" w:rsidRPr="00116575">
              <w:rPr>
                <w:rFonts w:ascii="Arial" w:hAnsi="Arial" w:cs="Arial"/>
                <w:lang w:val="en-GB"/>
              </w:rPr>
              <w:t xml:space="preserve"> </w:t>
            </w:r>
          </w:p>
          <w:p w14:paraId="3755A0F7" w14:textId="57E0AF11" w:rsidR="00D27D01" w:rsidRPr="00116575" w:rsidRDefault="000B01F1" w:rsidP="00D27D01">
            <w:pPr>
              <w:jc w:val="both"/>
              <w:rPr>
                <w:rFonts w:ascii="Arial" w:hAnsi="Arial" w:cs="Arial"/>
                <w:lang w:val="en-GB"/>
              </w:rPr>
            </w:pPr>
            <w:r w:rsidRPr="00116575">
              <w:rPr>
                <w:rFonts w:ascii="Arial" w:hAnsi="Arial" w:cs="Arial"/>
                <w:lang w:val="en-GB"/>
              </w:rPr>
              <w:t xml:space="preserve">Depending on the state of </w:t>
            </w:r>
            <w:r w:rsidR="006244BC" w:rsidRPr="00116575">
              <w:rPr>
                <w:rFonts w:ascii="Arial" w:hAnsi="Arial" w:cs="Arial"/>
                <w:lang w:val="en-GB"/>
              </w:rPr>
              <w:t>the designated institutions’ MIS, some designated institutions might need an overhaul of the</w:t>
            </w:r>
            <w:r w:rsidR="00DE4122" w:rsidRPr="00116575">
              <w:rPr>
                <w:rFonts w:ascii="Arial" w:hAnsi="Arial" w:cs="Arial"/>
                <w:lang w:val="en-GB"/>
              </w:rPr>
              <w:t>ir</w:t>
            </w:r>
            <w:r w:rsidR="006244BC" w:rsidRPr="00116575">
              <w:rPr>
                <w:rFonts w:ascii="Arial" w:hAnsi="Arial" w:cs="Arial"/>
                <w:lang w:val="en-GB"/>
              </w:rPr>
              <w:t xml:space="preserve"> MIS systems, whilst others might be able to use existing MIS to fulfil the requirements.</w:t>
            </w:r>
          </w:p>
          <w:p w14:paraId="11A737CF" w14:textId="3B055899" w:rsidR="009D15AF" w:rsidRPr="009D15AF" w:rsidRDefault="007F511E" w:rsidP="000446B2">
            <w:pPr>
              <w:jc w:val="both"/>
              <w:rPr>
                <w:rFonts w:ascii="Arial" w:hAnsi="Arial" w:cs="Arial"/>
                <w:lang w:val="en-GB"/>
              </w:rPr>
            </w:pPr>
            <w:r w:rsidRPr="00116575">
              <w:rPr>
                <w:rFonts w:ascii="Arial" w:hAnsi="Arial" w:cs="Arial"/>
                <w:lang w:val="en-GB"/>
              </w:rPr>
              <w:t>In addition</w:t>
            </w:r>
            <w:r w:rsidR="00606A33" w:rsidRPr="00116575">
              <w:rPr>
                <w:rFonts w:ascii="Arial" w:hAnsi="Arial" w:cs="Arial"/>
                <w:lang w:val="en-GB"/>
              </w:rPr>
              <w:t xml:space="preserve">, the Reserve bank will engage each </w:t>
            </w:r>
            <w:r w:rsidR="00814C3B" w:rsidRPr="00116575">
              <w:rPr>
                <w:rFonts w:ascii="Arial" w:hAnsi="Arial" w:cs="Arial"/>
                <w:lang w:val="en-GB"/>
              </w:rPr>
              <w:t>designated</w:t>
            </w:r>
            <w:r w:rsidR="00606A33" w:rsidRPr="00116575">
              <w:rPr>
                <w:rFonts w:ascii="Arial" w:hAnsi="Arial" w:cs="Arial"/>
                <w:lang w:val="en-GB"/>
              </w:rPr>
              <w:t xml:space="preserve"> institution during the </w:t>
            </w:r>
            <w:r w:rsidR="00814C3B" w:rsidRPr="00116575">
              <w:rPr>
                <w:rFonts w:ascii="Arial" w:hAnsi="Arial" w:cs="Arial"/>
                <w:lang w:val="en-GB"/>
              </w:rPr>
              <w:t>resolution</w:t>
            </w:r>
            <w:r w:rsidR="00606A33" w:rsidRPr="00116575">
              <w:rPr>
                <w:rFonts w:ascii="Arial" w:hAnsi="Arial" w:cs="Arial"/>
                <w:lang w:val="en-GB"/>
              </w:rPr>
              <w:t xml:space="preserve"> planning phase to determine what is possible</w:t>
            </w:r>
            <w:r w:rsidR="00814C3B" w:rsidRPr="00116575">
              <w:rPr>
                <w:rFonts w:ascii="Arial" w:hAnsi="Arial" w:cs="Arial"/>
                <w:lang w:val="en-GB"/>
              </w:rPr>
              <w:t xml:space="preserve"> with regards to the MIS requirements and ensure that proportionality</w:t>
            </w:r>
            <w:r w:rsidRPr="00116575">
              <w:rPr>
                <w:rFonts w:ascii="Arial" w:hAnsi="Arial" w:cs="Arial"/>
                <w:lang w:val="en-GB"/>
              </w:rPr>
              <w:t xml:space="preserve"> (</w:t>
            </w:r>
            <w:r w:rsidR="0055355A" w:rsidRPr="00116575">
              <w:rPr>
                <w:rFonts w:ascii="Arial" w:hAnsi="Arial" w:cs="Arial"/>
                <w:lang w:val="en-GB"/>
              </w:rPr>
              <w:t>due to the size of the institution or the transfer perimeter etc.</w:t>
            </w:r>
            <w:r w:rsidRPr="00116575">
              <w:rPr>
                <w:rFonts w:ascii="Arial" w:hAnsi="Arial" w:cs="Arial"/>
                <w:lang w:val="en-GB"/>
              </w:rPr>
              <w:t>)</w:t>
            </w:r>
            <w:r w:rsidR="00814C3B" w:rsidRPr="00116575">
              <w:rPr>
                <w:rFonts w:ascii="Arial" w:hAnsi="Arial" w:cs="Arial"/>
                <w:lang w:val="en-GB"/>
              </w:rPr>
              <w:t xml:space="preserve"> is applied</w:t>
            </w:r>
            <w:r w:rsidRPr="00116575">
              <w:rPr>
                <w:rFonts w:ascii="Arial" w:hAnsi="Arial" w:cs="Arial"/>
                <w:lang w:val="en-GB"/>
              </w:rPr>
              <w:t xml:space="preserve"> in </w:t>
            </w:r>
            <w:r w:rsidR="0055355A" w:rsidRPr="00116575">
              <w:rPr>
                <w:rFonts w:ascii="Arial" w:hAnsi="Arial" w:cs="Arial"/>
                <w:lang w:val="en-GB"/>
              </w:rPr>
              <w:t>meeting the requirements</w:t>
            </w:r>
            <w:r w:rsidR="00814C3B" w:rsidRPr="00116575">
              <w:rPr>
                <w:rFonts w:ascii="Arial" w:hAnsi="Arial" w:cs="Arial"/>
                <w:lang w:val="en-GB"/>
              </w:rPr>
              <w:t>.</w:t>
            </w:r>
          </w:p>
        </w:tc>
      </w:tr>
      <w:tr w:rsidR="00A459CC" w:rsidRPr="009D05E3" w14:paraId="791D360E" w14:textId="77777777" w:rsidTr="00515BD8">
        <w:tc>
          <w:tcPr>
            <w:tcW w:w="1886" w:type="dxa"/>
          </w:tcPr>
          <w:p w14:paraId="518B3684" w14:textId="0C3535A3" w:rsidR="00A459CC" w:rsidRPr="000A1C6C" w:rsidRDefault="008C3A29" w:rsidP="008C3A29">
            <w:pPr>
              <w:spacing w:after="0"/>
              <w:jc w:val="center"/>
              <w:rPr>
                <w:rFonts w:ascii="Arial" w:hAnsi="Arial" w:cs="Arial"/>
                <w:lang w:val="en-GB"/>
              </w:rPr>
            </w:pPr>
            <w:r w:rsidRPr="000A1C6C">
              <w:rPr>
                <w:rFonts w:ascii="Arial" w:hAnsi="Arial" w:cs="Arial"/>
                <w:lang w:val="en-GB"/>
              </w:rPr>
              <w:t>76</w:t>
            </w:r>
          </w:p>
        </w:tc>
        <w:tc>
          <w:tcPr>
            <w:tcW w:w="2078" w:type="dxa"/>
          </w:tcPr>
          <w:p w14:paraId="64B75405" w14:textId="3A8DDE86" w:rsidR="00A459CC" w:rsidRPr="000A1C6C" w:rsidRDefault="00A459CC" w:rsidP="00A459CC">
            <w:pPr>
              <w:spacing w:after="0" w:line="240" w:lineRule="auto"/>
              <w:jc w:val="both"/>
              <w:rPr>
                <w:rFonts w:ascii="Arial" w:hAnsi="Arial" w:cs="Arial"/>
                <w:lang w:val="en-GB"/>
              </w:rPr>
            </w:pPr>
            <w:r w:rsidRPr="000A1C6C">
              <w:rPr>
                <w:rFonts w:ascii="Arial" w:hAnsi="Arial" w:cs="Arial"/>
              </w:rPr>
              <w:t>BASA</w:t>
            </w:r>
          </w:p>
        </w:tc>
        <w:tc>
          <w:tcPr>
            <w:tcW w:w="2691" w:type="dxa"/>
          </w:tcPr>
          <w:p w14:paraId="681F3D7F" w14:textId="43B8683B" w:rsidR="00A459CC" w:rsidRPr="000A1C6C" w:rsidRDefault="00A459CC" w:rsidP="00A459CC">
            <w:pPr>
              <w:spacing w:after="0" w:line="240" w:lineRule="auto"/>
              <w:jc w:val="both"/>
              <w:rPr>
                <w:rFonts w:ascii="Arial" w:hAnsi="Arial" w:cs="Arial"/>
                <w:lang w:val="en-GB"/>
              </w:rPr>
            </w:pPr>
            <w:r w:rsidRPr="000A1C6C">
              <w:rPr>
                <w:rFonts w:ascii="Arial" w:hAnsi="Arial" w:cs="Arial"/>
                <w:bCs/>
              </w:rPr>
              <w:t>8.1 Requirements for the transfer perimeter</w:t>
            </w:r>
          </w:p>
        </w:tc>
        <w:tc>
          <w:tcPr>
            <w:tcW w:w="7903" w:type="dxa"/>
          </w:tcPr>
          <w:p w14:paraId="118730BE" w14:textId="03598E66" w:rsidR="00A459CC" w:rsidRPr="000A1C6C" w:rsidRDefault="00A459CC" w:rsidP="00A459CC">
            <w:pPr>
              <w:jc w:val="both"/>
              <w:rPr>
                <w:rFonts w:ascii="Arial" w:hAnsi="Arial" w:cs="Arial"/>
                <w:lang w:val="en-GB"/>
              </w:rPr>
            </w:pPr>
            <w:r w:rsidRPr="000A1C6C">
              <w:rPr>
                <w:rFonts w:ascii="Arial" w:hAnsi="Arial" w:cs="Arial"/>
                <w:bCs/>
              </w:rPr>
              <w:t>Separation of all assets and liabilities for all the hard interconnections and essential services would be a challenge as this would require involvement across the Group.  The Bank as stand-alone entity would with be able to identify these assets and liabilities but including the broader perimeters would involve considerable work.</w:t>
            </w:r>
          </w:p>
        </w:tc>
        <w:tc>
          <w:tcPr>
            <w:tcW w:w="6416" w:type="dxa"/>
            <w:shd w:val="clear" w:color="auto" w:fill="auto"/>
          </w:tcPr>
          <w:p w14:paraId="40BD2AF0" w14:textId="77777777" w:rsidR="00A459CC" w:rsidRDefault="002A0359" w:rsidP="002A0359">
            <w:pPr>
              <w:jc w:val="both"/>
              <w:rPr>
                <w:rFonts w:ascii="Arial" w:hAnsi="Arial" w:cs="Arial"/>
                <w:lang w:val="en-GB"/>
              </w:rPr>
            </w:pPr>
            <w:r>
              <w:rPr>
                <w:rFonts w:ascii="Arial" w:hAnsi="Arial" w:cs="Arial"/>
                <w:lang w:val="en-GB"/>
              </w:rPr>
              <w:t>Noted.</w:t>
            </w:r>
          </w:p>
          <w:p w14:paraId="07EC9F60" w14:textId="6A96B303" w:rsidR="00E4273B" w:rsidRDefault="00D00D06" w:rsidP="00D00D06">
            <w:pPr>
              <w:spacing w:after="0" w:line="240" w:lineRule="auto"/>
              <w:jc w:val="both"/>
              <w:rPr>
                <w:rFonts w:ascii="Arial" w:eastAsia="Times New Roman" w:hAnsi="Arial" w:cs="Arial"/>
                <w:lang w:val="en-GB"/>
              </w:rPr>
            </w:pPr>
            <w:r w:rsidRPr="000446B2">
              <w:rPr>
                <w:rFonts w:ascii="Arial" w:eastAsia="Times New Roman" w:hAnsi="Arial" w:cs="Arial"/>
                <w:lang w:val="en-GB"/>
              </w:rPr>
              <w:t xml:space="preserve">The </w:t>
            </w:r>
            <w:r w:rsidR="00DA560E">
              <w:rPr>
                <w:rFonts w:ascii="Arial" w:eastAsia="Times New Roman" w:hAnsi="Arial" w:cs="Arial"/>
                <w:lang w:val="en-GB"/>
              </w:rPr>
              <w:t>Authorities</w:t>
            </w:r>
            <w:r w:rsidRPr="000446B2">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requirements in the Standard.</w:t>
            </w:r>
          </w:p>
          <w:p w14:paraId="0A65A951" w14:textId="5A4443DF" w:rsidR="00D00D06" w:rsidRPr="00D00D06" w:rsidRDefault="00D00D06" w:rsidP="00D00D06">
            <w:pPr>
              <w:spacing w:after="0" w:line="240" w:lineRule="auto"/>
              <w:jc w:val="both"/>
              <w:rPr>
                <w:rFonts w:ascii="Arial" w:eastAsia="Times New Roman" w:hAnsi="Arial" w:cs="Arial"/>
                <w:lang w:val="en-GB"/>
              </w:rPr>
            </w:pPr>
          </w:p>
        </w:tc>
      </w:tr>
      <w:tr w:rsidR="00A459CC" w:rsidRPr="009D05E3" w14:paraId="765655F5" w14:textId="77777777" w:rsidTr="00515BD8">
        <w:tc>
          <w:tcPr>
            <w:tcW w:w="1886" w:type="dxa"/>
          </w:tcPr>
          <w:p w14:paraId="70AFA8AD" w14:textId="636B338C" w:rsidR="00A459CC" w:rsidRPr="000A1C6C" w:rsidRDefault="008C3A29" w:rsidP="008C3A29">
            <w:pPr>
              <w:spacing w:after="0"/>
              <w:jc w:val="center"/>
              <w:rPr>
                <w:rFonts w:ascii="Arial" w:hAnsi="Arial" w:cs="Arial"/>
                <w:lang w:val="en-GB"/>
              </w:rPr>
            </w:pPr>
            <w:r w:rsidRPr="000A1C6C">
              <w:rPr>
                <w:rFonts w:ascii="Arial" w:hAnsi="Arial" w:cs="Arial"/>
                <w:lang w:val="en-GB"/>
              </w:rPr>
              <w:t>77</w:t>
            </w:r>
          </w:p>
        </w:tc>
        <w:tc>
          <w:tcPr>
            <w:tcW w:w="2078" w:type="dxa"/>
          </w:tcPr>
          <w:p w14:paraId="1DE6DCC7" w14:textId="6F9E8036" w:rsidR="00A459CC" w:rsidRPr="00EB6327" w:rsidRDefault="00A459CC" w:rsidP="00A459CC">
            <w:pPr>
              <w:spacing w:after="0" w:line="240" w:lineRule="auto"/>
              <w:jc w:val="both"/>
              <w:rPr>
                <w:rFonts w:ascii="Arial" w:hAnsi="Arial" w:cs="Arial"/>
                <w:lang w:val="en-GB"/>
              </w:rPr>
            </w:pPr>
            <w:r w:rsidRPr="00EB6327">
              <w:rPr>
                <w:rFonts w:ascii="Arial" w:hAnsi="Arial" w:cs="Arial"/>
              </w:rPr>
              <w:t>BASA</w:t>
            </w:r>
          </w:p>
        </w:tc>
        <w:tc>
          <w:tcPr>
            <w:tcW w:w="2691" w:type="dxa"/>
          </w:tcPr>
          <w:p w14:paraId="16698E99" w14:textId="55B4378B" w:rsidR="00AF04AC" w:rsidRPr="00EB6327" w:rsidRDefault="00AF04AC" w:rsidP="00A459CC">
            <w:pPr>
              <w:spacing w:after="0" w:line="240" w:lineRule="auto"/>
              <w:jc w:val="both"/>
              <w:rPr>
                <w:rFonts w:ascii="Arial" w:hAnsi="Arial" w:cs="Arial"/>
                <w:bCs/>
              </w:rPr>
            </w:pPr>
            <w:r w:rsidRPr="00EB6327">
              <w:rPr>
                <w:rFonts w:ascii="Arial" w:hAnsi="Arial" w:cs="Arial"/>
                <w:bCs/>
              </w:rPr>
              <w:t>8.2(a)</w:t>
            </w:r>
          </w:p>
          <w:p w14:paraId="3CB06F5F" w14:textId="5082FA5B" w:rsidR="00A459CC" w:rsidRPr="00EB6327" w:rsidRDefault="00A459CC" w:rsidP="00A459CC">
            <w:pPr>
              <w:spacing w:after="0" w:line="240" w:lineRule="auto"/>
              <w:jc w:val="both"/>
              <w:rPr>
                <w:rFonts w:ascii="Arial" w:hAnsi="Arial" w:cs="Arial"/>
                <w:lang w:val="en-GB"/>
              </w:rPr>
            </w:pPr>
          </w:p>
        </w:tc>
        <w:tc>
          <w:tcPr>
            <w:tcW w:w="7903" w:type="dxa"/>
          </w:tcPr>
          <w:p w14:paraId="57AD6860" w14:textId="50A6111D" w:rsidR="00A459CC" w:rsidRPr="000A1C6C" w:rsidRDefault="00A459CC" w:rsidP="00A459CC">
            <w:pPr>
              <w:jc w:val="both"/>
              <w:rPr>
                <w:rFonts w:ascii="Arial" w:hAnsi="Arial" w:cs="Arial"/>
                <w:lang w:val="en-GB"/>
              </w:rPr>
            </w:pPr>
            <w:r w:rsidRPr="000A1C6C">
              <w:rPr>
                <w:rFonts w:ascii="Arial" w:hAnsi="Arial" w:cs="Arial"/>
                <w:b/>
              </w:rPr>
              <w:t xml:space="preserve">Clarify </w:t>
            </w:r>
            <w:r w:rsidRPr="000A1C6C">
              <w:rPr>
                <w:rFonts w:ascii="Arial" w:hAnsi="Arial" w:cs="Arial"/>
                <w:bCs/>
              </w:rPr>
              <w:t>what is meant by “interconnections that need to be included in or excluded from the transfer perimeter”.</w:t>
            </w:r>
          </w:p>
        </w:tc>
        <w:tc>
          <w:tcPr>
            <w:tcW w:w="6416" w:type="dxa"/>
            <w:shd w:val="clear" w:color="auto" w:fill="auto"/>
          </w:tcPr>
          <w:p w14:paraId="7D694D4A" w14:textId="6BCBB4D5" w:rsidR="00922F80" w:rsidRDefault="00610073" w:rsidP="005B0615">
            <w:pPr>
              <w:jc w:val="both"/>
              <w:rPr>
                <w:rFonts w:ascii="Arial" w:hAnsi="Arial" w:cs="Arial"/>
                <w:lang w:val="en-GB"/>
              </w:rPr>
            </w:pPr>
            <w:r>
              <w:rPr>
                <w:rFonts w:ascii="Arial" w:hAnsi="Arial" w:cs="Arial"/>
                <w:lang w:val="en-GB"/>
              </w:rPr>
              <w:t xml:space="preserve">The </w:t>
            </w:r>
            <w:r w:rsidR="00DA560E">
              <w:rPr>
                <w:rFonts w:ascii="Arial" w:hAnsi="Arial" w:cs="Arial"/>
                <w:lang w:val="en-GB"/>
              </w:rPr>
              <w:t>Authorities</w:t>
            </w:r>
            <w:r>
              <w:rPr>
                <w:rFonts w:ascii="Arial" w:hAnsi="Arial" w:cs="Arial"/>
                <w:lang w:val="en-GB"/>
              </w:rPr>
              <w:t xml:space="preserve"> simplified section 8.2</w:t>
            </w:r>
            <w:r w:rsidR="003107ED">
              <w:rPr>
                <w:rFonts w:ascii="Arial" w:hAnsi="Arial" w:cs="Arial"/>
                <w:lang w:val="en-GB"/>
              </w:rPr>
              <w:t>(a)</w:t>
            </w:r>
            <w:r>
              <w:rPr>
                <w:rFonts w:ascii="Arial" w:hAnsi="Arial" w:cs="Arial"/>
                <w:lang w:val="en-GB"/>
              </w:rPr>
              <w:t xml:space="preserve"> </w:t>
            </w:r>
            <w:r w:rsidR="003107ED">
              <w:rPr>
                <w:rFonts w:ascii="Arial" w:hAnsi="Arial" w:cs="Arial"/>
                <w:lang w:val="en-GB"/>
              </w:rPr>
              <w:t>to clarify the meaning intended.</w:t>
            </w:r>
          </w:p>
          <w:p w14:paraId="328A150D" w14:textId="5724C437" w:rsidR="0047196F" w:rsidRPr="005B0615" w:rsidRDefault="003107ED" w:rsidP="0047196F">
            <w:pPr>
              <w:jc w:val="both"/>
              <w:rPr>
                <w:rFonts w:ascii="Arial" w:hAnsi="Arial" w:cs="Arial"/>
                <w:lang w:val="en-GB"/>
              </w:rPr>
            </w:pPr>
            <w:r>
              <w:rPr>
                <w:rFonts w:ascii="Arial" w:hAnsi="Arial" w:cs="Arial"/>
                <w:lang w:val="en-GB"/>
              </w:rPr>
              <w:t xml:space="preserve">The sentence “interconnections that need to be included in or excluded from the transfer perimeter” has been replaced by </w:t>
            </w:r>
            <w:r w:rsidR="00034164">
              <w:rPr>
                <w:rFonts w:ascii="Arial" w:hAnsi="Arial" w:cs="Arial"/>
                <w:lang w:val="en-GB"/>
              </w:rPr>
              <w:t>“to</w:t>
            </w:r>
            <w:r>
              <w:rPr>
                <w:rFonts w:ascii="Arial" w:hAnsi="Arial" w:cs="Arial"/>
                <w:lang w:val="en-GB"/>
              </w:rPr>
              <w:t xml:space="preserve"> ensure a </w:t>
            </w:r>
            <w:r w:rsidR="00F628C5">
              <w:rPr>
                <w:rFonts w:ascii="Arial" w:hAnsi="Arial" w:cs="Arial"/>
                <w:lang w:val="en-GB"/>
              </w:rPr>
              <w:t xml:space="preserve">clean </w:t>
            </w:r>
            <w:r w:rsidR="004A65A3">
              <w:rPr>
                <w:rFonts w:ascii="Arial" w:hAnsi="Arial" w:cs="Arial"/>
                <w:lang w:val="en-GB"/>
              </w:rPr>
              <w:t xml:space="preserve">separation </w:t>
            </w:r>
            <w:r w:rsidR="00B67C69">
              <w:rPr>
                <w:rFonts w:ascii="Arial" w:hAnsi="Arial" w:cs="Arial"/>
                <w:lang w:val="en-GB"/>
              </w:rPr>
              <w:t>without unnecessary complexity</w:t>
            </w:r>
            <w:r w:rsidR="004B6656">
              <w:rPr>
                <w:rFonts w:ascii="Arial" w:hAnsi="Arial" w:cs="Arial"/>
                <w:lang w:val="en-GB"/>
              </w:rPr>
              <w:t>”</w:t>
            </w:r>
            <w:r>
              <w:rPr>
                <w:rFonts w:ascii="Arial" w:hAnsi="Arial" w:cs="Arial"/>
                <w:lang w:val="en-GB"/>
              </w:rPr>
              <w:t>.</w:t>
            </w:r>
          </w:p>
        </w:tc>
      </w:tr>
      <w:tr w:rsidR="00A459CC" w:rsidRPr="009D05E3" w14:paraId="0FBDF5CF" w14:textId="77777777" w:rsidTr="00515BD8">
        <w:tc>
          <w:tcPr>
            <w:tcW w:w="1886" w:type="dxa"/>
            <w:shd w:val="clear" w:color="auto" w:fill="auto"/>
          </w:tcPr>
          <w:p w14:paraId="692C87B8" w14:textId="4161BE29" w:rsidR="00A459CC" w:rsidRPr="000A1C6C" w:rsidRDefault="008C3A29" w:rsidP="008C3A29">
            <w:pPr>
              <w:spacing w:after="0"/>
              <w:jc w:val="center"/>
              <w:rPr>
                <w:rFonts w:ascii="Arial" w:hAnsi="Arial" w:cs="Arial"/>
                <w:lang w:val="en-GB"/>
              </w:rPr>
            </w:pPr>
            <w:r w:rsidRPr="000A1C6C">
              <w:rPr>
                <w:rFonts w:ascii="Arial" w:hAnsi="Arial" w:cs="Arial"/>
                <w:lang w:val="en-GB"/>
              </w:rPr>
              <w:t>78</w:t>
            </w:r>
          </w:p>
        </w:tc>
        <w:tc>
          <w:tcPr>
            <w:tcW w:w="2078" w:type="dxa"/>
          </w:tcPr>
          <w:p w14:paraId="6C5F9773" w14:textId="2EA98709" w:rsidR="00A459CC" w:rsidRPr="00EB6327" w:rsidRDefault="00A459CC" w:rsidP="00A459CC">
            <w:pPr>
              <w:spacing w:after="0" w:line="240" w:lineRule="auto"/>
              <w:jc w:val="both"/>
              <w:rPr>
                <w:rFonts w:ascii="Arial" w:hAnsi="Arial" w:cs="Arial"/>
                <w:lang w:val="en-GB"/>
              </w:rPr>
            </w:pPr>
            <w:r w:rsidRPr="00EB6327">
              <w:rPr>
                <w:rFonts w:ascii="Arial" w:hAnsi="Arial" w:cs="Arial"/>
              </w:rPr>
              <w:t>BASA</w:t>
            </w:r>
          </w:p>
        </w:tc>
        <w:tc>
          <w:tcPr>
            <w:tcW w:w="2691" w:type="dxa"/>
          </w:tcPr>
          <w:p w14:paraId="3261CD44" w14:textId="65447060" w:rsidR="00CB687F" w:rsidRPr="00EB6327" w:rsidRDefault="00CB687F" w:rsidP="00A459CC">
            <w:pPr>
              <w:spacing w:after="0" w:line="240" w:lineRule="auto"/>
              <w:jc w:val="both"/>
              <w:rPr>
                <w:rFonts w:ascii="Arial" w:hAnsi="Arial" w:cs="Arial"/>
                <w:bCs/>
              </w:rPr>
            </w:pPr>
            <w:r w:rsidRPr="00EB6327">
              <w:rPr>
                <w:rFonts w:ascii="Arial" w:hAnsi="Arial" w:cs="Arial"/>
                <w:bCs/>
              </w:rPr>
              <w:t>8.2(c)(</w:t>
            </w:r>
            <w:proofErr w:type="spellStart"/>
            <w:r w:rsidRPr="00EB6327">
              <w:rPr>
                <w:rFonts w:ascii="Arial" w:hAnsi="Arial" w:cs="Arial"/>
                <w:bCs/>
              </w:rPr>
              <w:t>i</w:t>
            </w:r>
            <w:proofErr w:type="spellEnd"/>
            <w:r w:rsidRPr="00EB6327">
              <w:rPr>
                <w:rFonts w:ascii="Arial" w:hAnsi="Arial" w:cs="Arial"/>
                <w:bCs/>
              </w:rPr>
              <w:t>)</w:t>
            </w:r>
          </w:p>
          <w:p w14:paraId="2A420F6A" w14:textId="224FC158" w:rsidR="00A459CC" w:rsidRPr="00EB6327" w:rsidRDefault="00A459CC" w:rsidP="00A459CC">
            <w:pPr>
              <w:spacing w:after="0" w:line="240" w:lineRule="auto"/>
              <w:jc w:val="both"/>
              <w:rPr>
                <w:rFonts w:ascii="Arial" w:hAnsi="Arial" w:cs="Arial"/>
                <w:lang w:val="en-GB"/>
              </w:rPr>
            </w:pPr>
            <w:r w:rsidRPr="00EB6327">
              <w:rPr>
                <w:rFonts w:ascii="Arial" w:hAnsi="Arial" w:cs="Arial"/>
                <w:bCs/>
              </w:rPr>
              <w:t xml:space="preserve"> </w:t>
            </w:r>
          </w:p>
        </w:tc>
        <w:tc>
          <w:tcPr>
            <w:tcW w:w="7903" w:type="dxa"/>
          </w:tcPr>
          <w:p w14:paraId="43561A11" w14:textId="03D5BEF2" w:rsidR="00A459CC" w:rsidRPr="000A1C6C" w:rsidRDefault="00A459CC" w:rsidP="00A459CC">
            <w:pPr>
              <w:jc w:val="both"/>
              <w:rPr>
                <w:rFonts w:ascii="Arial" w:hAnsi="Arial" w:cs="Arial"/>
                <w:lang w:val="en-GB"/>
              </w:rPr>
            </w:pPr>
            <w:r w:rsidRPr="000A1C6C">
              <w:rPr>
                <w:rFonts w:ascii="Arial" w:hAnsi="Arial" w:cs="Arial"/>
                <w:b/>
              </w:rPr>
              <w:t>Recommend</w:t>
            </w:r>
            <w:r w:rsidRPr="000A1C6C">
              <w:rPr>
                <w:rFonts w:ascii="Arial" w:hAnsi="Arial" w:cs="Arial"/>
                <w:bCs/>
              </w:rPr>
              <w:t xml:space="preserve"> the use of </w:t>
            </w:r>
            <w:r w:rsidRPr="000A1C6C">
              <w:rPr>
                <w:rFonts w:ascii="Arial" w:hAnsi="Arial" w:cs="Arial"/>
                <w:b/>
              </w:rPr>
              <w:t>“material”</w:t>
            </w:r>
            <w:r w:rsidRPr="000A1C6C">
              <w:rPr>
                <w:rFonts w:ascii="Arial" w:hAnsi="Arial" w:cs="Arial"/>
                <w:bCs/>
              </w:rPr>
              <w:t xml:space="preserve"> instead of “any”. This will make the requirement more specific and focused on the relevant information to be provided instead of large amounts of information that changes on a monthly or quarterly basis.</w:t>
            </w:r>
          </w:p>
        </w:tc>
        <w:tc>
          <w:tcPr>
            <w:tcW w:w="6416" w:type="dxa"/>
            <w:shd w:val="clear" w:color="auto" w:fill="auto"/>
          </w:tcPr>
          <w:p w14:paraId="2D5E9696" w14:textId="5C44A770" w:rsidR="000210ED" w:rsidRDefault="00C14E12" w:rsidP="004864DC">
            <w:pPr>
              <w:jc w:val="both"/>
              <w:rPr>
                <w:rFonts w:ascii="Arial" w:hAnsi="Arial" w:cs="Arial"/>
                <w:lang w:val="en-GB"/>
              </w:rPr>
            </w:pPr>
            <w:r>
              <w:rPr>
                <w:rFonts w:ascii="Arial" w:hAnsi="Arial" w:cs="Arial"/>
                <w:lang w:val="en-GB"/>
              </w:rPr>
              <w:t>M</w:t>
            </w:r>
            <w:r w:rsidR="00585EAC">
              <w:rPr>
                <w:rFonts w:ascii="Arial" w:hAnsi="Arial" w:cs="Arial"/>
                <w:lang w:val="en-GB"/>
              </w:rPr>
              <w:t xml:space="preserve">ateriality is relative depending on the </w:t>
            </w:r>
            <w:r w:rsidR="000519C6">
              <w:rPr>
                <w:rFonts w:ascii="Arial" w:hAnsi="Arial" w:cs="Arial"/>
                <w:lang w:val="en-GB"/>
              </w:rPr>
              <w:t>relevant</w:t>
            </w:r>
            <w:r w:rsidR="000210ED">
              <w:rPr>
                <w:rFonts w:ascii="Arial" w:hAnsi="Arial" w:cs="Arial"/>
                <w:lang w:val="en-GB"/>
              </w:rPr>
              <w:t xml:space="preserve"> party</w:t>
            </w:r>
            <w:r w:rsidR="003034D4">
              <w:rPr>
                <w:rFonts w:ascii="Arial" w:hAnsi="Arial" w:cs="Arial"/>
                <w:lang w:val="en-GB"/>
              </w:rPr>
              <w:t xml:space="preserve"> and it</w:t>
            </w:r>
            <w:r w:rsidR="000210ED">
              <w:rPr>
                <w:rFonts w:ascii="Arial" w:hAnsi="Arial" w:cs="Arial"/>
                <w:lang w:val="en-GB"/>
              </w:rPr>
              <w:t xml:space="preserve"> introduces complexity</w:t>
            </w:r>
            <w:r w:rsidR="00600511">
              <w:rPr>
                <w:rFonts w:ascii="Arial" w:hAnsi="Arial" w:cs="Arial"/>
                <w:lang w:val="en-GB"/>
              </w:rPr>
              <w:t xml:space="preserve"> </w:t>
            </w:r>
            <w:r w:rsidR="0050582B">
              <w:rPr>
                <w:rFonts w:ascii="Arial" w:hAnsi="Arial" w:cs="Arial"/>
                <w:lang w:val="en-GB"/>
              </w:rPr>
              <w:t>due</w:t>
            </w:r>
            <w:r w:rsidR="00600511">
              <w:rPr>
                <w:rFonts w:ascii="Arial" w:hAnsi="Arial" w:cs="Arial"/>
                <w:lang w:val="en-GB"/>
              </w:rPr>
              <w:t xml:space="preserve"> to definitions and quant</w:t>
            </w:r>
            <w:r w:rsidR="0050582B">
              <w:rPr>
                <w:rFonts w:ascii="Arial" w:hAnsi="Arial" w:cs="Arial"/>
                <w:lang w:val="en-GB"/>
              </w:rPr>
              <w:t>ification.</w:t>
            </w:r>
          </w:p>
          <w:p w14:paraId="5932DFBB" w14:textId="62300DAC" w:rsidR="001C0496" w:rsidRPr="004864DC" w:rsidRDefault="00F54C6B" w:rsidP="004864DC">
            <w:pPr>
              <w:jc w:val="both"/>
              <w:rPr>
                <w:rFonts w:ascii="Arial" w:hAnsi="Arial" w:cs="Arial"/>
                <w:lang w:val="en-GB"/>
              </w:rPr>
            </w:pPr>
            <w:r>
              <w:rPr>
                <w:rFonts w:ascii="Arial" w:hAnsi="Arial" w:cs="Arial"/>
                <w:color w:val="000000" w:themeColor="text1"/>
                <w:lang w:val="en-GB"/>
              </w:rPr>
              <w:t>In addition, t</w:t>
            </w:r>
            <w:r w:rsidR="006D1CEE" w:rsidRPr="00F54C6B">
              <w:rPr>
                <w:rFonts w:ascii="Arial" w:hAnsi="Arial" w:cs="Arial"/>
                <w:color w:val="000000" w:themeColor="text1"/>
                <w:lang w:val="en-GB"/>
              </w:rPr>
              <w:t xml:space="preserve">he </w:t>
            </w:r>
            <w:r w:rsidR="00DA560E">
              <w:rPr>
                <w:rFonts w:ascii="Arial" w:hAnsi="Arial" w:cs="Arial"/>
                <w:color w:val="000000" w:themeColor="text1"/>
                <w:lang w:val="en-GB"/>
              </w:rPr>
              <w:t>Authorities</w:t>
            </w:r>
            <w:r w:rsidR="006D1CEE" w:rsidRPr="00F54C6B">
              <w:rPr>
                <w:rFonts w:ascii="Arial" w:hAnsi="Arial" w:cs="Arial"/>
                <w:color w:val="000000" w:themeColor="text1"/>
                <w:lang w:val="en-GB"/>
              </w:rPr>
              <w:t xml:space="preserve"> </w:t>
            </w:r>
            <w:r>
              <w:rPr>
                <w:rFonts w:ascii="Arial" w:hAnsi="Arial" w:cs="Arial"/>
                <w:color w:val="000000" w:themeColor="text1"/>
                <w:lang w:val="en-GB"/>
              </w:rPr>
              <w:t xml:space="preserve">would like to emphasise </w:t>
            </w:r>
            <w:r w:rsidR="006D1CEE" w:rsidRPr="00F54C6B">
              <w:rPr>
                <w:rFonts w:ascii="Arial" w:hAnsi="Arial" w:cs="Arial"/>
                <w:color w:val="000000" w:themeColor="text1"/>
                <w:lang w:val="en-GB"/>
              </w:rPr>
              <w:t xml:space="preserve">that </w:t>
            </w:r>
            <w:r w:rsidR="003034D4" w:rsidRPr="00F54C6B">
              <w:rPr>
                <w:rFonts w:ascii="Arial" w:hAnsi="Arial" w:cs="Arial"/>
                <w:color w:val="000000" w:themeColor="text1"/>
                <w:lang w:val="en-GB"/>
              </w:rPr>
              <w:t>t</w:t>
            </w:r>
            <w:r w:rsidRPr="00F54C6B">
              <w:rPr>
                <w:rFonts w:ascii="Arial" w:hAnsi="Arial" w:cs="Arial"/>
                <w:color w:val="000000" w:themeColor="text1"/>
                <w:lang w:val="en-GB"/>
              </w:rPr>
              <w:t>his</w:t>
            </w:r>
            <w:r w:rsidR="003034D4" w:rsidRPr="00F54C6B">
              <w:rPr>
                <w:rFonts w:ascii="Arial" w:hAnsi="Arial" w:cs="Arial"/>
                <w:color w:val="000000" w:themeColor="text1"/>
                <w:lang w:val="en-GB"/>
              </w:rPr>
              <w:t xml:space="preserve"> requirement</w:t>
            </w:r>
            <w:r w:rsidR="006D1CEE" w:rsidRPr="00F54C6B">
              <w:rPr>
                <w:rFonts w:ascii="Arial" w:hAnsi="Arial" w:cs="Arial"/>
                <w:color w:val="000000" w:themeColor="text1"/>
                <w:lang w:val="en-GB"/>
              </w:rPr>
              <w:t xml:space="preserve"> </w:t>
            </w:r>
            <w:r w:rsidR="00F74514">
              <w:rPr>
                <w:rFonts w:ascii="Arial" w:hAnsi="Arial" w:cs="Arial"/>
                <w:color w:val="000000" w:themeColor="text1"/>
                <w:lang w:val="en-GB"/>
              </w:rPr>
              <w:t xml:space="preserve">(and all the other requirements in the Standard) </w:t>
            </w:r>
            <w:r w:rsidR="006D1CEE" w:rsidRPr="00F54C6B">
              <w:rPr>
                <w:rFonts w:ascii="Arial" w:hAnsi="Arial" w:cs="Arial"/>
                <w:color w:val="000000" w:themeColor="text1"/>
                <w:lang w:val="en-GB"/>
              </w:rPr>
              <w:t>only relates to the assets and liabilities included in the transfer perimeter</w:t>
            </w:r>
            <w:r w:rsidRPr="00F54C6B">
              <w:rPr>
                <w:rFonts w:ascii="Arial" w:hAnsi="Arial" w:cs="Arial"/>
                <w:color w:val="000000" w:themeColor="text1"/>
                <w:lang w:val="en-GB"/>
              </w:rPr>
              <w:t xml:space="preserve"> and is not</w:t>
            </w:r>
            <w:r w:rsidR="00A565B0">
              <w:rPr>
                <w:rFonts w:ascii="Arial" w:hAnsi="Arial" w:cs="Arial"/>
                <w:color w:val="000000" w:themeColor="text1"/>
                <w:lang w:val="en-GB"/>
              </w:rPr>
              <w:t xml:space="preserve"> necessarily</w:t>
            </w:r>
            <w:r w:rsidRPr="00F54C6B">
              <w:rPr>
                <w:rFonts w:ascii="Arial" w:hAnsi="Arial" w:cs="Arial"/>
                <w:color w:val="000000" w:themeColor="text1"/>
                <w:lang w:val="en-GB"/>
              </w:rPr>
              <w:t xml:space="preserve"> a blanket application to the entire institution.</w:t>
            </w:r>
          </w:p>
        </w:tc>
      </w:tr>
      <w:tr w:rsidR="00A459CC" w:rsidRPr="009D05E3" w14:paraId="351694AF" w14:textId="77777777" w:rsidTr="00515BD8">
        <w:tc>
          <w:tcPr>
            <w:tcW w:w="1886" w:type="dxa"/>
            <w:shd w:val="clear" w:color="auto" w:fill="auto"/>
          </w:tcPr>
          <w:p w14:paraId="058BB6C2" w14:textId="00FE920C" w:rsidR="00A459CC" w:rsidRPr="000A1C6C" w:rsidRDefault="008C3A29" w:rsidP="008C3A29">
            <w:pPr>
              <w:spacing w:after="0"/>
              <w:jc w:val="center"/>
              <w:rPr>
                <w:rFonts w:ascii="Arial" w:hAnsi="Arial" w:cs="Arial"/>
                <w:lang w:val="en-GB"/>
              </w:rPr>
            </w:pPr>
            <w:r w:rsidRPr="000A1C6C">
              <w:rPr>
                <w:rFonts w:ascii="Arial" w:hAnsi="Arial" w:cs="Arial"/>
                <w:lang w:val="en-GB"/>
              </w:rPr>
              <w:lastRenderedPageBreak/>
              <w:t>79</w:t>
            </w:r>
          </w:p>
        </w:tc>
        <w:tc>
          <w:tcPr>
            <w:tcW w:w="2078" w:type="dxa"/>
          </w:tcPr>
          <w:p w14:paraId="5BEED890" w14:textId="38AE4201" w:rsidR="00A459CC" w:rsidRPr="000A1C6C" w:rsidRDefault="00A459CC" w:rsidP="00A459CC">
            <w:pPr>
              <w:spacing w:after="0" w:line="240" w:lineRule="auto"/>
              <w:jc w:val="both"/>
              <w:rPr>
                <w:rFonts w:ascii="Arial" w:hAnsi="Arial" w:cs="Arial"/>
                <w:lang w:val="en-GB"/>
              </w:rPr>
            </w:pPr>
            <w:r w:rsidRPr="000A1C6C">
              <w:rPr>
                <w:rFonts w:ascii="Arial" w:hAnsi="Arial" w:cs="Arial"/>
              </w:rPr>
              <w:t>BASA</w:t>
            </w:r>
          </w:p>
        </w:tc>
        <w:tc>
          <w:tcPr>
            <w:tcW w:w="2691" w:type="dxa"/>
          </w:tcPr>
          <w:p w14:paraId="74F6ECF8" w14:textId="3924A1D1" w:rsidR="00A459CC" w:rsidRPr="000A1C6C" w:rsidRDefault="00A459CC" w:rsidP="00A459CC">
            <w:pPr>
              <w:spacing w:after="0" w:line="240" w:lineRule="auto"/>
              <w:jc w:val="both"/>
              <w:rPr>
                <w:rFonts w:ascii="Arial" w:hAnsi="Arial" w:cs="Arial"/>
                <w:lang w:val="en-GB"/>
              </w:rPr>
            </w:pPr>
            <w:r w:rsidRPr="000A1C6C">
              <w:rPr>
                <w:rFonts w:ascii="Arial" w:hAnsi="Arial" w:cs="Arial"/>
                <w:bCs/>
              </w:rPr>
              <w:t>8.2 (d)</w:t>
            </w:r>
          </w:p>
        </w:tc>
        <w:tc>
          <w:tcPr>
            <w:tcW w:w="7903" w:type="dxa"/>
          </w:tcPr>
          <w:p w14:paraId="3FEDCC12" w14:textId="10C70C15" w:rsidR="00A459CC" w:rsidRPr="000A1C6C" w:rsidRDefault="00A459CC" w:rsidP="00A459CC">
            <w:pPr>
              <w:jc w:val="both"/>
              <w:rPr>
                <w:rFonts w:ascii="Arial" w:hAnsi="Arial" w:cs="Arial"/>
                <w:bCs/>
                <w:lang w:val="en-GB"/>
              </w:rPr>
            </w:pPr>
            <w:r w:rsidRPr="00465C18">
              <w:rPr>
                <w:rFonts w:ascii="Arial" w:hAnsi="Arial" w:cs="Arial"/>
                <w:bCs/>
              </w:rPr>
              <w:t xml:space="preserve">The legal interconnectivity requirements will result in changes in wording of control and cross-default clauses in existing loan and bond documentation, which may impact investor appetite. </w:t>
            </w:r>
            <w:r w:rsidRPr="00465C18">
              <w:rPr>
                <w:rFonts w:ascii="Arial" w:hAnsi="Arial" w:cs="Arial"/>
                <w:b/>
              </w:rPr>
              <w:t>Recommend</w:t>
            </w:r>
            <w:r w:rsidRPr="00465C18">
              <w:rPr>
                <w:rFonts w:ascii="Arial" w:hAnsi="Arial" w:cs="Arial"/>
                <w:bCs/>
              </w:rPr>
              <w:t xml:space="preserve"> setting standardised wording (potentially on a BASA level) to promote investor indifference.</w:t>
            </w:r>
          </w:p>
        </w:tc>
        <w:tc>
          <w:tcPr>
            <w:tcW w:w="6416" w:type="dxa"/>
            <w:shd w:val="clear" w:color="auto" w:fill="auto"/>
          </w:tcPr>
          <w:p w14:paraId="539C1CB6" w14:textId="5AAAC8CE" w:rsidR="00A459CC" w:rsidRPr="00465C18" w:rsidRDefault="00045156" w:rsidP="00D567EF">
            <w:pPr>
              <w:jc w:val="both"/>
              <w:rPr>
                <w:rFonts w:ascii="Arial" w:hAnsi="Arial" w:cs="Arial"/>
                <w:color w:val="000000" w:themeColor="text1"/>
                <w:lang w:val="en-GB"/>
              </w:rPr>
            </w:pPr>
            <w:r w:rsidRPr="00465C18">
              <w:rPr>
                <w:rFonts w:ascii="Arial" w:hAnsi="Arial" w:cs="Arial"/>
                <w:color w:val="000000" w:themeColor="text1"/>
                <w:lang w:val="en-GB"/>
              </w:rPr>
              <w:t xml:space="preserve">The FSLA Act requires cross-default clauses in contracts </w:t>
            </w:r>
            <w:r w:rsidR="00246571" w:rsidRPr="00465C18">
              <w:rPr>
                <w:rFonts w:ascii="Arial" w:hAnsi="Arial" w:cs="Arial"/>
                <w:color w:val="000000" w:themeColor="text1"/>
                <w:lang w:val="en-GB"/>
              </w:rPr>
              <w:t xml:space="preserve">to </w:t>
            </w:r>
            <w:r w:rsidRPr="00465C18">
              <w:rPr>
                <w:rFonts w:ascii="Arial" w:hAnsi="Arial" w:cs="Arial"/>
                <w:color w:val="000000" w:themeColor="text1"/>
                <w:lang w:val="en-GB"/>
              </w:rPr>
              <w:t xml:space="preserve">be amended to ensure that resolution </w:t>
            </w:r>
            <w:r w:rsidR="00783ECB" w:rsidRPr="00465C18">
              <w:rPr>
                <w:rFonts w:ascii="Arial" w:hAnsi="Arial" w:cs="Arial"/>
                <w:color w:val="000000" w:themeColor="text1"/>
                <w:lang w:val="en-GB"/>
              </w:rPr>
              <w:t>(or a resolution action) is not</w:t>
            </w:r>
            <w:r w:rsidR="00246571" w:rsidRPr="00465C18">
              <w:rPr>
                <w:rFonts w:ascii="Arial" w:hAnsi="Arial" w:cs="Arial"/>
                <w:color w:val="000000" w:themeColor="text1"/>
                <w:lang w:val="en-GB"/>
              </w:rPr>
              <w:t xml:space="preserve"> automatically</w:t>
            </w:r>
            <w:r w:rsidR="00783ECB" w:rsidRPr="00465C18">
              <w:rPr>
                <w:rFonts w:ascii="Arial" w:hAnsi="Arial" w:cs="Arial"/>
                <w:color w:val="000000" w:themeColor="text1"/>
                <w:lang w:val="en-GB"/>
              </w:rPr>
              <w:t xml:space="preserve"> considered a default event.</w:t>
            </w:r>
          </w:p>
          <w:p w14:paraId="20BAB09F" w14:textId="21EC4E12" w:rsidR="00E849F8" w:rsidRPr="008250B2" w:rsidRDefault="00783ECB" w:rsidP="00D567EF">
            <w:pPr>
              <w:jc w:val="both"/>
              <w:rPr>
                <w:rFonts w:ascii="Arial" w:hAnsi="Arial" w:cs="Arial"/>
                <w:color w:val="FF0000"/>
                <w:lang w:val="en-GB"/>
              </w:rPr>
            </w:pPr>
            <w:r w:rsidRPr="00465C18">
              <w:rPr>
                <w:rFonts w:ascii="Arial" w:hAnsi="Arial" w:cs="Arial"/>
                <w:color w:val="000000" w:themeColor="text1"/>
                <w:lang w:val="en-GB"/>
              </w:rPr>
              <w:t xml:space="preserve">The purpose of this Standard is to </w:t>
            </w:r>
            <w:r w:rsidR="00C2540C" w:rsidRPr="00465C18">
              <w:rPr>
                <w:rFonts w:ascii="Arial" w:hAnsi="Arial" w:cs="Arial"/>
                <w:color w:val="000000" w:themeColor="text1"/>
                <w:lang w:val="en-GB"/>
              </w:rPr>
              <w:t xml:space="preserve">facilitate the execution of the FSLA Act to ensure that the </w:t>
            </w:r>
            <w:r w:rsidR="00465C18" w:rsidRPr="00465C18">
              <w:rPr>
                <w:rFonts w:ascii="Arial" w:hAnsi="Arial" w:cs="Arial"/>
                <w:color w:val="000000" w:themeColor="text1"/>
                <w:lang w:val="en-GB"/>
              </w:rPr>
              <w:t xml:space="preserve">relevant </w:t>
            </w:r>
            <w:r w:rsidR="00C2540C" w:rsidRPr="00465C18">
              <w:rPr>
                <w:rFonts w:ascii="Arial" w:hAnsi="Arial" w:cs="Arial"/>
                <w:color w:val="000000" w:themeColor="text1"/>
                <w:lang w:val="en-GB"/>
              </w:rPr>
              <w:t>assets and liabilities can be transferred</w:t>
            </w:r>
            <w:r w:rsidR="00246571" w:rsidRPr="00465C18">
              <w:rPr>
                <w:rFonts w:ascii="Arial" w:hAnsi="Arial" w:cs="Arial"/>
                <w:color w:val="000000" w:themeColor="text1"/>
                <w:lang w:val="en-GB"/>
              </w:rPr>
              <w:t xml:space="preserve"> (as part of a resolution </w:t>
            </w:r>
            <w:r w:rsidR="00465C18" w:rsidRPr="00465C18">
              <w:rPr>
                <w:rFonts w:ascii="Arial" w:hAnsi="Arial" w:cs="Arial"/>
                <w:color w:val="000000" w:themeColor="text1"/>
                <w:lang w:val="en-GB"/>
              </w:rPr>
              <w:t>strategy</w:t>
            </w:r>
            <w:r w:rsidR="00246571" w:rsidRPr="00465C18">
              <w:rPr>
                <w:rFonts w:ascii="Arial" w:hAnsi="Arial" w:cs="Arial"/>
                <w:color w:val="000000" w:themeColor="text1"/>
                <w:lang w:val="en-GB"/>
              </w:rPr>
              <w:t xml:space="preserve">) without triggering a default event when the </w:t>
            </w:r>
            <w:r w:rsidR="00465C18" w:rsidRPr="00465C18">
              <w:rPr>
                <w:rFonts w:ascii="Arial" w:hAnsi="Arial" w:cs="Arial"/>
                <w:color w:val="000000" w:themeColor="text1"/>
                <w:lang w:val="en-GB"/>
              </w:rPr>
              <w:t xml:space="preserve">parties </w:t>
            </w:r>
            <w:r w:rsidR="00246571" w:rsidRPr="00465C18">
              <w:rPr>
                <w:rFonts w:ascii="Arial" w:hAnsi="Arial" w:cs="Arial"/>
                <w:color w:val="000000" w:themeColor="text1"/>
                <w:lang w:val="en-GB"/>
              </w:rPr>
              <w:t xml:space="preserve">are meeting their performance obligations. </w:t>
            </w:r>
          </w:p>
        </w:tc>
      </w:tr>
      <w:tr w:rsidR="00A459CC" w:rsidRPr="009D05E3" w14:paraId="19E98A34" w14:textId="77777777" w:rsidTr="00515BD8">
        <w:tc>
          <w:tcPr>
            <w:tcW w:w="1886" w:type="dxa"/>
          </w:tcPr>
          <w:p w14:paraId="53FFC3CD" w14:textId="3BD380FD" w:rsidR="00A459CC" w:rsidRPr="000A1C6C" w:rsidRDefault="008C3A29" w:rsidP="008C3A29">
            <w:pPr>
              <w:spacing w:after="0"/>
              <w:jc w:val="center"/>
              <w:rPr>
                <w:rFonts w:ascii="Arial" w:hAnsi="Arial" w:cs="Arial"/>
                <w:lang w:val="en-GB"/>
              </w:rPr>
            </w:pPr>
            <w:r w:rsidRPr="000A1C6C">
              <w:rPr>
                <w:rFonts w:ascii="Arial" w:hAnsi="Arial" w:cs="Arial"/>
                <w:lang w:val="en-GB"/>
              </w:rPr>
              <w:t>80</w:t>
            </w:r>
          </w:p>
        </w:tc>
        <w:tc>
          <w:tcPr>
            <w:tcW w:w="2078" w:type="dxa"/>
          </w:tcPr>
          <w:p w14:paraId="16077B39" w14:textId="1027031F" w:rsidR="00A459CC" w:rsidRPr="00EB6327" w:rsidRDefault="00A459CC" w:rsidP="00A459CC">
            <w:pPr>
              <w:spacing w:after="0" w:line="240" w:lineRule="auto"/>
              <w:jc w:val="both"/>
              <w:rPr>
                <w:rFonts w:ascii="Arial" w:hAnsi="Arial" w:cs="Arial"/>
                <w:lang w:val="en-GB"/>
              </w:rPr>
            </w:pPr>
            <w:r w:rsidRPr="00EB6327">
              <w:rPr>
                <w:rFonts w:ascii="Arial" w:hAnsi="Arial" w:cs="Arial"/>
              </w:rPr>
              <w:t>BASA</w:t>
            </w:r>
          </w:p>
        </w:tc>
        <w:tc>
          <w:tcPr>
            <w:tcW w:w="2691" w:type="dxa"/>
          </w:tcPr>
          <w:p w14:paraId="6A97F434" w14:textId="7955D1D4" w:rsidR="00555A86" w:rsidRPr="00EB6327" w:rsidRDefault="00555A86" w:rsidP="00A459CC">
            <w:pPr>
              <w:spacing w:after="0" w:line="240" w:lineRule="auto"/>
              <w:jc w:val="both"/>
              <w:rPr>
                <w:rFonts w:ascii="Arial" w:hAnsi="Arial" w:cs="Arial"/>
                <w:bCs/>
              </w:rPr>
            </w:pPr>
            <w:r w:rsidRPr="00EB6327">
              <w:rPr>
                <w:rFonts w:ascii="Arial" w:hAnsi="Arial" w:cs="Arial"/>
                <w:bCs/>
              </w:rPr>
              <w:t>8.2(d)(</w:t>
            </w:r>
            <w:proofErr w:type="gramStart"/>
            <w:r w:rsidR="00B93F67" w:rsidRPr="00EB6327">
              <w:rPr>
                <w:rFonts w:ascii="Arial" w:hAnsi="Arial" w:cs="Arial"/>
                <w:bCs/>
              </w:rPr>
              <w:t>ii)(</w:t>
            </w:r>
            <w:proofErr w:type="gramEnd"/>
            <w:r w:rsidR="00B93F67" w:rsidRPr="00EB6327">
              <w:rPr>
                <w:rFonts w:ascii="Arial" w:hAnsi="Arial" w:cs="Arial"/>
                <w:bCs/>
              </w:rPr>
              <w:t>aa) to (cc)</w:t>
            </w:r>
          </w:p>
          <w:p w14:paraId="380EF4D4" w14:textId="1C680FA7" w:rsidR="00A459CC" w:rsidRPr="00EB6327" w:rsidRDefault="00A459CC" w:rsidP="00DD089A">
            <w:pPr>
              <w:spacing w:after="0" w:line="240" w:lineRule="auto"/>
              <w:jc w:val="both"/>
              <w:rPr>
                <w:rFonts w:ascii="Arial" w:hAnsi="Arial" w:cs="Arial"/>
                <w:bCs/>
              </w:rPr>
            </w:pPr>
          </w:p>
        </w:tc>
        <w:tc>
          <w:tcPr>
            <w:tcW w:w="7903" w:type="dxa"/>
          </w:tcPr>
          <w:p w14:paraId="30D3288E" w14:textId="0F6BE5EE" w:rsidR="00A459CC" w:rsidRPr="000A1C6C" w:rsidRDefault="00A459CC" w:rsidP="00A459CC">
            <w:pPr>
              <w:jc w:val="both"/>
              <w:rPr>
                <w:rFonts w:ascii="Arial" w:hAnsi="Arial" w:cs="Arial"/>
                <w:bCs/>
              </w:rPr>
            </w:pPr>
            <w:r w:rsidRPr="000A1C6C">
              <w:rPr>
                <w:rFonts w:ascii="Arial" w:hAnsi="Arial" w:cs="Arial"/>
                <w:bCs/>
              </w:rPr>
              <w:t>We are concerned about the number of contracts and subsequently the time and resources that could be required to analyse the third-party contracts and identify the mentioned aspects. The extent of the concern would be determined by the expectations in terms of the transfer parameter</w:t>
            </w:r>
          </w:p>
        </w:tc>
        <w:tc>
          <w:tcPr>
            <w:tcW w:w="6416" w:type="dxa"/>
            <w:shd w:val="clear" w:color="auto" w:fill="auto"/>
          </w:tcPr>
          <w:p w14:paraId="2FC7AAA0" w14:textId="688965AF" w:rsidR="00A459CC" w:rsidRPr="000200F0" w:rsidRDefault="009118CB" w:rsidP="000200F0">
            <w:pPr>
              <w:jc w:val="both"/>
              <w:rPr>
                <w:rFonts w:ascii="Arial" w:hAnsi="Arial" w:cs="Arial"/>
                <w:lang w:val="en-GB"/>
              </w:rPr>
            </w:pPr>
            <w:r>
              <w:rPr>
                <w:rFonts w:ascii="Arial" w:hAnsi="Arial" w:cs="Arial"/>
                <w:color w:val="000000" w:themeColor="text1"/>
                <w:lang w:val="en-GB"/>
              </w:rPr>
              <w:t xml:space="preserve">The comment is </w:t>
            </w:r>
            <w:r w:rsidR="00F2052D">
              <w:rPr>
                <w:rFonts w:ascii="Arial" w:hAnsi="Arial" w:cs="Arial"/>
                <w:color w:val="000000" w:themeColor="text1"/>
                <w:lang w:val="en-GB"/>
              </w:rPr>
              <w:t>noted,</w:t>
            </w:r>
            <w:r>
              <w:rPr>
                <w:rFonts w:ascii="Arial" w:hAnsi="Arial" w:cs="Arial"/>
                <w:color w:val="000000" w:themeColor="text1"/>
                <w:lang w:val="en-GB"/>
              </w:rPr>
              <w:t xml:space="preserve"> and t</w:t>
            </w:r>
            <w:r w:rsidRPr="00F54C6B">
              <w:rPr>
                <w:rFonts w:ascii="Arial" w:hAnsi="Arial" w:cs="Arial"/>
                <w:color w:val="000000" w:themeColor="text1"/>
                <w:lang w:val="en-GB"/>
              </w:rPr>
              <w:t xml:space="preserve">he </w:t>
            </w:r>
            <w:r w:rsidR="00DA560E">
              <w:rPr>
                <w:rFonts w:ascii="Arial" w:hAnsi="Arial" w:cs="Arial"/>
                <w:color w:val="000000" w:themeColor="text1"/>
                <w:lang w:val="en-GB"/>
              </w:rPr>
              <w:t>Authorities</w:t>
            </w:r>
            <w:r w:rsidRPr="00F54C6B">
              <w:rPr>
                <w:rFonts w:ascii="Arial" w:hAnsi="Arial" w:cs="Arial"/>
                <w:color w:val="000000" w:themeColor="text1"/>
                <w:lang w:val="en-GB"/>
              </w:rPr>
              <w:t xml:space="preserve"> </w:t>
            </w:r>
            <w:r>
              <w:rPr>
                <w:rFonts w:ascii="Arial" w:hAnsi="Arial" w:cs="Arial"/>
                <w:color w:val="000000" w:themeColor="text1"/>
                <w:lang w:val="en-GB"/>
              </w:rPr>
              <w:t xml:space="preserve">would like to emphasise </w:t>
            </w:r>
            <w:r w:rsidRPr="00F54C6B">
              <w:rPr>
                <w:rFonts w:ascii="Arial" w:hAnsi="Arial" w:cs="Arial"/>
                <w:color w:val="000000" w:themeColor="text1"/>
                <w:lang w:val="en-GB"/>
              </w:rPr>
              <w:t xml:space="preserve">that this requirement </w:t>
            </w:r>
            <w:r>
              <w:rPr>
                <w:rFonts w:ascii="Arial" w:hAnsi="Arial" w:cs="Arial"/>
                <w:color w:val="000000" w:themeColor="text1"/>
                <w:lang w:val="en-GB"/>
              </w:rPr>
              <w:t xml:space="preserve">(and all the other requirements in the Standard) </w:t>
            </w:r>
            <w:r w:rsidRPr="00F54C6B">
              <w:rPr>
                <w:rFonts w:ascii="Arial" w:hAnsi="Arial" w:cs="Arial"/>
                <w:color w:val="000000" w:themeColor="text1"/>
                <w:lang w:val="en-GB"/>
              </w:rPr>
              <w:t xml:space="preserve">only relates to the assets and liabilities included in the transfer perimeter and is not </w:t>
            </w:r>
            <w:r w:rsidR="00F300D0">
              <w:rPr>
                <w:rFonts w:ascii="Arial" w:hAnsi="Arial" w:cs="Arial"/>
                <w:color w:val="000000" w:themeColor="text1"/>
                <w:lang w:val="en-GB"/>
              </w:rPr>
              <w:t>necessarily</w:t>
            </w:r>
            <w:r w:rsidR="00E510FC">
              <w:rPr>
                <w:rFonts w:ascii="Arial" w:hAnsi="Arial" w:cs="Arial"/>
                <w:color w:val="000000" w:themeColor="text1"/>
                <w:lang w:val="en-GB"/>
              </w:rPr>
              <w:t xml:space="preserve"> </w:t>
            </w:r>
            <w:r w:rsidRPr="00F54C6B">
              <w:rPr>
                <w:rFonts w:ascii="Arial" w:hAnsi="Arial" w:cs="Arial"/>
                <w:color w:val="000000" w:themeColor="text1"/>
                <w:lang w:val="en-GB"/>
              </w:rPr>
              <w:t>a blanket application to the entire institution.</w:t>
            </w:r>
          </w:p>
        </w:tc>
      </w:tr>
      <w:tr w:rsidR="00A459CC" w:rsidRPr="009D05E3" w14:paraId="2D07A67F" w14:textId="77777777" w:rsidTr="00515BD8">
        <w:tc>
          <w:tcPr>
            <w:tcW w:w="1886" w:type="dxa"/>
            <w:shd w:val="clear" w:color="auto" w:fill="auto"/>
          </w:tcPr>
          <w:p w14:paraId="3F1A44DC" w14:textId="225E6278" w:rsidR="00A459CC" w:rsidRPr="000A1C6C" w:rsidRDefault="008C3A29" w:rsidP="008C3A29">
            <w:pPr>
              <w:spacing w:after="0"/>
              <w:jc w:val="center"/>
              <w:rPr>
                <w:rFonts w:ascii="Arial" w:hAnsi="Arial" w:cs="Arial"/>
                <w:lang w:val="en-GB"/>
              </w:rPr>
            </w:pPr>
            <w:r w:rsidRPr="000A1C6C">
              <w:rPr>
                <w:rFonts w:ascii="Arial" w:hAnsi="Arial" w:cs="Arial"/>
                <w:lang w:val="en-GB"/>
              </w:rPr>
              <w:t>81</w:t>
            </w:r>
          </w:p>
        </w:tc>
        <w:tc>
          <w:tcPr>
            <w:tcW w:w="2078" w:type="dxa"/>
          </w:tcPr>
          <w:p w14:paraId="6DD07A85" w14:textId="43AF7F2C" w:rsidR="00A459CC" w:rsidRPr="000A1C6C" w:rsidRDefault="00A459CC" w:rsidP="00A459CC">
            <w:pPr>
              <w:spacing w:after="0" w:line="240" w:lineRule="auto"/>
              <w:jc w:val="both"/>
              <w:rPr>
                <w:rFonts w:ascii="Arial" w:hAnsi="Arial" w:cs="Arial"/>
                <w:lang w:val="en-GB"/>
              </w:rPr>
            </w:pPr>
            <w:r w:rsidRPr="000A1C6C">
              <w:rPr>
                <w:rFonts w:ascii="Arial" w:hAnsi="Arial" w:cs="Arial"/>
              </w:rPr>
              <w:t>BASA</w:t>
            </w:r>
          </w:p>
        </w:tc>
        <w:tc>
          <w:tcPr>
            <w:tcW w:w="2691" w:type="dxa"/>
          </w:tcPr>
          <w:p w14:paraId="71F92EE8" w14:textId="4C219456" w:rsidR="00A459CC" w:rsidRPr="000A1C6C" w:rsidRDefault="00A459CC" w:rsidP="00A459CC">
            <w:pPr>
              <w:spacing w:after="0" w:line="240" w:lineRule="auto"/>
              <w:jc w:val="both"/>
              <w:rPr>
                <w:rFonts w:ascii="Arial" w:hAnsi="Arial" w:cs="Arial"/>
                <w:bCs/>
              </w:rPr>
            </w:pPr>
            <w:r w:rsidRPr="000A1C6C">
              <w:rPr>
                <w:rFonts w:ascii="Arial" w:hAnsi="Arial" w:cs="Arial"/>
                <w:bCs/>
              </w:rPr>
              <w:t>8.2 (d) (iii) legal</w:t>
            </w:r>
          </w:p>
        </w:tc>
        <w:tc>
          <w:tcPr>
            <w:tcW w:w="7903" w:type="dxa"/>
          </w:tcPr>
          <w:p w14:paraId="3F2D5C4B" w14:textId="313008D6" w:rsidR="00A459CC" w:rsidRPr="000A1C6C" w:rsidRDefault="00A459CC" w:rsidP="00A459CC">
            <w:pPr>
              <w:jc w:val="both"/>
              <w:rPr>
                <w:rFonts w:ascii="Arial" w:hAnsi="Arial" w:cs="Arial"/>
                <w:bCs/>
              </w:rPr>
            </w:pPr>
            <w:r w:rsidRPr="000A1C6C">
              <w:rPr>
                <w:rFonts w:ascii="Arial" w:hAnsi="Arial" w:cs="Arial"/>
                <w:b/>
              </w:rPr>
              <w:t>Clarify</w:t>
            </w:r>
            <w:r w:rsidRPr="000A1C6C">
              <w:rPr>
                <w:rFonts w:ascii="Arial" w:hAnsi="Arial" w:cs="Arial"/>
                <w:bCs/>
              </w:rPr>
              <w:t xml:space="preserve"> whether it is expected that in-house legal transactional and advisory services utilised be benchmarked to industry costs.</w:t>
            </w:r>
            <w:r w:rsidR="00745F01">
              <w:rPr>
                <w:rFonts w:ascii="Arial" w:hAnsi="Arial" w:cs="Arial"/>
                <w:bCs/>
              </w:rPr>
              <w:t xml:space="preserve"> </w:t>
            </w:r>
          </w:p>
          <w:p w14:paraId="7F897E60" w14:textId="4A3A6F61" w:rsidR="00A459CC" w:rsidRPr="0037004B" w:rsidRDefault="00A459CC" w:rsidP="00A459CC">
            <w:pPr>
              <w:jc w:val="both"/>
              <w:rPr>
                <w:rFonts w:ascii="Arial" w:hAnsi="Arial" w:cs="Arial"/>
                <w:b/>
              </w:rPr>
            </w:pPr>
            <w:r w:rsidRPr="000A1C6C">
              <w:rPr>
                <w:rFonts w:ascii="Arial" w:hAnsi="Arial" w:cs="Arial"/>
                <w:b/>
              </w:rPr>
              <w:t>Recommend</w:t>
            </w:r>
            <w:r w:rsidRPr="000A1C6C">
              <w:rPr>
                <w:rFonts w:ascii="Arial" w:hAnsi="Arial" w:cs="Arial"/>
                <w:bCs/>
              </w:rPr>
              <w:t xml:space="preserve"> identifying the legal aspects with potential </w:t>
            </w:r>
            <w:r w:rsidRPr="000A1C6C">
              <w:rPr>
                <w:rFonts w:ascii="Arial" w:hAnsi="Arial" w:cs="Arial"/>
                <w:b/>
              </w:rPr>
              <w:t>material</w:t>
            </w:r>
            <w:r w:rsidRPr="000A1C6C">
              <w:rPr>
                <w:rFonts w:ascii="Arial" w:hAnsi="Arial" w:cs="Arial"/>
                <w:bCs/>
              </w:rPr>
              <w:t xml:space="preserve"> impact on the transfer of including third country law contracts.</w:t>
            </w:r>
          </w:p>
        </w:tc>
        <w:tc>
          <w:tcPr>
            <w:tcW w:w="6416" w:type="dxa"/>
            <w:shd w:val="clear" w:color="auto" w:fill="auto"/>
          </w:tcPr>
          <w:p w14:paraId="2637DE75" w14:textId="4C5E7F49" w:rsidR="00590277" w:rsidRPr="0051060F" w:rsidRDefault="00DA16DF" w:rsidP="00A36DB6">
            <w:pPr>
              <w:jc w:val="both"/>
              <w:rPr>
                <w:rFonts w:ascii="Arial" w:hAnsi="Arial" w:cs="Arial"/>
                <w:b/>
                <w:bCs/>
                <w:color w:val="000000" w:themeColor="text1"/>
                <w:lang w:val="en-GB"/>
              </w:rPr>
            </w:pPr>
            <w:r w:rsidRPr="0051060F">
              <w:rPr>
                <w:rFonts w:ascii="Arial" w:hAnsi="Arial" w:cs="Arial"/>
                <w:b/>
                <w:bCs/>
                <w:color w:val="000000" w:themeColor="text1"/>
                <w:lang w:val="en-GB"/>
              </w:rPr>
              <w:t xml:space="preserve">Clarity </w:t>
            </w:r>
            <w:r w:rsidR="00590277" w:rsidRPr="0051060F">
              <w:rPr>
                <w:rFonts w:ascii="Arial" w:hAnsi="Arial" w:cs="Arial"/>
                <w:b/>
                <w:bCs/>
                <w:color w:val="000000" w:themeColor="text1"/>
                <w:lang w:val="en-GB"/>
              </w:rPr>
              <w:t>regarding</w:t>
            </w:r>
            <w:r w:rsidRPr="0051060F">
              <w:rPr>
                <w:rFonts w:ascii="Arial" w:hAnsi="Arial" w:cs="Arial"/>
                <w:b/>
                <w:bCs/>
                <w:color w:val="000000" w:themeColor="text1"/>
                <w:lang w:val="en-GB"/>
              </w:rPr>
              <w:t xml:space="preserve"> benchmarking </w:t>
            </w:r>
            <w:r w:rsidR="00590277" w:rsidRPr="0051060F">
              <w:rPr>
                <w:rFonts w:ascii="Arial" w:hAnsi="Arial" w:cs="Arial"/>
                <w:b/>
                <w:bCs/>
                <w:color w:val="000000" w:themeColor="text1"/>
                <w:lang w:val="en-GB"/>
              </w:rPr>
              <w:t>in-house legal fees to industry</w:t>
            </w:r>
            <w:r w:rsidR="002F21B0" w:rsidRPr="0051060F">
              <w:rPr>
                <w:rFonts w:ascii="Arial" w:hAnsi="Arial" w:cs="Arial"/>
                <w:b/>
                <w:bCs/>
                <w:color w:val="000000" w:themeColor="text1"/>
                <w:lang w:val="en-GB"/>
              </w:rPr>
              <w:t>:</w:t>
            </w:r>
          </w:p>
          <w:p w14:paraId="10D54F7C" w14:textId="3E8EF0C9" w:rsidR="00480007" w:rsidRDefault="00590277" w:rsidP="00A36DB6">
            <w:pPr>
              <w:jc w:val="both"/>
              <w:rPr>
                <w:rFonts w:ascii="Arial" w:hAnsi="Arial" w:cs="Arial"/>
                <w:color w:val="000000" w:themeColor="text1"/>
                <w:lang w:val="en-GB"/>
              </w:rPr>
            </w:pPr>
            <w:r w:rsidRPr="00C328D0">
              <w:rPr>
                <w:rFonts w:ascii="Arial" w:hAnsi="Arial" w:cs="Arial"/>
                <w:color w:val="000000" w:themeColor="text1"/>
                <w:lang w:val="en-GB"/>
              </w:rPr>
              <w:t xml:space="preserve">The </w:t>
            </w:r>
            <w:r w:rsidR="00DA560E">
              <w:rPr>
                <w:rFonts w:ascii="Arial" w:hAnsi="Arial" w:cs="Arial"/>
                <w:color w:val="000000" w:themeColor="text1"/>
                <w:lang w:val="en-GB"/>
              </w:rPr>
              <w:t>Authorities</w:t>
            </w:r>
            <w:r w:rsidRPr="00C328D0">
              <w:rPr>
                <w:rFonts w:ascii="Arial" w:hAnsi="Arial" w:cs="Arial"/>
                <w:color w:val="000000" w:themeColor="text1"/>
                <w:lang w:val="en-GB"/>
              </w:rPr>
              <w:t xml:space="preserve"> </w:t>
            </w:r>
            <w:r w:rsidR="00E937B2">
              <w:rPr>
                <w:rFonts w:ascii="Arial" w:hAnsi="Arial" w:cs="Arial"/>
                <w:color w:val="000000" w:themeColor="text1"/>
                <w:lang w:val="en-GB"/>
              </w:rPr>
              <w:t>do</w:t>
            </w:r>
            <w:r w:rsidR="00D57747" w:rsidRPr="00C328D0">
              <w:rPr>
                <w:rFonts w:ascii="Arial" w:hAnsi="Arial" w:cs="Arial"/>
                <w:color w:val="000000" w:themeColor="text1"/>
                <w:lang w:val="en-GB"/>
              </w:rPr>
              <w:t xml:space="preserve"> not make </w:t>
            </w:r>
            <w:r w:rsidR="00FE1E2F" w:rsidRPr="00C328D0">
              <w:rPr>
                <w:rFonts w:ascii="Arial" w:hAnsi="Arial" w:cs="Arial"/>
                <w:color w:val="000000" w:themeColor="text1"/>
                <w:lang w:val="en-GB"/>
              </w:rPr>
              <w:t xml:space="preserve">any </w:t>
            </w:r>
            <w:r w:rsidR="00D57747" w:rsidRPr="00C328D0">
              <w:rPr>
                <w:rFonts w:ascii="Arial" w:hAnsi="Arial" w:cs="Arial"/>
                <w:color w:val="000000" w:themeColor="text1"/>
                <w:lang w:val="en-GB"/>
              </w:rPr>
              <w:t xml:space="preserve">reference to </w:t>
            </w:r>
            <w:r w:rsidR="00480007" w:rsidRPr="00C328D0">
              <w:rPr>
                <w:rFonts w:ascii="Arial" w:hAnsi="Arial" w:cs="Arial"/>
                <w:color w:val="000000" w:themeColor="text1"/>
                <w:lang w:val="en-GB"/>
              </w:rPr>
              <w:t xml:space="preserve">legal costs or benchmarking costs to industry in the </w:t>
            </w:r>
            <w:r w:rsidR="00BC113A">
              <w:rPr>
                <w:rFonts w:ascii="Arial" w:hAnsi="Arial" w:cs="Arial"/>
                <w:color w:val="000000" w:themeColor="text1"/>
                <w:lang w:val="en-GB"/>
              </w:rPr>
              <w:t>S</w:t>
            </w:r>
            <w:r w:rsidR="00480007" w:rsidRPr="00C328D0">
              <w:rPr>
                <w:rFonts w:ascii="Arial" w:hAnsi="Arial" w:cs="Arial"/>
                <w:color w:val="000000" w:themeColor="text1"/>
                <w:lang w:val="en-GB"/>
              </w:rPr>
              <w:t xml:space="preserve">tandard, therefore </w:t>
            </w:r>
            <w:r w:rsidR="004833FC">
              <w:rPr>
                <w:rFonts w:ascii="Arial" w:hAnsi="Arial" w:cs="Arial"/>
                <w:color w:val="000000" w:themeColor="text1"/>
                <w:lang w:val="en-GB"/>
              </w:rPr>
              <w:t xml:space="preserve">the </w:t>
            </w:r>
            <w:r w:rsidR="00DA560E">
              <w:rPr>
                <w:rFonts w:ascii="Arial" w:hAnsi="Arial" w:cs="Arial"/>
                <w:color w:val="000000" w:themeColor="text1"/>
                <w:lang w:val="en-GB"/>
              </w:rPr>
              <w:t>Authorities</w:t>
            </w:r>
            <w:r w:rsidR="004833FC">
              <w:rPr>
                <w:rFonts w:ascii="Arial" w:hAnsi="Arial" w:cs="Arial"/>
                <w:color w:val="000000" w:themeColor="text1"/>
                <w:lang w:val="en-GB"/>
              </w:rPr>
              <w:t xml:space="preserve"> </w:t>
            </w:r>
            <w:r w:rsidR="00480007" w:rsidRPr="00C328D0">
              <w:rPr>
                <w:rFonts w:ascii="Arial" w:hAnsi="Arial" w:cs="Arial"/>
                <w:color w:val="000000" w:themeColor="text1"/>
                <w:lang w:val="en-GB"/>
              </w:rPr>
              <w:t>cannot comment on the respondents’ que</w:t>
            </w:r>
            <w:r w:rsidR="00C328D0" w:rsidRPr="00C328D0">
              <w:rPr>
                <w:rFonts w:ascii="Arial" w:hAnsi="Arial" w:cs="Arial"/>
                <w:color w:val="000000" w:themeColor="text1"/>
                <w:lang w:val="en-GB"/>
              </w:rPr>
              <w:t>ry.</w:t>
            </w:r>
          </w:p>
          <w:p w14:paraId="77CB4D33" w14:textId="634DBB99" w:rsidR="0037004B" w:rsidRPr="0051060F" w:rsidRDefault="0037004B" w:rsidP="00A36DB6">
            <w:pPr>
              <w:jc w:val="both"/>
              <w:rPr>
                <w:rFonts w:ascii="Arial" w:hAnsi="Arial" w:cs="Arial"/>
                <w:b/>
                <w:bCs/>
                <w:color w:val="000000" w:themeColor="text1"/>
                <w:lang w:val="en-GB"/>
              </w:rPr>
            </w:pPr>
            <w:r w:rsidRPr="0051060F">
              <w:rPr>
                <w:rFonts w:ascii="Arial" w:hAnsi="Arial" w:cs="Arial"/>
                <w:b/>
                <w:bCs/>
                <w:color w:val="000000" w:themeColor="text1"/>
                <w:lang w:val="en-GB"/>
              </w:rPr>
              <w:t>Recommendation for ‘material’ contracts</w:t>
            </w:r>
            <w:r w:rsidR="002F21B0" w:rsidRPr="0051060F">
              <w:rPr>
                <w:rFonts w:ascii="Arial" w:hAnsi="Arial" w:cs="Arial"/>
                <w:b/>
                <w:bCs/>
                <w:color w:val="000000" w:themeColor="text1"/>
                <w:lang w:val="en-GB"/>
              </w:rPr>
              <w:t>:</w:t>
            </w:r>
          </w:p>
          <w:p w14:paraId="58C23211" w14:textId="1CF73016" w:rsidR="003321DC" w:rsidRPr="00E6677F" w:rsidRDefault="0037004B" w:rsidP="00A36DB6">
            <w:pPr>
              <w:jc w:val="both"/>
              <w:rPr>
                <w:rFonts w:ascii="Arial" w:hAnsi="Arial" w:cs="Arial"/>
                <w:lang w:val="en-GB"/>
              </w:rPr>
            </w:pPr>
            <w:r>
              <w:rPr>
                <w:rFonts w:ascii="Arial" w:hAnsi="Arial" w:cs="Arial"/>
                <w:color w:val="000000" w:themeColor="text1"/>
                <w:lang w:val="en-GB"/>
              </w:rPr>
              <w:t>T</w:t>
            </w:r>
            <w:r w:rsidRPr="00F54C6B">
              <w:rPr>
                <w:rFonts w:ascii="Arial" w:hAnsi="Arial" w:cs="Arial"/>
                <w:color w:val="000000" w:themeColor="text1"/>
                <w:lang w:val="en-GB"/>
              </w:rPr>
              <w:t xml:space="preserve">he </w:t>
            </w:r>
            <w:r w:rsidR="00DA560E">
              <w:rPr>
                <w:rFonts w:ascii="Arial" w:hAnsi="Arial" w:cs="Arial"/>
                <w:color w:val="000000" w:themeColor="text1"/>
                <w:lang w:val="en-GB"/>
              </w:rPr>
              <w:t>Authorities</w:t>
            </w:r>
            <w:r w:rsidRPr="00F54C6B">
              <w:rPr>
                <w:rFonts w:ascii="Arial" w:hAnsi="Arial" w:cs="Arial"/>
                <w:color w:val="000000" w:themeColor="text1"/>
                <w:lang w:val="en-GB"/>
              </w:rPr>
              <w:t xml:space="preserve"> </w:t>
            </w:r>
            <w:r>
              <w:rPr>
                <w:rFonts w:ascii="Arial" w:hAnsi="Arial" w:cs="Arial"/>
                <w:color w:val="000000" w:themeColor="text1"/>
                <w:lang w:val="en-GB"/>
              </w:rPr>
              <w:t xml:space="preserve">re-iterate </w:t>
            </w:r>
            <w:r w:rsidRPr="00F54C6B">
              <w:rPr>
                <w:rFonts w:ascii="Arial" w:hAnsi="Arial" w:cs="Arial"/>
                <w:color w:val="000000" w:themeColor="text1"/>
                <w:lang w:val="en-GB"/>
              </w:rPr>
              <w:t xml:space="preserve">that this requirement </w:t>
            </w:r>
            <w:r>
              <w:rPr>
                <w:rFonts w:ascii="Arial" w:hAnsi="Arial" w:cs="Arial"/>
                <w:color w:val="000000" w:themeColor="text1"/>
                <w:lang w:val="en-GB"/>
              </w:rPr>
              <w:t xml:space="preserve">(and all the other requirements in the Standard) </w:t>
            </w:r>
            <w:r w:rsidRPr="00F54C6B">
              <w:rPr>
                <w:rFonts w:ascii="Arial" w:hAnsi="Arial" w:cs="Arial"/>
                <w:color w:val="000000" w:themeColor="text1"/>
                <w:lang w:val="en-GB"/>
              </w:rPr>
              <w:t>only relates to the assets and liabilities included in the transfer perimeter and is not a blanket application to the entire institution.</w:t>
            </w:r>
          </w:p>
        </w:tc>
      </w:tr>
      <w:tr w:rsidR="00A459CC" w:rsidRPr="009D05E3" w14:paraId="30B5A946" w14:textId="77777777" w:rsidTr="00515BD8">
        <w:tc>
          <w:tcPr>
            <w:tcW w:w="1886" w:type="dxa"/>
          </w:tcPr>
          <w:p w14:paraId="71EA8A9D" w14:textId="4F4FFEEC" w:rsidR="00A459CC" w:rsidRPr="000A1C6C" w:rsidRDefault="008C3A29" w:rsidP="008C3A29">
            <w:pPr>
              <w:spacing w:after="0"/>
              <w:jc w:val="center"/>
              <w:rPr>
                <w:rFonts w:ascii="Arial" w:hAnsi="Arial" w:cs="Arial"/>
                <w:lang w:val="en-GB"/>
              </w:rPr>
            </w:pPr>
            <w:r w:rsidRPr="000A1C6C">
              <w:rPr>
                <w:rFonts w:ascii="Arial" w:hAnsi="Arial" w:cs="Arial"/>
                <w:lang w:val="en-GB"/>
              </w:rPr>
              <w:t>82</w:t>
            </w:r>
          </w:p>
        </w:tc>
        <w:tc>
          <w:tcPr>
            <w:tcW w:w="2078" w:type="dxa"/>
          </w:tcPr>
          <w:p w14:paraId="4DD48C2A" w14:textId="3EAE9CB1" w:rsidR="00A459CC" w:rsidRPr="000A1C6C" w:rsidRDefault="00A459CC" w:rsidP="00A459CC">
            <w:pPr>
              <w:spacing w:after="0" w:line="240" w:lineRule="auto"/>
              <w:jc w:val="both"/>
              <w:rPr>
                <w:rFonts w:ascii="Arial" w:hAnsi="Arial" w:cs="Arial"/>
                <w:lang w:val="en-GB"/>
              </w:rPr>
            </w:pPr>
            <w:r w:rsidRPr="000A1C6C">
              <w:rPr>
                <w:rFonts w:ascii="Arial" w:hAnsi="Arial" w:cs="Arial"/>
              </w:rPr>
              <w:t>BASA</w:t>
            </w:r>
          </w:p>
        </w:tc>
        <w:tc>
          <w:tcPr>
            <w:tcW w:w="2691" w:type="dxa"/>
          </w:tcPr>
          <w:p w14:paraId="6E120D15" w14:textId="450AC4CD" w:rsidR="00A459CC" w:rsidRPr="000A1C6C" w:rsidRDefault="00A459CC" w:rsidP="00A459CC">
            <w:pPr>
              <w:spacing w:after="0" w:line="240" w:lineRule="auto"/>
              <w:jc w:val="both"/>
              <w:rPr>
                <w:rFonts w:ascii="Arial" w:hAnsi="Arial" w:cs="Arial"/>
                <w:bCs/>
              </w:rPr>
            </w:pPr>
            <w:r w:rsidRPr="000A1C6C">
              <w:rPr>
                <w:rFonts w:ascii="Arial" w:hAnsi="Arial" w:cs="Arial"/>
                <w:bCs/>
              </w:rPr>
              <w:t>8.2 (e) (</w:t>
            </w:r>
            <w:proofErr w:type="spellStart"/>
            <w:r w:rsidRPr="000A1C6C">
              <w:rPr>
                <w:rFonts w:ascii="Arial" w:hAnsi="Arial" w:cs="Arial"/>
                <w:bCs/>
              </w:rPr>
              <w:t>i</w:t>
            </w:r>
            <w:proofErr w:type="spellEnd"/>
            <w:r w:rsidRPr="000A1C6C">
              <w:rPr>
                <w:rFonts w:ascii="Arial" w:hAnsi="Arial" w:cs="Arial"/>
                <w:bCs/>
              </w:rPr>
              <w:t>)</w:t>
            </w:r>
          </w:p>
        </w:tc>
        <w:tc>
          <w:tcPr>
            <w:tcW w:w="7903" w:type="dxa"/>
          </w:tcPr>
          <w:p w14:paraId="458CD910" w14:textId="1237ECDB" w:rsidR="00A459CC" w:rsidRPr="000A1C6C" w:rsidRDefault="00A459CC" w:rsidP="00A459CC">
            <w:pPr>
              <w:jc w:val="both"/>
              <w:rPr>
                <w:rFonts w:ascii="Arial" w:hAnsi="Arial" w:cs="Arial"/>
                <w:bCs/>
              </w:rPr>
            </w:pPr>
            <w:r w:rsidRPr="000A1C6C">
              <w:rPr>
                <w:rFonts w:ascii="Arial" w:hAnsi="Arial" w:cs="Arial"/>
                <w:b/>
              </w:rPr>
              <w:t>Clarify</w:t>
            </w:r>
            <w:r w:rsidRPr="000A1C6C">
              <w:rPr>
                <w:rFonts w:ascii="Arial" w:hAnsi="Arial" w:cs="Arial"/>
                <w:bCs/>
              </w:rPr>
              <w:t xml:space="preserve"> what constitutes “critical staff”.</w:t>
            </w:r>
          </w:p>
        </w:tc>
        <w:tc>
          <w:tcPr>
            <w:tcW w:w="6416" w:type="dxa"/>
            <w:shd w:val="clear" w:color="auto" w:fill="auto"/>
          </w:tcPr>
          <w:p w14:paraId="47700D29" w14:textId="60E7AB3E" w:rsidR="00811AF9" w:rsidRPr="003F6C2C" w:rsidRDefault="000D0B6F" w:rsidP="003F6C2C">
            <w:pPr>
              <w:jc w:val="both"/>
              <w:rPr>
                <w:rFonts w:ascii="Arial" w:hAnsi="Arial" w:cs="Arial"/>
                <w:lang w:val="en-GB"/>
              </w:rPr>
            </w:pPr>
            <w:r>
              <w:rPr>
                <w:rFonts w:ascii="Arial" w:hAnsi="Arial" w:cs="Arial"/>
                <w:lang w:val="en-GB"/>
              </w:rPr>
              <w:t xml:space="preserve">The wording </w:t>
            </w:r>
            <w:r w:rsidR="00811AF9">
              <w:rPr>
                <w:rFonts w:ascii="Arial" w:hAnsi="Arial" w:cs="Arial"/>
                <w:lang w:val="en-GB"/>
              </w:rPr>
              <w:t>in section 8.2(e)(</w:t>
            </w:r>
            <w:proofErr w:type="spellStart"/>
            <w:r w:rsidR="00811AF9">
              <w:rPr>
                <w:rFonts w:ascii="Arial" w:hAnsi="Arial" w:cs="Arial"/>
                <w:lang w:val="en-GB"/>
              </w:rPr>
              <w:t>i</w:t>
            </w:r>
            <w:proofErr w:type="spellEnd"/>
            <w:r w:rsidR="00811AF9">
              <w:rPr>
                <w:rFonts w:ascii="Arial" w:hAnsi="Arial" w:cs="Arial"/>
                <w:lang w:val="en-GB"/>
              </w:rPr>
              <w:t>) has</w:t>
            </w:r>
            <w:r>
              <w:rPr>
                <w:rFonts w:ascii="Arial" w:hAnsi="Arial" w:cs="Arial"/>
                <w:lang w:val="en-GB"/>
              </w:rPr>
              <w:t xml:space="preserve"> been </w:t>
            </w:r>
            <w:r w:rsidR="000E1908">
              <w:rPr>
                <w:rFonts w:ascii="Arial" w:hAnsi="Arial" w:cs="Arial"/>
                <w:lang w:val="en-GB"/>
              </w:rPr>
              <w:t xml:space="preserve">amended </w:t>
            </w:r>
            <w:r>
              <w:rPr>
                <w:rFonts w:ascii="Arial" w:hAnsi="Arial" w:cs="Arial"/>
                <w:lang w:val="en-GB"/>
              </w:rPr>
              <w:t>to ‘relevant staff or roles’ to align with section 8.2</w:t>
            </w:r>
            <w:r w:rsidR="00994684">
              <w:rPr>
                <w:rFonts w:ascii="Arial" w:hAnsi="Arial" w:cs="Arial"/>
                <w:lang w:val="en-GB"/>
              </w:rPr>
              <w:t>(e)(</w:t>
            </w:r>
            <w:r w:rsidR="00811AF9">
              <w:rPr>
                <w:rFonts w:ascii="Arial" w:hAnsi="Arial" w:cs="Arial"/>
                <w:lang w:val="en-GB"/>
              </w:rPr>
              <w:t>ii)(cc).</w:t>
            </w:r>
          </w:p>
        </w:tc>
      </w:tr>
      <w:tr w:rsidR="00A459CC" w:rsidRPr="009D05E3" w14:paraId="0CE1DBE0" w14:textId="77777777" w:rsidTr="00515BD8">
        <w:tc>
          <w:tcPr>
            <w:tcW w:w="1886" w:type="dxa"/>
          </w:tcPr>
          <w:p w14:paraId="442BB1EE" w14:textId="79592B41" w:rsidR="00A459CC" w:rsidRPr="00892F3C" w:rsidRDefault="008C3A29" w:rsidP="008C3A29">
            <w:pPr>
              <w:spacing w:after="0"/>
              <w:jc w:val="center"/>
              <w:rPr>
                <w:rFonts w:ascii="Arial" w:hAnsi="Arial" w:cs="Arial"/>
                <w:lang w:val="en-GB"/>
              </w:rPr>
            </w:pPr>
            <w:r w:rsidRPr="00892F3C">
              <w:rPr>
                <w:rFonts w:ascii="Arial" w:hAnsi="Arial" w:cs="Arial"/>
                <w:lang w:val="en-GB"/>
              </w:rPr>
              <w:t>83</w:t>
            </w:r>
          </w:p>
        </w:tc>
        <w:tc>
          <w:tcPr>
            <w:tcW w:w="2078" w:type="dxa"/>
          </w:tcPr>
          <w:p w14:paraId="5B55C695" w14:textId="4BBE06BF"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04B03B24" w14:textId="7452E6DA" w:rsidR="00A459CC" w:rsidRPr="00892F3C" w:rsidRDefault="00A459CC" w:rsidP="00A459CC">
            <w:pPr>
              <w:spacing w:after="0" w:line="240" w:lineRule="auto"/>
              <w:jc w:val="both"/>
              <w:rPr>
                <w:rFonts w:ascii="Arial" w:hAnsi="Arial" w:cs="Arial"/>
                <w:bCs/>
              </w:rPr>
            </w:pPr>
            <w:r w:rsidRPr="00892F3C">
              <w:rPr>
                <w:rFonts w:ascii="Arial" w:hAnsi="Arial" w:cs="Arial"/>
                <w:bCs/>
              </w:rPr>
              <w:t>8.2 (d) (ii) (cc)</w:t>
            </w:r>
          </w:p>
        </w:tc>
        <w:tc>
          <w:tcPr>
            <w:tcW w:w="7903" w:type="dxa"/>
          </w:tcPr>
          <w:p w14:paraId="77D994F7" w14:textId="749620CE" w:rsidR="00A459CC" w:rsidRPr="00892F3C" w:rsidRDefault="00A459CC" w:rsidP="00A459CC">
            <w:pPr>
              <w:jc w:val="both"/>
              <w:rPr>
                <w:rFonts w:ascii="Arial" w:hAnsi="Arial" w:cs="Arial"/>
                <w:bCs/>
              </w:rPr>
            </w:pPr>
            <w:r w:rsidRPr="00892F3C">
              <w:rPr>
                <w:rFonts w:ascii="Arial" w:hAnsi="Arial" w:cs="Arial"/>
                <w:b/>
              </w:rPr>
              <w:t>Recommend</w:t>
            </w:r>
            <w:r w:rsidRPr="00892F3C">
              <w:rPr>
                <w:rFonts w:ascii="Arial" w:hAnsi="Arial" w:cs="Arial"/>
                <w:bCs/>
              </w:rPr>
              <w:t xml:space="preserve"> identifying the staff that are required (do) support a critical function / core business line, but it will not be feasible to move staff with the function if </w:t>
            </w:r>
            <w:r w:rsidRPr="0096389D">
              <w:rPr>
                <w:rFonts w:ascii="Arial" w:hAnsi="Arial" w:cs="Arial"/>
                <w:bCs/>
                <w:color w:val="000000" w:themeColor="text1"/>
              </w:rPr>
              <w:t xml:space="preserve">that staff member is also supporting a function that will stay with the “residual institution”. To address this, we would like to outline that it is not feasible to create roles that only cater to one business activity as this undermines cost containment and economy of scale that are important in ensuring a sustainable firm that can compete with peers. As a mitigating action we </w:t>
            </w:r>
            <w:r w:rsidRPr="0096389D">
              <w:rPr>
                <w:rFonts w:ascii="Arial" w:hAnsi="Arial" w:cs="Arial"/>
                <w:b/>
                <w:color w:val="000000" w:themeColor="text1"/>
              </w:rPr>
              <w:t xml:space="preserve">recommend </w:t>
            </w:r>
            <w:r w:rsidRPr="0096389D">
              <w:rPr>
                <w:rFonts w:ascii="Arial" w:hAnsi="Arial" w:cs="Arial"/>
                <w:bCs/>
                <w:color w:val="000000" w:themeColor="text1"/>
              </w:rPr>
              <w:t xml:space="preserve">that a transitional service agreement </w:t>
            </w:r>
            <w:r w:rsidRPr="00892F3C">
              <w:rPr>
                <w:rFonts w:ascii="Arial" w:hAnsi="Arial" w:cs="Arial"/>
                <w:bCs/>
              </w:rPr>
              <w:t>can be entered into.</w:t>
            </w:r>
          </w:p>
        </w:tc>
        <w:tc>
          <w:tcPr>
            <w:tcW w:w="6416" w:type="dxa"/>
            <w:shd w:val="clear" w:color="auto" w:fill="auto"/>
          </w:tcPr>
          <w:p w14:paraId="50701451" w14:textId="77777777" w:rsidR="00A459CC" w:rsidRDefault="00DB36AA" w:rsidP="00F36E6F">
            <w:pPr>
              <w:jc w:val="both"/>
              <w:rPr>
                <w:rFonts w:ascii="Arial" w:hAnsi="Arial" w:cs="Arial"/>
                <w:lang w:val="en-GB"/>
              </w:rPr>
            </w:pPr>
            <w:r>
              <w:rPr>
                <w:rFonts w:ascii="Arial" w:hAnsi="Arial" w:cs="Arial"/>
                <w:lang w:val="en-GB"/>
              </w:rPr>
              <w:t>The reference to section 8.2(</w:t>
            </w:r>
            <w:r w:rsidRPr="00110D55">
              <w:rPr>
                <w:rFonts w:ascii="Arial" w:hAnsi="Arial" w:cs="Arial"/>
                <w:b/>
                <w:bCs/>
                <w:lang w:val="en-GB"/>
              </w:rPr>
              <w:t>d</w:t>
            </w:r>
            <w:r>
              <w:rPr>
                <w:rFonts w:ascii="Arial" w:hAnsi="Arial" w:cs="Arial"/>
                <w:lang w:val="en-GB"/>
              </w:rPr>
              <w:t>)(ii)(cc) seems incorrect.</w:t>
            </w:r>
          </w:p>
          <w:p w14:paraId="096C722A" w14:textId="40B2ED2F" w:rsidR="00DB36AA" w:rsidRDefault="00DB36AA" w:rsidP="00F36E6F">
            <w:pPr>
              <w:jc w:val="both"/>
              <w:rPr>
                <w:rFonts w:ascii="Arial" w:hAnsi="Arial" w:cs="Arial"/>
                <w:lang w:val="en-GB"/>
              </w:rPr>
            </w:pPr>
            <w:r>
              <w:rPr>
                <w:rFonts w:ascii="Arial" w:hAnsi="Arial" w:cs="Arial"/>
                <w:lang w:val="en-GB"/>
              </w:rPr>
              <w:t xml:space="preserve">Section 8.2(e)(ii)(cc) </w:t>
            </w:r>
            <w:r w:rsidR="00DA12EE">
              <w:rPr>
                <w:rFonts w:ascii="Arial" w:hAnsi="Arial" w:cs="Arial"/>
                <w:lang w:val="en-GB"/>
              </w:rPr>
              <w:t>speaks to ensuring the relevant roles and required expertise are properly mapped</w:t>
            </w:r>
            <w:r w:rsidR="00B0481B">
              <w:rPr>
                <w:rFonts w:ascii="Arial" w:hAnsi="Arial" w:cs="Arial"/>
                <w:lang w:val="en-GB"/>
              </w:rPr>
              <w:t xml:space="preserve"> and labour law liabilities are identified.</w:t>
            </w:r>
            <w:r w:rsidR="009A6DC0">
              <w:rPr>
                <w:rFonts w:ascii="Arial" w:hAnsi="Arial" w:cs="Arial"/>
                <w:lang w:val="en-GB"/>
              </w:rPr>
              <w:t xml:space="preserve"> This is part of to ensuring that the transfer perimeter</w:t>
            </w:r>
            <w:r w:rsidR="00A0683E">
              <w:rPr>
                <w:rFonts w:ascii="Arial" w:hAnsi="Arial" w:cs="Arial"/>
                <w:lang w:val="en-GB"/>
              </w:rPr>
              <w:t xml:space="preserve"> </w:t>
            </w:r>
            <w:r w:rsidR="009A6DC0">
              <w:rPr>
                <w:rFonts w:ascii="Arial" w:hAnsi="Arial" w:cs="Arial"/>
                <w:lang w:val="en-GB"/>
              </w:rPr>
              <w:t>has operational continuity</w:t>
            </w:r>
            <w:r w:rsidR="008E37DD">
              <w:rPr>
                <w:rFonts w:ascii="Arial" w:hAnsi="Arial" w:cs="Arial"/>
                <w:lang w:val="en-GB"/>
              </w:rPr>
              <w:t xml:space="preserve"> (</w:t>
            </w:r>
            <w:r w:rsidR="008F6767">
              <w:rPr>
                <w:rFonts w:ascii="Arial" w:hAnsi="Arial" w:cs="Arial"/>
                <w:lang w:val="en-GB"/>
              </w:rPr>
              <w:t>by having</w:t>
            </w:r>
            <w:r w:rsidR="008E37DD">
              <w:rPr>
                <w:rFonts w:ascii="Arial" w:hAnsi="Arial" w:cs="Arial"/>
                <w:lang w:val="en-GB"/>
              </w:rPr>
              <w:t xml:space="preserve"> the expertise required for the activities in the transfer perimeter)</w:t>
            </w:r>
            <w:r w:rsidR="009A6DC0">
              <w:rPr>
                <w:rFonts w:ascii="Arial" w:hAnsi="Arial" w:cs="Arial"/>
                <w:lang w:val="en-GB"/>
              </w:rPr>
              <w:t xml:space="preserve"> post separation from the designated institution.</w:t>
            </w:r>
          </w:p>
          <w:p w14:paraId="70088FEE" w14:textId="0B26A556" w:rsidR="005C22E3" w:rsidRDefault="00B92689" w:rsidP="00F36E6F">
            <w:pPr>
              <w:jc w:val="both"/>
              <w:rPr>
                <w:rFonts w:ascii="Arial" w:hAnsi="Arial" w:cs="Arial"/>
                <w:lang w:val="en-GB"/>
              </w:rPr>
            </w:pPr>
            <w:r>
              <w:rPr>
                <w:rFonts w:ascii="Arial" w:hAnsi="Arial" w:cs="Arial"/>
                <w:lang w:val="en-GB"/>
              </w:rPr>
              <w:t>A residual institution</w:t>
            </w:r>
            <w:r w:rsidR="00A0683E">
              <w:rPr>
                <w:rFonts w:ascii="Arial" w:hAnsi="Arial" w:cs="Arial"/>
                <w:lang w:val="en-GB"/>
              </w:rPr>
              <w:t xml:space="preserve"> is </w:t>
            </w:r>
            <w:r w:rsidR="000D7492">
              <w:rPr>
                <w:rFonts w:ascii="Arial" w:hAnsi="Arial" w:cs="Arial"/>
                <w:lang w:val="en-GB"/>
              </w:rPr>
              <w:t>the remaining institution</w:t>
            </w:r>
            <w:r w:rsidR="008D5A0C">
              <w:rPr>
                <w:rFonts w:ascii="Arial" w:hAnsi="Arial" w:cs="Arial"/>
                <w:lang w:val="en-GB"/>
              </w:rPr>
              <w:t xml:space="preserve"> (‘left-over’ parts)</w:t>
            </w:r>
            <w:r w:rsidR="000D7492">
              <w:rPr>
                <w:rFonts w:ascii="Arial" w:hAnsi="Arial" w:cs="Arial"/>
                <w:lang w:val="en-GB"/>
              </w:rPr>
              <w:t xml:space="preserve"> after</w:t>
            </w:r>
            <w:r w:rsidR="005C22E3">
              <w:rPr>
                <w:rFonts w:ascii="Arial" w:hAnsi="Arial" w:cs="Arial"/>
                <w:lang w:val="en-GB"/>
              </w:rPr>
              <w:t xml:space="preserve"> the transfer of assets and liabilities</w:t>
            </w:r>
            <w:r w:rsidR="008D5137">
              <w:rPr>
                <w:rFonts w:ascii="Arial" w:hAnsi="Arial" w:cs="Arial"/>
                <w:lang w:val="en-GB"/>
              </w:rPr>
              <w:t>,</w:t>
            </w:r>
            <w:r w:rsidR="005C22E3">
              <w:rPr>
                <w:rFonts w:ascii="Arial" w:hAnsi="Arial" w:cs="Arial"/>
                <w:lang w:val="en-GB"/>
              </w:rPr>
              <w:t xml:space="preserve"> which will be subject to liquidation or an orderly wind down.</w:t>
            </w:r>
          </w:p>
          <w:p w14:paraId="7134AD1B" w14:textId="6F519C13" w:rsidR="00491FF3" w:rsidRPr="00F36E6F" w:rsidRDefault="004D79AD" w:rsidP="00F36E6F">
            <w:pPr>
              <w:jc w:val="both"/>
              <w:rPr>
                <w:rFonts w:ascii="Arial" w:hAnsi="Arial" w:cs="Arial"/>
                <w:lang w:val="en-GB"/>
              </w:rPr>
            </w:pPr>
            <w:r>
              <w:rPr>
                <w:rFonts w:ascii="Arial" w:hAnsi="Arial" w:cs="Arial"/>
                <w:lang w:val="en-GB"/>
              </w:rPr>
              <w:lastRenderedPageBreak/>
              <w:t xml:space="preserve">A scenario that leads to a residual institution will most likely mean that what is </w:t>
            </w:r>
            <w:r w:rsidR="008D5137">
              <w:rPr>
                <w:rFonts w:ascii="Arial" w:hAnsi="Arial" w:cs="Arial"/>
                <w:lang w:val="en-GB"/>
              </w:rPr>
              <w:t>critical,</w:t>
            </w:r>
            <w:r>
              <w:rPr>
                <w:rFonts w:ascii="Arial" w:hAnsi="Arial" w:cs="Arial"/>
                <w:lang w:val="en-GB"/>
              </w:rPr>
              <w:t xml:space="preserve"> or core is transferred out</w:t>
            </w:r>
            <w:r w:rsidR="00567433">
              <w:rPr>
                <w:rFonts w:ascii="Arial" w:hAnsi="Arial" w:cs="Arial"/>
                <w:lang w:val="en-GB"/>
              </w:rPr>
              <w:t xml:space="preserve"> to an acquiring institution or bridge institution.</w:t>
            </w:r>
          </w:p>
        </w:tc>
      </w:tr>
      <w:tr w:rsidR="00A459CC" w:rsidRPr="009D05E3" w14:paraId="74F886F8" w14:textId="77777777" w:rsidTr="00515BD8">
        <w:tc>
          <w:tcPr>
            <w:tcW w:w="1886" w:type="dxa"/>
          </w:tcPr>
          <w:p w14:paraId="198B1454" w14:textId="0108493B" w:rsidR="00A459CC" w:rsidRPr="00892F3C" w:rsidRDefault="008C3A29" w:rsidP="008C3A29">
            <w:pPr>
              <w:spacing w:after="0"/>
              <w:jc w:val="center"/>
              <w:rPr>
                <w:rFonts w:ascii="Arial" w:hAnsi="Arial" w:cs="Arial"/>
                <w:lang w:val="en-GB"/>
              </w:rPr>
            </w:pPr>
            <w:r w:rsidRPr="00892F3C">
              <w:rPr>
                <w:rFonts w:ascii="Arial" w:hAnsi="Arial" w:cs="Arial"/>
                <w:lang w:val="en-GB"/>
              </w:rPr>
              <w:lastRenderedPageBreak/>
              <w:t>84</w:t>
            </w:r>
          </w:p>
        </w:tc>
        <w:tc>
          <w:tcPr>
            <w:tcW w:w="2078" w:type="dxa"/>
          </w:tcPr>
          <w:p w14:paraId="0797AB38" w14:textId="54159C0F" w:rsidR="00A459CC" w:rsidRPr="00EB6327" w:rsidRDefault="00A459CC" w:rsidP="00A459CC">
            <w:pPr>
              <w:spacing w:after="0" w:line="240" w:lineRule="auto"/>
              <w:jc w:val="both"/>
              <w:rPr>
                <w:rFonts w:ascii="Arial" w:hAnsi="Arial" w:cs="Arial"/>
                <w:lang w:val="en-GB"/>
              </w:rPr>
            </w:pPr>
            <w:r w:rsidRPr="00EB6327">
              <w:rPr>
                <w:rFonts w:ascii="Arial" w:hAnsi="Arial" w:cs="Arial"/>
              </w:rPr>
              <w:t>BASA</w:t>
            </w:r>
          </w:p>
        </w:tc>
        <w:tc>
          <w:tcPr>
            <w:tcW w:w="2691" w:type="dxa"/>
          </w:tcPr>
          <w:p w14:paraId="7A59653E" w14:textId="6A9B5F7E" w:rsidR="00724267" w:rsidRPr="00EB6327" w:rsidRDefault="00724267" w:rsidP="00A459CC">
            <w:pPr>
              <w:spacing w:after="0" w:line="240" w:lineRule="auto"/>
              <w:jc w:val="both"/>
              <w:rPr>
                <w:rFonts w:ascii="Arial" w:hAnsi="Arial" w:cs="Arial"/>
                <w:bCs/>
              </w:rPr>
            </w:pPr>
            <w:r w:rsidRPr="00EB6327">
              <w:rPr>
                <w:rFonts w:ascii="Arial" w:hAnsi="Arial" w:cs="Arial"/>
                <w:bCs/>
              </w:rPr>
              <w:t>8.2</w:t>
            </w:r>
            <w:r w:rsidR="006E6511" w:rsidRPr="00EB6327">
              <w:rPr>
                <w:rFonts w:ascii="Arial" w:hAnsi="Arial" w:cs="Arial"/>
                <w:bCs/>
              </w:rPr>
              <w:t>(e)(</w:t>
            </w:r>
            <w:r w:rsidR="00F2052D" w:rsidRPr="00EB6327">
              <w:rPr>
                <w:rFonts w:ascii="Arial" w:hAnsi="Arial" w:cs="Arial"/>
                <w:bCs/>
              </w:rPr>
              <w:t>ii) (</w:t>
            </w:r>
            <w:r w:rsidR="006E6511" w:rsidRPr="00EB6327">
              <w:rPr>
                <w:rFonts w:ascii="Arial" w:hAnsi="Arial" w:cs="Arial"/>
                <w:bCs/>
              </w:rPr>
              <w:t>aa)</w:t>
            </w:r>
          </w:p>
          <w:p w14:paraId="60902882" w14:textId="15EC2859" w:rsidR="00A459CC" w:rsidRPr="00EB6327" w:rsidRDefault="00A459CC" w:rsidP="00A459CC">
            <w:pPr>
              <w:spacing w:after="0" w:line="240" w:lineRule="auto"/>
              <w:jc w:val="both"/>
              <w:rPr>
                <w:rFonts w:ascii="Arial" w:hAnsi="Arial" w:cs="Arial"/>
                <w:bCs/>
              </w:rPr>
            </w:pPr>
          </w:p>
        </w:tc>
        <w:tc>
          <w:tcPr>
            <w:tcW w:w="7903" w:type="dxa"/>
          </w:tcPr>
          <w:p w14:paraId="156EE0AA" w14:textId="2F2BA4B7" w:rsidR="00A459CC" w:rsidRPr="00892F3C" w:rsidRDefault="00A459CC" w:rsidP="00A459CC">
            <w:pPr>
              <w:jc w:val="both"/>
              <w:rPr>
                <w:rFonts w:ascii="Arial" w:hAnsi="Arial" w:cs="Arial"/>
                <w:bCs/>
              </w:rPr>
            </w:pPr>
            <w:r w:rsidRPr="00892F3C">
              <w:rPr>
                <w:rFonts w:ascii="Arial" w:hAnsi="Arial" w:cs="Arial"/>
                <w:b/>
              </w:rPr>
              <w:t xml:space="preserve">Clarify </w:t>
            </w:r>
            <w:r w:rsidRPr="00892F3C">
              <w:rPr>
                <w:rFonts w:ascii="Arial" w:hAnsi="Arial" w:cs="Arial"/>
                <w:bCs/>
              </w:rPr>
              <w:t>whether critical functions and core business lines would be transferred to the acquirer or bridge entity vs being kept in the surviving institution.</w:t>
            </w:r>
          </w:p>
        </w:tc>
        <w:tc>
          <w:tcPr>
            <w:tcW w:w="6416" w:type="dxa"/>
            <w:shd w:val="clear" w:color="auto" w:fill="auto"/>
          </w:tcPr>
          <w:p w14:paraId="0EE25082" w14:textId="586825DD" w:rsidR="008E6C60" w:rsidRDefault="00B1615E" w:rsidP="00B1615E">
            <w:pPr>
              <w:jc w:val="both"/>
              <w:rPr>
                <w:rFonts w:ascii="Arial" w:hAnsi="Arial" w:cs="Arial"/>
                <w:lang w:val="en-GB"/>
              </w:rPr>
            </w:pPr>
            <w:r>
              <w:rPr>
                <w:rFonts w:ascii="Arial" w:hAnsi="Arial" w:cs="Arial"/>
                <w:lang w:val="en-GB"/>
              </w:rPr>
              <w:t xml:space="preserve">The treatment of </w:t>
            </w:r>
            <w:r w:rsidR="00933000">
              <w:rPr>
                <w:rFonts w:ascii="Arial" w:hAnsi="Arial" w:cs="Arial"/>
                <w:lang w:val="en-GB"/>
              </w:rPr>
              <w:t>critical functions and core business lines is dependent on the resolution strategy for each individual designated institution.</w:t>
            </w:r>
            <w:r w:rsidR="00C34244">
              <w:rPr>
                <w:rFonts w:ascii="Arial" w:hAnsi="Arial" w:cs="Arial"/>
                <w:lang w:val="en-GB"/>
              </w:rPr>
              <w:t xml:space="preserve"> </w:t>
            </w:r>
            <w:r w:rsidR="00004B55">
              <w:rPr>
                <w:rFonts w:ascii="Arial" w:hAnsi="Arial" w:cs="Arial"/>
                <w:lang w:val="en-GB"/>
              </w:rPr>
              <w:t>Therefore,</w:t>
            </w:r>
            <w:r w:rsidR="008E6C60">
              <w:rPr>
                <w:rFonts w:ascii="Arial" w:hAnsi="Arial" w:cs="Arial"/>
                <w:lang w:val="en-GB"/>
              </w:rPr>
              <w:t xml:space="preserve"> </w:t>
            </w:r>
            <w:r w:rsidR="008D1404">
              <w:rPr>
                <w:rFonts w:ascii="Arial" w:hAnsi="Arial" w:cs="Arial"/>
                <w:lang w:val="en-GB"/>
              </w:rPr>
              <w:t xml:space="preserve">critical functions and core business lines could be transferred </w:t>
            </w:r>
            <w:r w:rsidR="00F72F8D">
              <w:rPr>
                <w:rFonts w:ascii="Arial" w:hAnsi="Arial" w:cs="Arial"/>
                <w:lang w:val="en-GB"/>
              </w:rPr>
              <w:t>(to an acquiring institution/ bridge institution)</w:t>
            </w:r>
            <w:r w:rsidR="008D1404">
              <w:rPr>
                <w:rFonts w:ascii="Arial" w:hAnsi="Arial" w:cs="Arial"/>
                <w:lang w:val="en-GB"/>
              </w:rPr>
              <w:t xml:space="preserve"> or they could remain in the surviving institution.</w:t>
            </w:r>
          </w:p>
          <w:p w14:paraId="59ADA0A4" w14:textId="159EAD09" w:rsidR="00A459CC" w:rsidRPr="00B1615E" w:rsidRDefault="00FE6FD3" w:rsidP="00B1615E">
            <w:pPr>
              <w:jc w:val="both"/>
              <w:rPr>
                <w:rFonts w:ascii="Arial" w:hAnsi="Arial" w:cs="Arial"/>
                <w:lang w:val="en-GB"/>
              </w:rPr>
            </w:pPr>
            <w:r>
              <w:rPr>
                <w:rFonts w:ascii="Arial" w:hAnsi="Arial" w:cs="Arial"/>
                <w:lang w:val="en-GB"/>
              </w:rPr>
              <w:t>The key requirements of 8.2 (c)(</w:t>
            </w:r>
            <w:proofErr w:type="gramStart"/>
            <w:r w:rsidR="00004B55">
              <w:rPr>
                <w:rFonts w:ascii="Arial" w:hAnsi="Arial" w:cs="Arial"/>
                <w:lang w:val="en-GB"/>
              </w:rPr>
              <w:t>ii)(</w:t>
            </w:r>
            <w:proofErr w:type="gramEnd"/>
            <w:r>
              <w:rPr>
                <w:rFonts w:ascii="Arial" w:hAnsi="Arial" w:cs="Arial"/>
                <w:lang w:val="en-GB"/>
              </w:rPr>
              <w:t>a</w:t>
            </w:r>
            <w:r w:rsidR="00335AE3">
              <w:rPr>
                <w:rFonts w:ascii="Arial" w:hAnsi="Arial" w:cs="Arial"/>
                <w:lang w:val="en-GB"/>
              </w:rPr>
              <w:t>a</w:t>
            </w:r>
            <w:r>
              <w:rPr>
                <w:rFonts w:ascii="Arial" w:hAnsi="Arial" w:cs="Arial"/>
                <w:lang w:val="en-GB"/>
              </w:rPr>
              <w:t xml:space="preserve">) is to ensure continuity of the critical functions and core business lines, whether they are transferred </w:t>
            </w:r>
            <w:r w:rsidR="002059FD">
              <w:rPr>
                <w:rFonts w:ascii="Arial" w:hAnsi="Arial" w:cs="Arial"/>
                <w:lang w:val="en-GB"/>
              </w:rPr>
              <w:t xml:space="preserve">out </w:t>
            </w:r>
            <w:r>
              <w:rPr>
                <w:rFonts w:ascii="Arial" w:hAnsi="Arial" w:cs="Arial"/>
                <w:lang w:val="en-GB"/>
              </w:rPr>
              <w:t>or remain in the surviving institution.</w:t>
            </w:r>
          </w:p>
        </w:tc>
      </w:tr>
      <w:tr w:rsidR="00A459CC" w:rsidRPr="009D05E3" w14:paraId="396C13E4" w14:textId="77777777" w:rsidTr="00473E16">
        <w:tc>
          <w:tcPr>
            <w:tcW w:w="1886" w:type="dxa"/>
          </w:tcPr>
          <w:p w14:paraId="25F25FD9" w14:textId="061C4F65" w:rsidR="00A459CC" w:rsidRPr="00892F3C" w:rsidRDefault="008C3A29" w:rsidP="008C3A29">
            <w:pPr>
              <w:spacing w:after="0"/>
              <w:jc w:val="center"/>
              <w:rPr>
                <w:rFonts w:ascii="Arial" w:hAnsi="Arial" w:cs="Arial"/>
                <w:lang w:val="en-GB"/>
              </w:rPr>
            </w:pPr>
            <w:r w:rsidRPr="00892F3C">
              <w:rPr>
                <w:rFonts w:ascii="Arial" w:hAnsi="Arial" w:cs="Arial"/>
                <w:lang w:val="en-GB"/>
              </w:rPr>
              <w:t>85</w:t>
            </w:r>
          </w:p>
        </w:tc>
        <w:tc>
          <w:tcPr>
            <w:tcW w:w="2078" w:type="dxa"/>
          </w:tcPr>
          <w:p w14:paraId="5E53C3C6" w14:textId="5C10E103" w:rsidR="00A459CC" w:rsidRPr="00EB6327" w:rsidRDefault="00A459CC" w:rsidP="00A459CC">
            <w:pPr>
              <w:spacing w:after="0" w:line="240" w:lineRule="auto"/>
              <w:jc w:val="both"/>
              <w:rPr>
                <w:rFonts w:ascii="Arial" w:hAnsi="Arial" w:cs="Arial"/>
                <w:lang w:val="en-GB"/>
              </w:rPr>
            </w:pPr>
            <w:r w:rsidRPr="00EB6327">
              <w:rPr>
                <w:rFonts w:ascii="Arial" w:hAnsi="Arial" w:cs="Arial"/>
              </w:rPr>
              <w:t>BASA</w:t>
            </w:r>
          </w:p>
        </w:tc>
        <w:tc>
          <w:tcPr>
            <w:tcW w:w="2691" w:type="dxa"/>
          </w:tcPr>
          <w:p w14:paraId="1E60335B" w14:textId="65D11C79" w:rsidR="00E46524" w:rsidRPr="00EB6327" w:rsidRDefault="00E46524" w:rsidP="00A459CC">
            <w:pPr>
              <w:spacing w:after="0" w:line="240" w:lineRule="auto"/>
              <w:jc w:val="both"/>
              <w:rPr>
                <w:rFonts w:ascii="Arial" w:hAnsi="Arial" w:cs="Arial"/>
                <w:bCs/>
              </w:rPr>
            </w:pPr>
            <w:r w:rsidRPr="00EB6327">
              <w:rPr>
                <w:rFonts w:ascii="Arial" w:hAnsi="Arial" w:cs="Arial"/>
                <w:bCs/>
              </w:rPr>
              <w:t>8.2(</w:t>
            </w:r>
            <w:r w:rsidR="00D754C3" w:rsidRPr="00EB6327">
              <w:rPr>
                <w:rFonts w:ascii="Arial" w:hAnsi="Arial" w:cs="Arial"/>
                <w:bCs/>
              </w:rPr>
              <w:t>e)</w:t>
            </w:r>
            <w:r w:rsidRPr="00EB6327">
              <w:rPr>
                <w:rFonts w:ascii="Arial" w:hAnsi="Arial" w:cs="Arial"/>
                <w:bCs/>
              </w:rPr>
              <w:t>(ii)</w:t>
            </w:r>
            <w:r w:rsidR="00D754C3" w:rsidRPr="00EB6327">
              <w:rPr>
                <w:rFonts w:ascii="Arial" w:hAnsi="Arial" w:cs="Arial"/>
                <w:bCs/>
              </w:rPr>
              <w:t>(cc)</w:t>
            </w:r>
          </w:p>
          <w:p w14:paraId="4E8A68C2" w14:textId="0B076EAB" w:rsidR="00A459CC" w:rsidRPr="00EB6327" w:rsidRDefault="00A459CC" w:rsidP="00A459CC">
            <w:pPr>
              <w:spacing w:after="0" w:line="240" w:lineRule="auto"/>
              <w:jc w:val="both"/>
              <w:rPr>
                <w:rFonts w:ascii="Arial" w:hAnsi="Arial" w:cs="Arial"/>
                <w:bCs/>
              </w:rPr>
            </w:pPr>
          </w:p>
        </w:tc>
        <w:tc>
          <w:tcPr>
            <w:tcW w:w="7903" w:type="dxa"/>
          </w:tcPr>
          <w:p w14:paraId="2EE1AE8C" w14:textId="199A4D68" w:rsidR="00A459CC" w:rsidRPr="00892F3C" w:rsidRDefault="00A459CC" w:rsidP="00A459CC">
            <w:pPr>
              <w:jc w:val="both"/>
              <w:rPr>
                <w:rFonts w:ascii="Arial" w:hAnsi="Arial" w:cs="Arial"/>
                <w:bCs/>
              </w:rPr>
            </w:pPr>
            <w:r w:rsidRPr="00892F3C">
              <w:rPr>
                <w:rFonts w:ascii="Arial" w:hAnsi="Arial" w:cs="Arial"/>
                <w:bCs/>
              </w:rPr>
              <w:t>We believe that the events/scenario leading up to the bank being placed in resolution, as well as the specific bank’s resolution strategy, would determine the relevant staff or roles and expertise required to contribute to orderly resolution.</w:t>
            </w:r>
          </w:p>
        </w:tc>
        <w:tc>
          <w:tcPr>
            <w:tcW w:w="6416" w:type="dxa"/>
            <w:shd w:val="clear" w:color="auto" w:fill="auto"/>
          </w:tcPr>
          <w:p w14:paraId="3A804B19" w14:textId="77777777" w:rsidR="00A459CC" w:rsidRDefault="00130152" w:rsidP="00B105DE">
            <w:pPr>
              <w:jc w:val="both"/>
              <w:rPr>
                <w:rFonts w:ascii="Arial" w:hAnsi="Arial" w:cs="Arial"/>
                <w:lang w:val="en-GB"/>
              </w:rPr>
            </w:pPr>
            <w:r>
              <w:rPr>
                <w:rFonts w:ascii="Arial" w:hAnsi="Arial" w:cs="Arial"/>
                <w:lang w:val="en-GB"/>
              </w:rPr>
              <w:t>Noted.</w:t>
            </w:r>
          </w:p>
          <w:p w14:paraId="22F2030F" w14:textId="7EE6DEC4" w:rsidR="00645836" w:rsidRPr="00B105DE" w:rsidRDefault="00645836" w:rsidP="00B105DE">
            <w:pPr>
              <w:jc w:val="both"/>
              <w:rPr>
                <w:rFonts w:ascii="Arial" w:hAnsi="Arial" w:cs="Arial"/>
                <w:lang w:val="en-GB"/>
              </w:rPr>
            </w:pPr>
          </w:p>
        </w:tc>
      </w:tr>
      <w:tr w:rsidR="00A459CC" w:rsidRPr="009D05E3" w14:paraId="17A8814A" w14:textId="77777777" w:rsidTr="00515BD8">
        <w:tc>
          <w:tcPr>
            <w:tcW w:w="1886" w:type="dxa"/>
          </w:tcPr>
          <w:p w14:paraId="2587D455" w14:textId="3916AD14" w:rsidR="00A459CC" w:rsidRPr="00892F3C" w:rsidRDefault="008C3A29" w:rsidP="008C3A29">
            <w:pPr>
              <w:spacing w:after="0"/>
              <w:jc w:val="center"/>
              <w:rPr>
                <w:rFonts w:ascii="Arial" w:hAnsi="Arial" w:cs="Arial"/>
                <w:lang w:val="en-GB"/>
              </w:rPr>
            </w:pPr>
            <w:r w:rsidRPr="00892F3C">
              <w:rPr>
                <w:rFonts w:ascii="Arial" w:hAnsi="Arial" w:cs="Arial"/>
                <w:lang w:val="en-GB"/>
              </w:rPr>
              <w:t>86</w:t>
            </w:r>
          </w:p>
        </w:tc>
        <w:tc>
          <w:tcPr>
            <w:tcW w:w="2078" w:type="dxa"/>
          </w:tcPr>
          <w:p w14:paraId="66E9867C" w14:textId="44BA39B4" w:rsidR="00A459CC" w:rsidRPr="00892F3C" w:rsidRDefault="00A11BB0" w:rsidP="00A459CC">
            <w:pPr>
              <w:spacing w:after="0" w:line="240" w:lineRule="auto"/>
              <w:jc w:val="both"/>
              <w:rPr>
                <w:rFonts w:ascii="Arial" w:hAnsi="Arial" w:cs="Arial"/>
                <w:lang w:val="en-GB"/>
              </w:rPr>
            </w:pPr>
            <w:r w:rsidRPr="00892F3C">
              <w:rPr>
                <w:rFonts w:ascii="Arial" w:hAnsi="Arial" w:cs="Arial"/>
                <w:lang w:val="en-GB"/>
              </w:rPr>
              <w:t>BASA</w:t>
            </w:r>
          </w:p>
        </w:tc>
        <w:tc>
          <w:tcPr>
            <w:tcW w:w="2691" w:type="dxa"/>
          </w:tcPr>
          <w:p w14:paraId="00837E47" w14:textId="3497FDA3" w:rsidR="00D754C3" w:rsidRDefault="00D2449F" w:rsidP="00A459CC">
            <w:pPr>
              <w:spacing w:after="0" w:line="240" w:lineRule="auto"/>
              <w:jc w:val="both"/>
              <w:rPr>
                <w:rFonts w:ascii="Arial" w:hAnsi="Arial" w:cs="Arial"/>
                <w:bCs/>
              </w:rPr>
            </w:pPr>
            <w:r w:rsidRPr="00EB6327">
              <w:rPr>
                <w:rFonts w:ascii="Arial" w:hAnsi="Arial" w:cs="Arial"/>
                <w:bCs/>
              </w:rPr>
              <w:t>8.2(f)(</w:t>
            </w:r>
            <w:proofErr w:type="spellStart"/>
            <w:r w:rsidRPr="00EB6327">
              <w:rPr>
                <w:rFonts w:ascii="Arial" w:hAnsi="Arial" w:cs="Arial"/>
                <w:bCs/>
              </w:rPr>
              <w:t>i</w:t>
            </w:r>
            <w:proofErr w:type="spellEnd"/>
            <w:r w:rsidRPr="00EB6327">
              <w:rPr>
                <w:rFonts w:ascii="Arial" w:hAnsi="Arial" w:cs="Arial"/>
                <w:bCs/>
              </w:rPr>
              <w:t>)</w:t>
            </w:r>
          </w:p>
          <w:p w14:paraId="27D9396F" w14:textId="7BDA49D4" w:rsidR="00A459CC" w:rsidRPr="00892F3C" w:rsidRDefault="00A459CC" w:rsidP="00A459CC">
            <w:pPr>
              <w:spacing w:after="0" w:line="240" w:lineRule="auto"/>
              <w:jc w:val="both"/>
              <w:rPr>
                <w:rFonts w:ascii="Arial" w:hAnsi="Arial" w:cs="Arial"/>
                <w:bCs/>
              </w:rPr>
            </w:pPr>
          </w:p>
        </w:tc>
        <w:tc>
          <w:tcPr>
            <w:tcW w:w="7903" w:type="dxa"/>
          </w:tcPr>
          <w:p w14:paraId="537D30DD" w14:textId="196C363E" w:rsidR="00A459CC" w:rsidRPr="00892F3C" w:rsidRDefault="00A459CC" w:rsidP="00A459CC">
            <w:pPr>
              <w:jc w:val="both"/>
              <w:rPr>
                <w:rFonts w:ascii="Arial" w:hAnsi="Arial" w:cs="Arial"/>
                <w:bCs/>
              </w:rPr>
            </w:pPr>
            <w:r w:rsidRPr="00892F3C">
              <w:rPr>
                <w:rFonts w:ascii="Arial" w:hAnsi="Arial" w:cs="Arial"/>
                <w:b/>
              </w:rPr>
              <w:t>Clarify</w:t>
            </w:r>
            <w:r w:rsidRPr="00892F3C">
              <w:rPr>
                <w:rFonts w:ascii="Arial" w:hAnsi="Arial" w:cs="Arial"/>
                <w:bCs/>
              </w:rPr>
              <w:t xml:space="preserve"> the level of the analyses required</w:t>
            </w:r>
          </w:p>
        </w:tc>
        <w:tc>
          <w:tcPr>
            <w:tcW w:w="6416" w:type="dxa"/>
            <w:shd w:val="clear" w:color="auto" w:fill="auto"/>
          </w:tcPr>
          <w:p w14:paraId="04C86A73" w14:textId="4E580467" w:rsidR="00A459CC" w:rsidRPr="009710CE" w:rsidRDefault="001A7407" w:rsidP="009710CE">
            <w:pPr>
              <w:jc w:val="both"/>
              <w:rPr>
                <w:rFonts w:ascii="Arial" w:hAnsi="Arial" w:cs="Arial"/>
                <w:lang w:val="en-GB"/>
              </w:rPr>
            </w:pPr>
            <w:r>
              <w:rPr>
                <w:rFonts w:ascii="Arial" w:hAnsi="Arial" w:cs="Arial"/>
                <w:lang w:val="en-GB"/>
              </w:rPr>
              <w:t xml:space="preserve">The application of </w:t>
            </w:r>
            <w:r w:rsidR="00061C3A">
              <w:rPr>
                <w:rFonts w:ascii="Arial" w:hAnsi="Arial" w:cs="Arial"/>
                <w:lang w:val="en-GB"/>
              </w:rPr>
              <w:t xml:space="preserve">a resolution </w:t>
            </w:r>
            <w:r w:rsidR="000F69F8">
              <w:rPr>
                <w:rFonts w:ascii="Arial" w:hAnsi="Arial" w:cs="Arial"/>
                <w:lang w:val="en-GB"/>
              </w:rPr>
              <w:t>transfer</w:t>
            </w:r>
            <w:r w:rsidR="00EF271E">
              <w:rPr>
                <w:rFonts w:ascii="Arial" w:hAnsi="Arial" w:cs="Arial"/>
                <w:lang w:val="en-GB"/>
              </w:rPr>
              <w:t xml:space="preserve"> tool</w:t>
            </w:r>
            <w:r w:rsidR="00061C3A">
              <w:rPr>
                <w:rFonts w:ascii="Arial" w:hAnsi="Arial" w:cs="Arial"/>
                <w:lang w:val="en-GB"/>
              </w:rPr>
              <w:t xml:space="preserve"> </w:t>
            </w:r>
            <w:r w:rsidR="000F69F8">
              <w:rPr>
                <w:rFonts w:ascii="Arial" w:hAnsi="Arial" w:cs="Arial"/>
                <w:lang w:val="en-GB"/>
              </w:rPr>
              <w:t xml:space="preserve">can be at </w:t>
            </w:r>
            <w:r w:rsidR="00EF271E">
              <w:rPr>
                <w:rFonts w:ascii="Arial" w:hAnsi="Arial" w:cs="Arial"/>
                <w:lang w:val="en-GB"/>
              </w:rPr>
              <w:t xml:space="preserve">various levels such as </w:t>
            </w:r>
            <w:r w:rsidR="000F69F8">
              <w:rPr>
                <w:rFonts w:ascii="Arial" w:hAnsi="Arial" w:cs="Arial"/>
                <w:lang w:val="en-GB"/>
              </w:rPr>
              <w:t>entity level, business</w:t>
            </w:r>
            <w:r w:rsidR="00EF271E">
              <w:rPr>
                <w:rFonts w:ascii="Arial" w:hAnsi="Arial" w:cs="Arial"/>
                <w:lang w:val="en-GB"/>
              </w:rPr>
              <w:t xml:space="preserve"> unit</w:t>
            </w:r>
            <w:r w:rsidR="000F69F8">
              <w:rPr>
                <w:rFonts w:ascii="Arial" w:hAnsi="Arial" w:cs="Arial"/>
                <w:lang w:val="en-GB"/>
              </w:rPr>
              <w:t xml:space="preserve">, portfolio etc. </w:t>
            </w:r>
            <w:r w:rsidR="00EF271E">
              <w:rPr>
                <w:rFonts w:ascii="Arial" w:hAnsi="Arial" w:cs="Arial"/>
                <w:lang w:val="en-GB"/>
              </w:rPr>
              <w:t>Therefore,</w:t>
            </w:r>
            <w:r w:rsidR="000F69F8">
              <w:rPr>
                <w:rFonts w:ascii="Arial" w:hAnsi="Arial" w:cs="Arial"/>
                <w:lang w:val="en-GB"/>
              </w:rPr>
              <w:t xml:space="preserve"> the </w:t>
            </w:r>
            <w:r w:rsidR="00EF271E">
              <w:rPr>
                <w:rFonts w:ascii="Arial" w:hAnsi="Arial" w:cs="Arial"/>
                <w:lang w:val="en-GB"/>
              </w:rPr>
              <w:t>level or extent of analysis will be driven by how the Reserve Bank intends to use the transfer tool (if at all) o</w:t>
            </w:r>
            <w:r w:rsidR="002059FD">
              <w:rPr>
                <w:rFonts w:ascii="Arial" w:hAnsi="Arial" w:cs="Arial"/>
                <w:lang w:val="en-GB"/>
              </w:rPr>
              <w:t>n</w:t>
            </w:r>
            <w:r w:rsidR="00EF271E">
              <w:rPr>
                <w:rFonts w:ascii="Arial" w:hAnsi="Arial" w:cs="Arial"/>
                <w:lang w:val="en-GB"/>
              </w:rPr>
              <w:t xml:space="preserve"> the specific designated institution.</w:t>
            </w:r>
          </w:p>
        </w:tc>
      </w:tr>
      <w:tr w:rsidR="00A459CC" w:rsidRPr="009D05E3" w14:paraId="5D6888A5" w14:textId="77777777" w:rsidTr="00515BD8">
        <w:trPr>
          <w:trHeight w:val="2052"/>
        </w:trPr>
        <w:tc>
          <w:tcPr>
            <w:tcW w:w="1886" w:type="dxa"/>
            <w:shd w:val="clear" w:color="auto" w:fill="auto"/>
          </w:tcPr>
          <w:p w14:paraId="3674C09C" w14:textId="6D58E9EF" w:rsidR="00A459CC" w:rsidRPr="00892F3C" w:rsidRDefault="008C3A29" w:rsidP="008C3A29">
            <w:pPr>
              <w:spacing w:after="0"/>
              <w:jc w:val="center"/>
              <w:rPr>
                <w:rFonts w:ascii="Arial" w:hAnsi="Arial" w:cs="Arial"/>
                <w:lang w:val="en-GB"/>
              </w:rPr>
            </w:pPr>
            <w:r w:rsidRPr="00892F3C">
              <w:rPr>
                <w:rFonts w:ascii="Arial" w:hAnsi="Arial" w:cs="Arial"/>
                <w:lang w:val="en-GB"/>
              </w:rPr>
              <w:t>87</w:t>
            </w:r>
          </w:p>
        </w:tc>
        <w:tc>
          <w:tcPr>
            <w:tcW w:w="2078" w:type="dxa"/>
          </w:tcPr>
          <w:p w14:paraId="380DFA83" w14:textId="0E9509B5"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0B504544" w14:textId="16BF4677" w:rsidR="00A459CC" w:rsidRPr="00892F3C" w:rsidRDefault="00A459CC" w:rsidP="002142A1">
            <w:pPr>
              <w:spacing w:afterLines="40" w:after="96" w:line="240" w:lineRule="auto"/>
              <w:rPr>
                <w:rFonts w:ascii="Arial" w:hAnsi="Arial" w:cs="Arial"/>
                <w:bCs/>
              </w:rPr>
            </w:pPr>
            <w:r w:rsidRPr="00892F3C">
              <w:rPr>
                <w:rFonts w:ascii="Arial" w:hAnsi="Arial" w:cs="Arial"/>
                <w:bCs/>
              </w:rPr>
              <w:t>8.2 (g) (</w:t>
            </w:r>
            <w:proofErr w:type="spellStart"/>
            <w:r w:rsidRPr="00892F3C">
              <w:rPr>
                <w:rFonts w:ascii="Arial" w:hAnsi="Arial" w:cs="Arial"/>
                <w:bCs/>
              </w:rPr>
              <w:t>i</w:t>
            </w:r>
            <w:proofErr w:type="spellEnd"/>
            <w:r w:rsidRPr="00892F3C">
              <w:rPr>
                <w:rFonts w:ascii="Arial" w:hAnsi="Arial" w:cs="Arial"/>
                <w:bCs/>
              </w:rPr>
              <w:t>)</w:t>
            </w:r>
          </w:p>
        </w:tc>
        <w:tc>
          <w:tcPr>
            <w:tcW w:w="7903" w:type="dxa"/>
          </w:tcPr>
          <w:p w14:paraId="217DF4BB" w14:textId="4727ED19" w:rsidR="00A459CC" w:rsidRPr="00892F3C" w:rsidRDefault="00A459CC" w:rsidP="00A459CC">
            <w:pPr>
              <w:jc w:val="both"/>
              <w:rPr>
                <w:rFonts w:ascii="Arial" w:hAnsi="Arial" w:cs="Arial"/>
                <w:bCs/>
              </w:rPr>
            </w:pPr>
            <w:r w:rsidRPr="00892F3C">
              <w:rPr>
                <w:rFonts w:ascii="Arial" w:hAnsi="Arial" w:cs="Arial"/>
                <w:b/>
              </w:rPr>
              <w:t>Recommend</w:t>
            </w:r>
            <w:r w:rsidRPr="00892F3C">
              <w:rPr>
                <w:rFonts w:ascii="Arial" w:hAnsi="Arial" w:cs="Arial"/>
                <w:bCs/>
              </w:rPr>
              <w:t xml:space="preserve"> the deletion of “and whether the designated institution can remove or mitigate them”.</w:t>
            </w:r>
          </w:p>
        </w:tc>
        <w:tc>
          <w:tcPr>
            <w:tcW w:w="6416" w:type="dxa"/>
            <w:shd w:val="clear" w:color="auto" w:fill="auto"/>
          </w:tcPr>
          <w:p w14:paraId="7E87F50B" w14:textId="3466B345" w:rsidR="005C3F13" w:rsidRPr="00712C14" w:rsidRDefault="00DE260F" w:rsidP="00DE260F">
            <w:pPr>
              <w:jc w:val="both"/>
              <w:rPr>
                <w:rFonts w:ascii="Arial" w:hAnsi="Arial" w:cs="Arial"/>
                <w:color w:val="000000" w:themeColor="text1"/>
                <w:lang w:val="en-GB"/>
              </w:rPr>
            </w:pPr>
            <w:r w:rsidRPr="00712C14">
              <w:rPr>
                <w:rFonts w:ascii="Arial" w:hAnsi="Arial" w:cs="Arial"/>
                <w:color w:val="000000" w:themeColor="text1"/>
                <w:lang w:val="en-GB"/>
              </w:rPr>
              <w:t>All interconnections</w:t>
            </w:r>
            <w:r w:rsidR="002142A1" w:rsidRPr="00712C14">
              <w:rPr>
                <w:rFonts w:ascii="Arial" w:hAnsi="Arial" w:cs="Arial"/>
                <w:color w:val="000000" w:themeColor="text1"/>
                <w:lang w:val="en-GB"/>
              </w:rPr>
              <w:t xml:space="preserve"> that the transfer perimeter has with the </w:t>
            </w:r>
            <w:r w:rsidR="00EF3F88" w:rsidRPr="00712C14">
              <w:rPr>
                <w:rFonts w:ascii="Arial" w:hAnsi="Arial" w:cs="Arial"/>
                <w:color w:val="000000" w:themeColor="text1"/>
                <w:lang w:val="en-GB"/>
              </w:rPr>
              <w:t xml:space="preserve">rest of the designated institution </w:t>
            </w:r>
            <w:proofErr w:type="gramStart"/>
            <w:r w:rsidR="00EF3F88" w:rsidRPr="00712C14">
              <w:rPr>
                <w:rFonts w:ascii="Arial" w:hAnsi="Arial" w:cs="Arial"/>
                <w:color w:val="000000" w:themeColor="text1"/>
                <w:lang w:val="en-GB"/>
              </w:rPr>
              <w:t>have to</w:t>
            </w:r>
            <w:proofErr w:type="gramEnd"/>
            <w:r w:rsidR="00EF3F88" w:rsidRPr="00712C14">
              <w:rPr>
                <w:rFonts w:ascii="Arial" w:hAnsi="Arial" w:cs="Arial"/>
                <w:color w:val="000000" w:themeColor="text1"/>
                <w:lang w:val="en-GB"/>
              </w:rPr>
              <w:t xml:space="preserve"> be dealt </w:t>
            </w:r>
            <w:r w:rsidR="00081540">
              <w:rPr>
                <w:rFonts w:ascii="Arial" w:hAnsi="Arial" w:cs="Arial"/>
                <w:color w:val="000000" w:themeColor="text1"/>
                <w:lang w:val="en-GB"/>
              </w:rPr>
              <w:t xml:space="preserve">with </w:t>
            </w:r>
            <w:r w:rsidR="00EF3F88" w:rsidRPr="00712C14">
              <w:rPr>
                <w:rFonts w:ascii="Arial" w:hAnsi="Arial" w:cs="Arial"/>
                <w:color w:val="000000" w:themeColor="text1"/>
                <w:lang w:val="en-GB"/>
              </w:rPr>
              <w:t xml:space="preserve">by </w:t>
            </w:r>
            <w:r w:rsidR="008075C0" w:rsidRPr="00712C14">
              <w:rPr>
                <w:rFonts w:ascii="Arial" w:hAnsi="Arial" w:cs="Arial"/>
                <w:color w:val="000000" w:themeColor="text1"/>
                <w:lang w:val="en-GB"/>
              </w:rPr>
              <w:t>remov</w:t>
            </w:r>
            <w:r w:rsidR="0006410A" w:rsidRPr="00712C14">
              <w:rPr>
                <w:rFonts w:ascii="Arial" w:hAnsi="Arial" w:cs="Arial"/>
                <w:color w:val="000000" w:themeColor="text1"/>
                <w:lang w:val="en-GB"/>
              </w:rPr>
              <w:t>al</w:t>
            </w:r>
            <w:r w:rsidR="008075C0" w:rsidRPr="00712C14">
              <w:rPr>
                <w:rFonts w:ascii="Arial" w:hAnsi="Arial" w:cs="Arial"/>
                <w:color w:val="000000" w:themeColor="text1"/>
                <w:lang w:val="en-GB"/>
              </w:rPr>
              <w:t>, mitigati</w:t>
            </w:r>
            <w:r w:rsidR="0006410A" w:rsidRPr="00712C14">
              <w:rPr>
                <w:rFonts w:ascii="Arial" w:hAnsi="Arial" w:cs="Arial"/>
                <w:color w:val="000000" w:themeColor="text1"/>
                <w:lang w:val="en-GB"/>
              </w:rPr>
              <w:t>on</w:t>
            </w:r>
            <w:r w:rsidR="008075C0" w:rsidRPr="00712C14">
              <w:rPr>
                <w:rFonts w:ascii="Arial" w:hAnsi="Arial" w:cs="Arial"/>
                <w:color w:val="000000" w:themeColor="text1"/>
                <w:lang w:val="en-GB"/>
              </w:rPr>
              <w:t xml:space="preserve"> or </w:t>
            </w:r>
            <w:r w:rsidR="0006410A" w:rsidRPr="00712C14">
              <w:rPr>
                <w:rFonts w:ascii="Arial" w:hAnsi="Arial" w:cs="Arial"/>
                <w:color w:val="000000" w:themeColor="text1"/>
                <w:lang w:val="en-GB"/>
              </w:rPr>
              <w:t xml:space="preserve">by </w:t>
            </w:r>
            <w:r w:rsidR="008075C0" w:rsidRPr="00712C14">
              <w:rPr>
                <w:rFonts w:ascii="Arial" w:hAnsi="Arial" w:cs="Arial"/>
                <w:color w:val="000000" w:themeColor="text1"/>
                <w:lang w:val="en-GB"/>
              </w:rPr>
              <w:t>including them as part of the perimeter to be transferred</w:t>
            </w:r>
            <w:r w:rsidR="0006410A" w:rsidRPr="00712C14">
              <w:rPr>
                <w:rFonts w:ascii="Arial" w:hAnsi="Arial" w:cs="Arial"/>
                <w:color w:val="000000" w:themeColor="text1"/>
                <w:lang w:val="en-GB"/>
              </w:rPr>
              <w:t xml:space="preserve"> (because they are too costly or too complex to </w:t>
            </w:r>
            <w:r w:rsidR="006566AF" w:rsidRPr="00712C14">
              <w:rPr>
                <w:rFonts w:ascii="Arial" w:hAnsi="Arial" w:cs="Arial"/>
                <w:color w:val="000000" w:themeColor="text1"/>
                <w:lang w:val="en-GB"/>
              </w:rPr>
              <w:t>remove or mitigate)</w:t>
            </w:r>
            <w:r w:rsidR="008075C0" w:rsidRPr="00712C14">
              <w:rPr>
                <w:rFonts w:ascii="Arial" w:hAnsi="Arial" w:cs="Arial"/>
                <w:color w:val="000000" w:themeColor="text1"/>
                <w:lang w:val="en-GB"/>
              </w:rPr>
              <w:t xml:space="preserve">. </w:t>
            </w:r>
          </w:p>
          <w:p w14:paraId="78227828" w14:textId="55426ED0" w:rsidR="00592BDD" w:rsidRPr="00DE260F" w:rsidRDefault="005C3F13" w:rsidP="0067475E">
            <w:pPr>
              <w:jc w:val="both"/>
              <w:rPr>
                <w:lang w:val="en-GB"/>
              </w:rPr>
            </w:pPr>
            <w:r w:rsidRPr="00712C14">
              <w:rPr>
                <w:rFonts w:ascii="Arial" w:hAnsi="Arial" w:cs="Arial"/>
                <w:color w:val="000000" w:themeColor="text1"/>
                <w:lang w:val="en-GB"/>
              </w:rPr>
              <w:t xml:space="preserve">The </w:t>
            </w:r>
            <w:r w:rsidR="00DA560E">
              <w:rPr>
                <w:rFonts w:ascii="Arial" w:hAnsi="Arial" w:cs="Arial"/>
                <w:color w:val="000000" w:themeColor="text1"/>
                <w:lang w:val="en-GB"/>
              </w:rPr>
              <w:t>Authorities</w:t>
            </w:r>
            <w:r w:rsidRPr="00712C14">
              <w:rPr>
                <w:rFonts w:ascii="Arial" w:hAnsi="Arial" w:cs="Arial"/>
                <w:color w:val="000000" w:themeColor="text1"/>
                <w:lang w:val="en-GB"/>
              </w:rPr>
              <w:t xml:space="preserve"> expanded on section 8.2(g) to simplify </w:t>
            </w:r>
            <w:r w:rsidR="00712C14" w:rsidRPr="00712C14">
              <w:rPr>
                <w:rFonts w:ascii="Arial" w:hAnsi="Arial" w:cs="Arial"/>
                <w:color w:val="000000" w:themeColor="text1"/>
                <w:lang w:val="en-GB"/>
              </w:rPr>
              <w:t>the requirement on how the designated institution can deal with the identified interconnections, depending on whether the interconnection is hard or soft</w:t>
            </w:r>
            <w:r w:rsidR="00712C14">
              <w:rPr>
                <w:rFonts w:ascii="Arial" w:hAnsi="Arial" w:cs="Arial"/>
                <w:color w:val="000000" w:themeColor="text1"/>
                <w:lang w:val="en-GB"/>
              </w:rPr>
              <w:t>.</w:t>
            </w:r>
          </w:p>
        </w:tc>
      </w:tr>
      <w:tr w:rsidR="00A459CC" w:rsidRPr="009D05E3" w14:paraId="0E8E3F4A" w14:textId="77777777" w:rsidTr="00515BD8">
        <w:tc>
          <w:tcPr>
            <w:tcW w:w="1886" w:type="dxa"/>
            <w:shd w:val="clear" w:color="auto" w:fill="auto"/>
          </w:tcPr>
          <w:p w14:paraId="7B70EEFC" w14:textId="10CEDA6E" w:rsidR="00A459CC" w:rsidRPr="00892F3C" w:rsidRDefault="008C3A29" w:rsidP="008C3A29">
            <w:pPr>
              <w:spacing w:after="0"/>
              <w:jc w:val="center"/>
              <w:rPr>
                <w:rFonts w:ascii="Arial" w:hAnsi="Arial" w:cs="Arial"/>
                <w:lang w:val="en-GB"/>
              </w:rPr>
            </w:pPr>
            <w:r w:rsidRPr="00892F3C">
              <w:rPr>
                <w:rFonts w:ascii="Arial" w:hAnsi="Arial" w:cs="Arial"/>
                <w:lang w:val="en-GB"/>
              </w:rPr>
              <w:t>88</w:t>
            </w:r>
          </w:p>
        </w:tc>
        <w:tc>
          <w:tcPr>
            <w:tcW w:w="2078" w:type="dxa"/>
          </w:tcPr>
          <w:p w14:paraId="368D46B6" w14:textId="06A22186"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64DE960C" w14:textId="001B555F" w:rsidR="00A459CC" w:rsidRPr="00892F3C" w:rsidRDefault="00A459CC" w:rsidP="00005246">
            <w:pPr>
              <w:spacing w:after="0" w:line="240" w:lineRule="auto"/>
              <w:jc w:val="both"/>
              <w:rPr>
                <w:rFonts w:ascii="Arial" w:hAnsi="Arial" w:cs="Arial"/>
                <w:bCs/>
              </w:rPr>
            </w:pPr>
            <w:r w:rsidRPr="00892F3C">
              <w:rPr>
                <w:rFonts w:ascii="Arial" w:hAnsi="Arial" w:cs="Arial"/>
                <w:bCs/>
              </w:rPr>
              <w:t>8.3</w:t>
            </w:r>
          </w:p>
        </w:tc>
        <w:tc>
          <w:tcPr>
            <w:tcW w:w="7903" w:type="dxa"/>
          </w:tcPr>
          <w:p w14:paraId="4276B5D4" w14:textId="77777777" w:rsidR="00A459CC" w:rsidRPr="00DC5607" w:rsidRDefault="00A459CC" w:rsidP="00007745">
            <w:pPr>
              <w:jc w:val="both"/>
              <w:rPr>
                <w:rFonts w:ascii="Arial" w:hAnsi="Arial" w:cs="Arial"/>
                <w:bCs/>
                <w:color w:val="000000" w:themeColor="text1"/>
              </w:rPr>
            </w:pPr>
            <w:r w:rsidRPr="00DC5607">
              <w:rPr>
                <w:rFonts w:ascii="Arial" w:hAnsi="Arial" w:cs="Arial"/>
                <w:b/>
                <w:color w:val="000000" w:themeColor="text1"/>
              </w:rPr>
              <w:t>Recommended</w:t>
            </w:r>
            <w:r w:rsidRPr="00DC5607">
              <w:rPr>
                <w:rFonts w:ascii="Arial" w:hAnsi="Arial" w:cs="Arial"/>
                <w:bCs/>
                <w:color w:val="000000" w:themeColor="text1"/>
              </w:rPr>
              <w:t xml:space="preserve"> that this only be a requirement when a residual institution (critical and / or core business lines within the perimeter) that is expected to be a going concern is contemplated in the Resolution Plan of the designated institution. </w:t>
            </w:r>
          </w:p>
          <w:p w14:paraId="5F2A5404" w14:textId="77777777" w:rsidR="00A459CC" w:rsidRPr="00892F3C" w:rsidRDefault="00A459CC" w:rsidP="00007745">
            <w:pPr>
              <w:jc w:val="both"/>
              <w:rPr>
                <w:rFonts w:ascii="Arial" w:hAnsi="Arial" w:cs="Arial"/>
                <w:bCs/>
              </w:rPr>
            </w:pPr>
            <w:r w:rsidRPr="00892F3C">
              <w:rPr>
                <w:rFonts w:ascii="Arial" w:hAnsi="Arial" w:cs="Arial"/>
                <w:b/>
              </w:rPr>
              <w:t>Clarify</w:t>
            </w:r>
            <w:r w:rsidRPr="00892F3C">
              <w:rPr>
                <w:rFonts w:ascii="Arial" w:hAnsi="Arial" w:cs="Arial"/>
                <w:bCs/>
              </w:rPr>
              <w:t xml:space="preserve"> what needs to be included in the financial analysis (i.e., portfolios, segments, etc). </w:t>
            </w:r>
          </w:p>
          <w:p w14:paraId="4A2F33B5" w14:textId="75E5FAA9" w:rsidR="00A459CC" w:rsidRPr="00892F3C" w:rsidRDefault="00A459CC" w:rsidP="00A459CC">
            <w:pPr>
              <w:jc w:val="both"/>
              <w:rPr>
                <w:rFonts w:ascii="Arial" w:hAnsi="Arial" w:cs="Arial"/>
                <w:bCs/>
              </w:rPr>
            </w:pPr>
            <w:r w:rsidRPr="00892F3C">
              <w:rPr>
                <w:rFonts w:ascii="Arial" w:hAnsi="Arial" w:cs="Arial"/>
                <w:bCs/>
              </w:rPr>
              <w:t xml:space="preserve">In addition, section 8.3 suggests detailed financial analysis and compiling a business plan covering separation cost as well. It should be noted that a business plan will change according to the set of events resulting in needing to </w:t>
            </w:r>
            <w:r w:rsidRPr="00892F3C">
              <w:rPr>
                <w:rFonts w:ascii="Arial" w:hAnsi="Arial" w:cs="Arial"/>
                <w:bCs/>
              </w:rPr>
              <w:lastRenderedPageBreak/>
              <w:t>dispose of assets as well as be dependent on state of other institutions which makes this challenging to achieve.</w:t>
            </w:r>
          </w:p>
        </w:tc>
        <w:tc>
          <w:tcPr>
            <w:tcW w:w="6416" w:type="dxa"/>
            <w:shd w:val="clear" w:color="auto" w:fill="auto"/>
          </w:tcPr>
          <w:p w14:paraId="3AA7644F" w14:textId="3592F40B" w:rsidR="00A459CC" w:rsidRDefault="002A2F10" w:rsidP="009A0286">
            <w:pPr>
              <w:jc w:val="both"/>
              <w:rPr>
                <w:rFonts w:ascii="Arial" w:hAnsi="Arial" w:cs="Arial"/>
                <w:lang w:val="en-GB"/>
              </w:rPr>
            </w:pPr>
            <w:r>
              <w:rPr>
                <w:rFonts w:ascii="Arial" w:hAnsi="Arial" w:cs="Arial"/>
                <w:lang w:val="en-GB"/>
              </w:rPr>
              <w:lastRenderedPageBreak/>
              <w:t>Th</w:t>
            </w:r>
            <w:r w:rsidR="005A76AA">
              <w:rPr>
                <w:rFonts w:ascii="Arial" w:hAnsi="Arial" w:cs="Arial"/>
                <w:lang w:val="en-GB"/>
              </w:rPr>
              <w:t>e purpose of the Standard is to cover all transfers (whole or partial) across all resolution strategies.</w:t>
            </w:r>
            <w:r w:rsidR="00367523">
              <w:rPr>
                <w:rFonts w:ascii="Arial" w:hAnsi="Arial" w:cs="Arial"/>
                <w:lang w:val="en-GB"/>
              </w:rPr>
              <w:t xml:space="preserve"> </w:t>
            </w:r>
          </w:p>
          <w:p w14:paraId="06B86E6B" w14:textId="5AF1FE6F" w:rsidR="005C0908" w:rsidRDefault="005C0908" w:rsidP="009A0286">
            <w:pPr>
              <w:jc w:val="both"/>
              <w:rPr>
                <w:rFonts w:ascii="Arial" w:hAnsi="Arial" w:cs="Arial"/>
                <w:lang w:val="en-GB"/>
              </w:rPr>
            </w:pPr>
            <w:r>
              <w:rPr>
                <w:rFonts w:ascii="Arial" w:hAnsi="Arial" w:cs="Arial"/>
                <w:lang w:val="en-GB"/>
              </w:rPr>
              <w:t xml:space="preserve">A residual institution will </w:t>
            </w:r>
            <w:r w:rsidR="00674607">
              <w:rPr>
                <w:rFonts w:ascii="Arial" w:hAnsi="Arial" w:cs="Arial"/>
                <w:lang w:val="en-GB"/>
              </w:rPr>
              <w:t>b</w:t>
            </w:r>
            <w:r>
              <w:rPr>
                <w:rFonts w:ascii="Arial" w:hAnsi="Arial" w:cs="Arial"/>
                <w:lang w:val="en-GB"/>
              </w:rPr>
              <w:t xml:space="preserve">e </w:t>
            </w:r>
            <w:r w:rsidR="00674607">
              <w:rPr>
                <w:rFonts w:ascii="Arial" w:hAnsi="Arial" w:cs="Arial"/>
                <w:lang w:val="en-GB"/>
              </w:rPr>
              <w:t>subject</w:t>
            </w:r>
            <w:r>
              <w:rPr>
                <w:rFonts w:ascii="Arial" w:hAnsi="Arial" w:cs="Arial"/>
                <w:lang w:val="en-GB"/>
              </w:rPr>
              <w:t xml:space="preserve"> to liquidation or an orderly </w:t>
            </w:r>
            <w:r w:rsidR="00674607">
              <w:rPr>
                <w:rFonts w:ascii="Arial" w:hAnsi="Arial" w:cs="Arial"/>
                <w:lang w:val="en-GB"/>
              </w:rPr>
              <w:t>wind</w:t>
            </w:r>
            <w:r>
              <w:rPr>
                <w:rFonts w:ascii="Arial" w:hAnsi="Arial" w:cs="Arial"/>
                <w:lang w:val="en-GB"/>
              </w:rPr>
              <w:t xml:space="preserve">-down as per </w:t>
            </w:r>
            <w:r w:rsidR="00674607">
              <w:rPr>
                <w:rFonts w:ascii="Arial" w:hAnsi="Arial" w:cs="Arial"/>
                <w:lang w:val="en-GB"/>
              </w:rPr>
              <w:t>the definitions under section 3 of the Standard.</w:t>
            </w:r>
          </w:p>
          <w:p w14:paraId="12884685" w14:textId="77777777" w:rsidR="009A0286" w:rsidRDefault="00F023DB" w:rsidP="009A0286">
            <w:pPr>
              <w:jc w:val="both"/>
              <w:rPr>
                <w:rFonts w:ascii="Arial" w:hAnsi="Arial" w:cs="Arial"/>
                <w:lang w:val="en-GB"/>
              </w:rPr>
            </w:pPr>
            <w:r>
              <w:rPr>
                <w:rFonts w:ascii="Arial" w:hAnsi="Arial" w:cs="Arial"/>
                <w:lang w:val="en-GB"/>
              </w:rPr>
              <w:t xml:space="preserve">Section </w:t>
            </w:r>
            <w:r w:rsidR="00722AF6">
              <w:rPr>
                <w:rFonts w:ascii="Arial" w:hAnsi="Arial" w:cs="Arial"/>
                <w:lang w:val="en-GB"/>
              </w:rPr>
              <w:t>8.3(a)(</w:t>
            </w:r>
            <w:proofErr w:type="spellStart"/>
            <w:r w:rsidR="00722AF6">
              <w:rPr>
                <w:rFonts w:ascii="Arial" w:hAnsi="Arial" w:cs="Arial"/>
                <w:lang w:val="en-GB"/>
              </w:rPr>
              <w:t>i</w:t>
            </w:r>
            <w:proofErr w:type="spellEnd"/>
            <w:r w:rsidR="00722AF6">
              <w:rPr>
                <w:rFonts w:ascii="Arial" w:hAnsi="Arial" w:cs="Arial"/>
                <w:lang w:val="en-GB"/>
              </w:rPr>
              <w:t>) to (iv) details what should be included in the analysis as a minimum.</w:t>
            </w:r>
          </w:p>
          <w:p w14:paraId="0FDF8F6F" w14:textId="70A20A29" w:rsidR="003E0721" w:rsidRPr="009A0286" w:rsidRDefault="00C41509" w:rsidP="009A0286">
            <w:pPr>
              <w:jc w:val="both"/>
              <w:rPr>
                <w:rFonts w:ascii="Arial" w:hAnsi="Arial" w:cs="Arial"/>
                <w:lang w:val="en-GB"/>
              </w:rPr>
            </w:pPr>
            <w:r>
              <w:rPr>
                <w:rFonts w:ascii="Arial" w:hAnsi="Arial" w:cs="Arial"/>
                <w:lang w:val="en-GB"/>
              </w:rPr>
              <w:t>The Authorities d</w:t>
            </w:r>
            <w:r w:rsidR="003E0721">
              <w:rPr>
                <w:rFonts w:ascii="Arial" w:hAnsi="Arial" w:cs="Arial"/>
                <w:lang w:val="en-GB"/>
              </w:rPr>
              <w:t>isagree with the recommendation.</w:t>
            </w:r>
          </w:p>
        </w:tc>
      </w:tr>
      <w:tr w:rsidR="00A459CC" w:rsidRPr="009D05E3" w14:paraId="10855D16" w14:textId="77777777" w:rsidTr="00515BD8">
        <w:tc>
          <w:tcPr>
            <w:tcW w:w="1886" w:type="dxa"/>
            <w:shd w:val="clear" w:color="auto" w:fill="auto"/>
          </w:tcPr>
          <w:p w14:paraId="021EA293" w14:textId="578E888F" w:rsidR="00A459CC" w:rsidRPr="00892F3C" w:rsidRDefault="008C3A29" w:rsidP="008C3A29">
            <w:pPr>
              <w:spacing w:after="0"/>
              <w:jc w:val="center"/>
              <w:rPr>
                <w:rFonts w:ascii="Arial" w:hAnsi="Arial" w:cs="Arial"/>
                <w:lang w:val="en-GB"/>
              </w:rPr>
            </w:pPr>
            <w:r w:rsidRPr="00892F3C">
              <w:rPr>
                <w:rFonts w:ascii="Arial" w:hAnsi="Arial" w:cs="Arial"/>
                <w:lang w:val="en-GB"/>
              </w:rPr>
              <w:lastRenderedPageBreak/>
              <w:t>89</w:t>
            </w:r>
          </w:p>
        </w:tc>
        <w:tc>
          <w:tcPr>
            <w:tcW w:w="2078" w:type="dxa"/>
          </w:tcPr>
          <w:p w14:paraId="6C4F86B7" w14:textId="14ECD112"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41F005DB" w14:textId="1A5A1862" w:rsidR="00A459CC" w:rsidRPr="00892F3C" w:rsidRDefault="00A459CC" w:rsidP="00005246">
            <w:pPr>
              <w:spacing w:after="0" w:line="240" w:lineRule="auto"/>
              <w:jc w:val="both"/>
              <w:rPr>
                <w:rFonts w:ascii="Arial" w:hAnsi="Arial" w:cs="Arial"/>
                <w:bCs/>
              </w:rPr>
            </w:pPr>
            <w:r w:rsidRPr="00892F3C">
              <w:rPr>
                <w:rFonts w:ascii="Arial" w:hAnsi="Arial" w:cs="Arial"/>
                <w:bCs/>
              </w:rPr>
              <w:t>8.3(a)</w:t>
            </w:r>
          </w:p>
        </w:tc>
        <w:tc>
          <w:tcPr>
            <w:tcW w:w="7903" w:type="dxa"/>
          </w:tcPr>
          <w:p w14:paraId="6A35F2B9" w14:textId="77777777" w:rsidR="00962791" w:rsidRDefault="00A459CC" w:rsidP="00A459CC">
            <w:pPr>
              <w:jc w:val="both"/>
              <w:rPr>
                <w:rFonts w:ascii="Arial" w:hAnsi="Arial" w:cs="Arial"/>
                <w:bCs/>
              </w:rPr>
            </w:pPr>
            <w:r w:rsidRPr="00892F3C">
              <w:rPr>
                <w:rFonts w:ascii="Arial" w:hAnsi="Arial" w:cs="Arial"/>
                <w:b/>
              </w:rPr>
              <w:t>Clarify</w:t>
            </w:r>
            <w:r w:rsidRPr="00892F3C">
              <w:rPr>
                <w:rFonts w:ascii="Arial" w:hAnsi="Arial" w:cs="Arial"/>
                <w:bCs/>
              </w:rPr>
              <w:t xml:space="preserve"> the purpose of including historical sources of funding in the financial analysis and business plan. Should a funding plan be required for future/resolution sources of funding, consideration should be given to the Recovery Plan which encompasses available sources of funding under a stress. </w:t>
            </w:r>
          </w:p>
          <w:p w14:paraId="301D7834" w14:textId="2E5E141A" w:rsidR="00A459CC" w:rsidRPr="00892F3C" w:rsidRDefault="00A459CC" w:rsidP="00A459CC">
            <w:pPr>
              <w:jc w:val="both"/>
              <w:rPr>
                <w:rFonts w:ascii="Arial" w:hAnsi="Arial" w:cs="Arial"/>
                <w:bCs/>
              </w:rPr>
            </w:pPr>
            <w:r w:rsidRPr="00892F3C">
              <w:rPr>
                <w:rFonts w:ascii="Arial" w:hAnsi="Arial" w:cs="Arial"/>
                <w:bCs/>
              </w:rPr>
              <w:t xml:space="preserve">The nature and severity of the stress event which leads to the invocation of the Recovery Plan, will determine the extent of utilisation of sources of funding, with the residual amount that can potentially be available in resolution being difficult to ascertain at this stage. Considering this, </w:t>
            </w:r>
            <w:r w:rsidRPr="00892F3C">
              <w:rPr>
                <w:rFonts w:ascii="Arial" w:hAnsi="Arial" w:cs="Arial"/>
                <w:b/>
              </w:rPr>
              <w:t>recommend</w:t>
            </w:r>
            <w:r w:rsidRPr="00892F3C">
              <w:rPr>
                <w:rFonts w:ascii="Arial" w:hAnsi="Arial" w:cs="Arial"/>
                <w:bCs/>
              </w:rPr>
              <w:t xml:space="preserve"> guidance on how to determine the potential funding sources in resolution.</w:t>
            </w:r>
          </w:p>
        </w:tc>
        <w:tc>
          <w:tcPr>
            <w:tcW w:w="6416" w:type="dxa"/>
            <w:shd w:val="clear" w:color="auto" w:fill="auto"/>
          </w:tcPr>
          <w:p w14:paraId="08BEEA94" w14:textId="327480B4" w:rsidR="00A459CC" w:rsidRPr="0041531F" w:rsidRDefault="006C0C5F" w:rsidP="00547F5D">
            <w:pPr>
              <w:jc w:val="both"/>
              <w:rPr>
                <w:rFonts w:ascii="Arial" w:hAnsi="Arial" w:cs="Arial"/>
                <w:color w:val="000000" w:themeColor="text1"/>
                <w:lang w:val="en-GB"/>
              </w:rPr>
            </w:pPr>
            <w:r w:rsidRPr="0041531F">
              <w:rPr>
                <w:rFonts w:ascii="Arial" w:hAnsi="Arial" w:cs="Arial"/>
                <w:color w:val="000000" w:themeColor="text1"/>
                <w:lang w:val="en-GB"/>
              </w:rPr>
              <w:t xml:space="preserve">Section </w:t>
            </w:r>
            <w:r w:rsidR="0090255E" w:rsidRPr="0041531F">
              <w:rPr>
                <w:rFonts w:ascii="Arial" w:hAnsi="Arial" w:cs="Arial"/>
                <w:color w:val="000000" w:themeColor="text1"/>
                <w:lang w:val="en-GB"/>
              </w:rPr>
              <w:t xml:space="preserve">8.3(a)(iv) </w:t>
            </w:r>
            <w:r w:rsidR="00D85F11" w:rsidRPr="0041531F">
              <w:rPr>
                <w:rFonts w:ascii="Arial" w:hAnsi="Arial" w:cs="Arial"/>
                <w:color w:val="000000" w:themeColor="text1"/>
                <w:lang w:val="en-GB"/>
              </w:rPr>
              <w:t>requires</w:t>
            </w:r>
            <w:r w:rsidR="0090255E" w:rsidRPr="0041531F">
              <w:rPr>
                <w:rFonts w:ascii="Arial" w:hAnsi="Arial" w:cs="Arial"/>
                <w:color w:val="000000" w:themeColor="text1"/>
                <w:lang w:val="en-GB"/>
              </w:rPr>
              <w:t xml:space="preserve"> the designated institution to include capitalisation and </w:t>
            </w:r>
            <w:r w:rsidR="00D85F11" w:rsidRPr="0041531F">
              <w:rPr>
                <w:rFonts w:ascii="Arial" w:hAnsi="Arial" w:cs="Arial"/>
                <w:color w:val="000000" w:themeColor="text1"/>
                <w:lang w:val="en-GB"/>
              </w:rPr>
              <w:t>liquidity</w:t>
            </w:r>
            <w:r w:rsidR="00CB55E3" w:rsidRPr="0041531F">
              <w:rPr>
                <w:rFonts w:ascii="Arial" w:hAnsi="Arial" w:cs="Arial"/>
                <w:color w:val="000000" w:themeColor="text1"/>
                <w:lang w:val="en-GB"/>
              </w:rPr>
              <w:t xml:space="preserve"> and/or </w:t>
            </w:r>
            <w:r w:rsidR="0090255E" w:rsidRPr="0041531F">
              <w:rPr>
                <w:rFonts w:ascii="Arial" w:hAnsi="Arial" w:cs="Arial"/>
                <w:color w:val="000000" w:themeColor="text1"/>
                <w:lang w:val="en-GB"/>
              </w:rPr>
              <w:t xml:space="preserve">funding of the </w:t>
            </w:r>
            <w:r w:rsidR="0090255E" w:rsidRPr="0041531F">
              <w:rPr>
                <w:rFonts w:ascii="Arial" w:hAnsi="Arial" w:cs="Arial"/>
                <w:b/>
                <w:bCs/>
                <w:color w:val="000000" w:themeColor="text1"/>
                <w:lang w:val="en-GB"/>
              </w:rPr>
              <w:t>transfer perimeter</w:t>
            </w:r>
            <w:r w:rsidR="0090255E" w:rsidRPr="0041531F">
              <w:rPr>
                <w:rFonts w:ascii="Arial" w:hAnsi="Arial" w:cs="Arial"/>
                <w:color w:val="000000" w:themeColor="text1"/>
                <w:lang w:val="en-GB"/>
              </w:rPr>
              <w:t xml:space="preserve"> (including</w:t>
            </w:r>
            <w:r w:rsidR="00963418" w:rsidRPr="0041531F">
              <w:rPr>
                <w:rFonts w:ascii="Arial" w:hAnsi="Arial" w:cs="Arial"/>
                <w:color w:val="000000" w:themeColor="text1"/>
                <w:lang w:val="en-GB"/>
              </w:rPr>
              <w:t xml:space="preserve"> potential</w:t>
            </w:r>
            <w:r w:rsidR="0090255E" w:rsidRPr="0041531F">
              <w:rPr>
                <w:rFonts w:ascii="Arial" w:hAnsi="Arial" w:cs="Arial"/>
                <w:color w:val="000000" w:themeColor="text1"/>
                <w:lang w:val="en-GB"/>
              </w:rPr>
              <w:t xml:space="preserve"> sources of funding).</w:t>
            </w:r>
            <w:r w:rsidR="00094EDB" w:rsidRPr="0041531F">
              <w:rPr>
                <w:rFonts w:ascii="Arial" w:hAnsi="Arial" w:cs="Arial"/>
                <w:color w:val="000000" w:themeColor="text1"/>
                <w:lang w:val="en-GB"/>
              </w:rPr>
              <w:t xml:space="preserve"> </w:t>
            </w:r>
          </w:p>
          <w:p w14:paraId="60839F96" w14:textId="08D39B6B" w:rsidR="00F412E6" w:rsidRPr="0041531F" w:rsidRDefault="00F412E6" w:rsidP="00547F5D">
            <w:pPr>
              <w:jc w:val="both"/>
              <w:rPr>
                <w:rFonts w:ascii="Arial" w:hAnsi="Arial" w:cs="Arial"/>
                <w:color w:val="000000" w:themeColor="text1"/>
                <w:lang w:val="en-GB"/>
              </w:rPr>
            </w:pPr>
            <w:r w:rsidRPr="0041531F">
              <w:rPr>
                <w:rFonts w:ascii="Arial" w:hAnsi="Arial" w:cs="Arial"/>
                <w:color w:val="000000" w:themeColor="text1"/>
                <w:lang w:val="en-GB"/>
              </w:rPr>
              <w:t>Th</w:t>
            </w:r>
            <w:r w:rsidR="0004344B" w:rsidRPr="0041531F">
              <w:rPr>
                <w:rFonts w:ascii="Arial" w:hAnsi="Arial" w:cs="Arial"/>
                <w:color w:val="000000" w:themeColor="text1"/>
                <w:lang w:val="en-GB"/>
              </w:rPr>
              <w:t>e</w:t>
            </w:r>
            <w:r w:rsidRPr="0041531F">
              <w:rPr>
                <w:rFonts w:ascii="Arial" w:hAnsi="Arial" w:cs="Arial"/>
                <w:color w:val="000000" w:themeColor="text1"/>
                <w:lang w:val="en-GB"/>
              </w:rPr>
              <w:t xml:space="preserve"> </w:t>
            </w:r>
            <w:r w:rsidR="0009113D">
              <w:rPr>
                <w:rFonts w:ascii="Arial" w:hAnsi="Arial" w:cs="Arial"/>
                <w:color w:val="000000" w:themeColor="text1"/>
                <w:lang w:val="en-GB"/>
              </w:rPr>
              <w:t xml:space="preserve">transfer </w:t>
            </w:r>
            <w:r w:rsidRPr="0041531F">
              <w:rPr>
                <w:rFonts w:ascii="Arial" w:hAnsi="Arial" w:cs="Arial"/>
                <w:color w:val="000000" w:themeColor="text1"/>
                <w:lang w:val="en-GB"/>
              </w:rPr>
              <w:t xml:space="preserve">perimeter is what will be </w:t>
            </w:r>
            <w:r w:rsidR="00CB55E3" w:rsidRPr="0041531F">
              <w:rPr>
                <w:rFonts w:ascii="Arial" w:hAnsi="Arial" w:cs="Arial"/>
                <w:color w:val="000000" w:themeColor="text1"/>
                <w:lang w:val="en-GB"/>
              </w:rPr>
              <w:t>transferred out</w:t>
            </w:r>
            <w:r w:rsidR="00201837" w:rsidRPr="0041531F">
              <w:rPr>
                <w:rFonts w:ascii="Arial" w:hAnsi="Arial" w:cs="Arial"/>
                <w:color w:val="000000" w:themeColor="text1"/>
                <w:lang w:val="en-GB"/>
              </w:rPr>
              <w:t xml:space="preserve"> </w:t>
            </w:r>
            <w:r w:rsidRPr="0041531F">
              <w:rPr>
                <w:rFonts w:ascii="Arial" w:hAnsi="Arial" w:cs="Arial"/>
                <w:color w:val="000000" w:themeColor="text1"/>
                <w:lang w:val="en-GB"/>
              </w:rPr>
              <w:t xml:space="preserve">to a third </w:t>
            </w:r>
            <w:r w:rsidR="0025524E" w:rsidRPr="0041531F">
              <w:rPr>
                <w:rFonts w:ascii="Arial" w:hAnsi="Arial" w:cs="Arial"/>
                <w:color w:val="000000" w:themeColor="text1"/>
                <w:lang w:val="en-GB"/>
              </w:rPr>
              <w:t>party</w:t>
            </w:r>
            <w:r w:rsidR="00201837" w:rsidRPr="0041531F">
              <w:rPr>
                <w:rFonts w:ascii="Arial" w:hAnsi="Arial" w:cs="Arial"/>
                <w:color w:val="000000" w:themeColor="text1"/>
                <w:lang w:val="en-GB"/>
              </w:rPr>
              <w:t xml:space="preserve"> (</w:t>
            </w:r>
            <w:r w:rsidRPr="0041531F">
              <w:rPr>
                <w:rFonts w:ascii="Arial" w:hAnsi="Arial" w:cs="Arial"/>
                <w:color w:val="000000" w:themeColor="text1"/>
                <w:lang w:val="en-GB"/>
              </w:rPr>
              <w:t>be it a new acquiring entity or a bridge institution</w:t>
            </w:r>
            <w:r w:rsidR="00201837" w:rsidRPr="0041531F">
              <w:rPr>
                <w:rFonts w:ascii="Arial" w:hAnsi="Arial" w:cs="Arial"/>
                <w:color w:val="000000" w:themeColor="text1"/>
                <w:lang w:val="en-GB"/>
              </w:rPr>
              <w:t>) t</w:t>
            </w:r>
            <w:r w:rsidR="00BF176B" w:rsidRPr="0041531F">
              <w:rPr>
                <w:rFonts w:ascii="Arial" w:hAnsi="Arial" w:cs="Arial"/>
                <w:color w:val="000000" w:themeColor="text1"/>
                <w:lang w:val="en-GB"/>
              </w:rPr>
              <w:t>herefore,</w:t>
            </w:r>
            <w:r w:rsidRPr="0041531F">
              <w:rPr>
                <w:rFonts w:ascii="Arial" w:hAnsi="Arial" w:cs="Arial"/>
                <w:color w:val="000000" w:themeColor="text1"/>
                <w:lang w:val="en-GB"/>
              </w:rPr>
              <w:t xml:space="preserve"> the understanding of the capitalisation </w:t>
            </w:r>
            <w:r w:rsidR="000D7E70" w:rsidRPr="0041531F">
              <w:rPr>
                <w:rFonts w:ascii="Arial" w:hAnsi="Arial" w:cs="Arial"/>
                <w:color w:val="000000" w:themeColor="text1"/>
                <w:lang w:val="en-GB"/>
              </w:rPr>
              <w:t>and</w:t>
            </w:r>
            <w:r w:rsidRPr="0041531F">
              <w:rPr>
                <w:rFonts w:ascii="Arial" w:hAnsi="Arial" w:cs="Arial"/>
                <w:color w:val="000000" w:themeColor="text1"/>
                <w:lang w:val="en-GB"/>
              </w:rPr>
              <w:t xml:space="preserve"> </w:t>
            </w:r>
            <w:r w:rsidR="0004344B" w:rsidRPr="0041531F">
              <w:rPr>
                <w:rFonts w:ascii="Arial" w:hAnsi="Arial" w:cs="Arial"/>
                <w:color w:val="000000" w:themeColor="text1"/>
                <w:lang w:val="en-GB"/>
              </w:rPr>
              <w:t>liquidity/</w:t>
            </w:r>
            <w:r w:rsidR="00BF176B" w:rsidRPr="0041531F">
              <w:rPr>
                <w:rFonts w:ascii="Arial" w:hAnsi="Arial" w:cs="Arial"/>
                <w:color w:val="000000" w:themeColor="text1"/>
                <w:lang w:val="en-GB"/>
              </w:rPr>
              <w:t xml:space="preserve">funding </w:t>
            </w:r>
            <w:r w:rsidR="00D35E0D" w:rsidRPr="0041531F">
              <w:rPr>
                <w:rFonts w:ascii="Arial" w:hAnsi="Arial" w:cs="Arial"/>
                <w:color w:val="000000" w:themeColor="text1"/>
                <w:lang w:val="en-GB"/>
              </w:rPr>
              <w:t>needs</w:t>
            </w:r>
            <w:r w:rsidR="0004344B" w:rsidRPr="0041531F">
              <w:rPr>
                <w:rFonts w:ascii="Arial" w:hAnsi="Arial" w:cs="Arial"/>
                <w:color w:val="000000" w:themeColor="text1"/>
                <w:lang w:val="en-GB"/>
              </w:rPr>
              <w:t xml:space="preserve"> </w:t>
            </w:r>
            <w:r w:rsidR="00D35E0D" w:rsidRPr="0041531F">
              <w:rPr>
                <w:rFonts w:ascii="Arial" w:hAnsi="Arial" w:cs="Arial"/>
                <w:color w:val="000000" w:themeColor="text1"/>
                <w:lang w:val="en-GB"/>
              </w:rPr>
              <w:t>of</w:t>
            </w:r>
            <w:r w:rsidR="000D7E70" w:rsidRPr="0041531F">
              <w:rPr>
                <w:rFonts w:ascii="Arial" w:hAnsi="Arial" w:cs="Arial"/>
                <w:color w:val="000000" w:themeColor="text1"/>
                <w:lang w:val="en-GB"/>
              </w:rPr>
              <w:t xml:space="preserve"> the transfer perimeter </w:t>
            </w:r>
            <w:r w:rsidR="0025524E" w:rsidRPr="0041531F">
              <w:rPr>
                <w:rFonts w:ascii="Arial" w:hAnsi="Arial" w:cs="Arial"/>
                <w:color w:val="000000" w:themeColor="text1"/>
                <w:lang w:val="en-GB"/>
              </w:rPr>
              <w:t xml:space="preserve">is </w:t>
            </w:r>
            <w:r w:rsidR="00CB55E3" w:rsidRPr="0041531F">
              <w:rPr>
                <w:rFonts w:ascii="Arial" w:hAnsi="Arial" w:cs="Arial"/>
                <w:color w:val="000000" w:themeColor="text1"/>
                <w:lang w:val="en-GB"/>
              </w:rPr>
              <w:t xml:space="preserve">of </w:t>
            </w:r>
            <w:r w:rsidR="0004344B" w:rsidRPr="0041531F">
              <w:rPr>
                <w:rFonts w:ascii="Arial" w:hAnsi="Arial" w:cs="Arial"/>
                <w:color w:val="000000" w:themeColor="text1"/>
                <w:lang w:val="en-GB"/>
              </w:rPr>
              <w:t>importan</w:t>
            </w:r>
            <w:r w:rsidR="00CB55E3" w:rsidRPr="0041531F">
              <w:rPr>
                <w:rFonts w:ascii="Arial" w:hAnsi="Arial" w:cs="Arial"/>
                <w:color w:val="000000" w:themeColor="text1"/>
                <w:lang w:val="en-GB"/>
              </w:rPr>
              <w:t>ce</w:t>
            </w:r>
            <w:r w:rsidR="0004344B" w:rsidRPr="0041531F">
              <w:rPr>
                <w:rFonts w:ascii="Arial" w:hAnsi="Arial" w:cs="Arial"/>
                <w:color w:val="000000" w:themeColor="text1"/>
                <w:lang w:val="en-GB"/>
              </w:rPr>
              <w:t xml:space="preserve"> </w:t>
            </w:r>
            <w:r w:rsidR="0025524E" w:rsidRPr="0041531F">
              <w:rPr>
                <w:rFonts w:ascii="Arial" w:hAnsi="Arial" w:cs="Arial"/>
                <w:color w:val="000000" w:themeColor="text1"/>
                <w:lang w:val="en-GB"/>
              </w:rPr>
              <w:t>for the acquirer and for the R</w:t>
            </w:r>
            <w:r w:rsidR="00397183" w:rsidRPr="0041531F">
              <w:rPr>
                <w:rFonts w:ascii="Arial" w:hAnsi="Arial" w:cs="Arial"/>
                <w:color w:val="000000" w:themeColor="text1"/>
                <w:lang w:val="en-GB"/>
              </w:rPr>
              <w:t>esolution Authority</w:t>
            </w:r>
            <w:r w:rsidR="005E4E8E" w:rsidRPr="0041531F">
              <w:rPr>
                <w:rFonts w:ascii="Arial" w:hAnsi="Arial" w:cs="Arial"/>
                <w:color w:val="000000" w:themeColor="text1"/>
                <w:lang w:val="en-GB"/>
              </w:rPr>
              <w:t>’s assessment</w:t>
            </w:r>
            <w:r w:rsidR="00E32520" w:rsidRPr="0041531F">
              <w:rPr>
                <w:rFonts w:ascii="Arial" w:hAnsi="Arial" w:cs="Arial"/>
                <w:color w:val="000000" w:themeColor="text1"/>
                <w:lang w:val="en-GB"/>
              </w:rPr>
              <w:t xml:space="preserve"> for the perimeter to continue operating post separation from the rest of the designated institution.</w:t>
            </w:r>
          </w:p>
          <w:p w14:paraId="4EEDB874" w14:textId="38FDFE9C" w:rsidR="00F06979" w:rsidRDefault="00397183" w:rsidP="00397183">
            <w:pPr>
              <w:jc w:val="both"/>
              <w:rPr>
                <w:rFonts w:ascii="Arial" w:hAnsi="Arial" w:cs="Arial"/>
                <w:color w:val="000000" w:themeColor="text1"/>
                <w:lang w:val="en-GB"/>
              </w:rPr>
            </w:pPr>
            <w:r w:rsidRPr="0041531F">
              <w:rPr>
                <w:rFonts w:ascii="Arial" w:hAnsi="Arial" w:cs="Arial"/>
                <w:color w:val="000000" w:themeColor="text1"/>
                <w:lang w:val="en-GB"/>
              </w:rPr>
              <w:t>The requirement should not be determined on what the designated institution has or not at any point intime, but rather what the needs of the transfer p</w:t>
            </w:r>
            <w:r w:rsidR="00BA12D7">
              <w:rPr>
                <w:rFonts w:ascii="Arial" w:hAnsi="Arial" w:cs="Arial"/>
                <w:color w:val="000000" w:themeColor="text1"/>
                <w:lang w:val="en-GB"/>
              </w:rPr>
              <w:t>erimeter</w:t>
            </w:r>
            <w:r w:rsidRPr="0041531F">
              <w:rPr>
                <w:rFonts w:ascii="Arial" w:hAnsi="Arial" w:cs="Arial"/>
                <w:color w:val="000000" w:themeColor="text1"/>
                <w:lang w:val="en-GB"/>
              </w:rPr>
              <w:t xml:space="preserve"> will be should the transfer tool be executed.</w:t>
            </w:r>
          </w:p>
          <w:p w14:paraId="75992DF7" w14:textId="4DC6DD39" w:rsidR="00687452" w:rsidRPr="00687452" w:rsidRDefault="00687452" w:rsidP="00397183">
            <w:pPr>
              <w:jc w:val="both"/>
              <w:rPr>
                <w:rFonts w:ascii="Arial" w:hAnsi="Arial" w:cs="Arial"/>
                <w:color w:val="000000" w:themeColor="text1"/>
                <w:lang w:val="en-GB"/>
              </w:rPr>
            </w:pPr>
            <w:r>
              <w:rPr>
                <w:rFonts w:ascii="Arial" w:hAnsi="Arial" w:cs="Arial"/>
                <w:color w:val="000000" w:themeColor="text1"/>
                <w:lang w:val="en-GB"/>
              </w:rPr>
              <w:t>A Funding in Resolution Standard will be developed in the future.</w:t>
            </w:r>
          </w:p>
        </w:tc>
      </w:tr>
      <w:tr w:rsidR="00A459CC" w:rsidRPr="009D05E3" w14:paraId="5AD2B1FE" w14:textId="77777777" w:rsidTr="00515BD8">
        <w:tc>
          <w:tcPr>
            <w:tcW w:w="1886" w:type="dxa"/>
            <w:shd w:val="clear" w:color="auto" w:fill="auto"/>
          </w:tcPr>
          <w:p w14:paraId="6BE24FF9" w14:textId="000EF7D3" w:rsidR="00A459CC" w:rsidRPr="00892F3C" w:rsidRDefault="008C3A29" w:rsidP="008C3A29">
            <w:pPr>
              <w:spacing w:after="0"/>
              <w:jc w:val="center"/>
              <w:rPr>
                <w:rFonts w:ascii="Arial" w:hAnsi="Arial" w:cs="Arial"/>
                <w:lang w:val="en-GB"/>
              </w:rPr>
            </w:pPr>
            <w:r w:rsidRPr="00892F3C">
              <w:rPr>
                <w:rFonts w:ascii="Arial" w:hAnsi="Arial" w:cs="Arial"/>
                <w:lang w:val="en-GB"/>
              </w:rPr>
              <w:t>89</w:t>
            </w:r>
          </w:p>
        </w:tc>
        <w:tc>
          <w:tcPr>
            <w:tcW w:w="2078" w:type="dxa"/>
          </w:tcPr>
          <w:p w14:paraId="6422FFFC" w14:textId="5C1D6CA4"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2DC3628E" w14:textId="7D7876E6" w:rsidR="00A459CC" w:rsidRPr="00892F3C" w:rsidRDefault="00A459CC" w:rsidP="00005246">
            <w:pPr>
              <w:spacing w:after="0" w:line="240" w:lineRule="auto"/>
              <w:jc w:val="both"/>
              <w:rPr>
                <w:rFonts w:ascii="Arial" w:hAnsi="Arial" w:cs="Arial"/>
                <w:bCs/>
              </w:rPr>
            </w:pPr>
            <w:r w:rsidRPr="00892F3C">
              <w:rPr>
                <w:rFonts w:ascii="Arial" w:hAnsi="Arial" w:cs="Arial"/>
                <w:bCs/>
              </w:rPr>
              <w:t>8.4</w:t>
            </w:r>
          </w:p>
        </w:tc>
        <w:tc>
          <w:tcPr>
            <w:tcW w:w="7903" w:type="dxa"/>
            <w:shd w:val="clear" w:color="auto" w:fill="auto"/>
          </w:tcPr>
          <w:p w14:paraId="2EFB252E" w14:textId="77777777" w:rsidR="00BB6B04" w:rsidRPr="00296986" w:rsidRDefault="00A459CC" w:rsidP="00BB6B04">
            <w:pPr>
              <w:jc w:val="both"/>
              <w:rPr>
                <w:rFonts w:ascii="Arial" w:hAnsi="Arial" w:cs="Arial"/>
                <w:bCs/>
              </w:rPr>
            </w:pPr>
            <w:r w:rsidRPr="00296986">
              <w:rPr>
                <w:rFonts w:ascii="Arial" w:hAnsi="Arial" w:cs="Arial"/>
                <w:bCs/>
              </w:rPr>
              <w:t xml:space="preserve">Performing a full-scale in-depth assessment of all the potential suitors, including financial capacity, etc. for all options identified in the perimeter assessment (on an annual basis) will be a very time consuming and costly exercise. A more typical merger and acquisition approach would involve sharing a brief Teaser document with a wider range of prospective bidders at the start of the disposal process. </w:t>
            </w:r>
          </w:p>
          <w:p w14:paraId="52FE86A8" w14:textId="6A71E8C1" w:rsidR="00A459CC" w:rsidRPr="00296986" w:rsidRDefault="00A459CC" w:rsidP="00BB6B04">
            <w:pPr>
              <w:jc w:val="both"/>
              <w:rPr>
                <w:rFonts w:ascii="Arial" w:hAnsi="Arial" w:cs="Arial"/>
                <w:bCs/>
              </w:rPr>
            </w:pPr>
            <w:r w:rsidRPr="00296986">
              <w:rPr>
                <w:rFonts w:ascii="Arial" w:hAnsi="Arial" w:cs="Arial"/>
                <w:b/>
              </w:rPr>
              <w:t xml:space="preserve">Recommend </w:t>
            </w:r>
            <w:r w:rsidRPr="00296986">
              <w:rPr>
                <w:rFonts w:ascii="Arial" w:hAnsi="Arial" w:cs="Arial"/>
                <w:bCs/>
              </w:rPr>
              <w:t xml:space="preserve">that a list of potential bidders should be sufficient. Consideration should be given to potential competition consequences due to other banks being potential bidders. </w:t>
            </w:r>
            <w:r w:rsidRPr="00296986">
              <w:rPr>
                <w:rFonts w:ascii="Arial" w:hAnsi="Arial" w:cs="Arial"/>
                <w:b/>
              </w:rPr>
              <w:t>Recommend</w:t>
            </w:r>
            <w:r w:rsidRPr="00296986">
              <w:rPr>
                <w:rFonts w:ascii="Arial" w:hAnsi="Arial" w:cs="Arial"/>
                <w:bCs/>
              </w:rPr>
              <w:t xml:space="preserve"> for the RA to keep and maintain these lists. </w:t>
            </w:r>
          </w:p>
          <w:p w14:paraId="3BA8ACAA" w14:textId="0980ABE2" w:rsidR="00A459CC" w:rsidRPr="00296986" w:rsidRDefault="00A459CC" w:rsidP="00A459CC">
            <w:pPr>
              <w:jc w:val="both"/>
              <w:rPr>
                <w:rFonts w:ascii="Arial" w:hAnsi="Arial" w:cs="Arial"/>
                <w:bCs/>
              </w:rPr>
            </w:pPr>
            <w:r w:rsidRPr="00296986">
              <w:rPr>
                <w:rFonts w:ascii="Arial" w:hAnsi="Arial" w:cs="Arial"/>
                <w:bCs/>
              </w:rPr>
              <w:t>Given that there has not been sufficient mergers or acquisition transactions over the past 24 months to reference, we question the DI’s ability to meet the requirements that have been set out</w:t>
            </w:r>
          </w:p>
        </w:tc>
        <w:tc>
          <w:tcPr>
            <w:tcW w:w="6416" w:type="dxa"/>
            <w:shd w:val="clear" w:color="auto" w:fill="auto"/>
          </w:tcPr>
          <w:p w14:paraId="24EF97B2" w14:textId="15DD2B01" w:rsidR="00F55452" w:rsidRPr="00663080" w:rsidRDefault="004E1B37" w:rsidP="002E7407">
            <w:pPr>
              <w:jc w:val="both"/>
              <w:rPr>
                <w:rFonts w:ascii="Arial" w:hAnsi="Arial" w:cs="Arial"/>
                <w:lang w:val="en-GB"/>
              </w:rPr>
            </w:pPr>
            <w:r>
              <w:rPr>
                <w:rFonts w:ascii="Arial" w:hAnsi="Arial" w:cs="Arial"/>
                <w:lang w:val="en-GB"/>
              </w:rPr>
              <w:t xml:space="preserve">The Resolution </w:t>
            </w:r>
            <w:r w:rsidR="002E7407">
              <w:rPr>
                <w:rFonts w:ascii="Arial" w:hAnsi="Arial" w:cs="Arial"/>
                <w:lang w:val="en-GB"/>
              </w:rPr>
              <w:t>Authority</w:t>
            </w:r>
            <w:r>
              <w:rPr>
                <w:rFonts w:ascii="Arial" w:hAnsi="Arial" w:cs="Arial"/>
                <w:lang w:val="en-GB"/>
              </w:rPr>
              <w:t xml:space="preserve"> sho</w:t>
            </w:r>
            <w:r w:rsidR="002E7407">
              <w:rPr>
                <w:rFonts w:ascii="Arial" w:hAnsi="Arial" w:cs="Arial"/>
                <w:lang w:val="en-GB"/>
              </w:rPr>
              <w:t>u</w:t>
            </w:r>
            <w:r>
              <w:rPr>
                <w:rFonts w:ascii="Arial" w:hAnsi="Arial" w:cs="Arial"/>
                <w:lang w:val="en-GB"/>
              </w:rPr>
              <w:t>l</w:t>
            </w:r>
            <w:r w:rsidR="002E7407">
              <w:rPr>
                <w:rFonts w:ascii="Arial" w:hAnsi="Arial" w:cs="Arial"/>
                <w:lang w:val="en-GB"/>
              </w:rPr>
              <w:t>d</w:t>
            </w:r>
            <w:r>
              <w:rPr>
                <w:rFonts w:ascii="Arial" w:hAnsi="Arial" w:cs="Arial"/>
                <w:lang w:val="en-GB"/>
              </w:rPr>
              <w:t xml:space="preserve"> not wait for resolution</w:t>
            </w:r>
            <w:r w:rsidR="0062423C">
              <w:rPr>
                <w:rFonts w:ascii="Arial" w:hAnsi="Arial" w:cs="Arial"/>
                <w:lang w:val="en-GB"/>
              </w:rPr>
              <w:t xml:space="preserve"> to occur </w:t>
            </w:r>
            <w:proofErr w:type="gramStart"/>
            <w:r w:rsidR="0062423C">
              <w:rPr>
                <w:rFonts w:ascii="Arial" w:hAnsi="Arial" w:cs="Arial"/>
                <w:lang w:val="en-GB"/>
              </w:rPr>
              <w:t>in order</w:t>
            </w:r>
            <w:r>
              <w:rPr>
                <w:rFonts w:ascii="Arial" w:hAnsi="Arial" w:cs="Arial"/>
                <w:lang w:val="en-GB"/>
              </w:rPr>
              <w:t xml:space="preserve"> to</w:t>
            </w:r>
            <w:proofErr w:type="gramEnd"/>
            <w:r>
              <w:rPr>
                <w:rFonts w:ascii="Arial" w:hAnsi="Arial" w:cs="Arial"/>
                <w:lang w:val="en-GB"/>
              </w:rPr>
              <w:t xml:space="preserve"> prepare for it. In </w:t>
            </w:r>
            <w:r w:rsidR="002E7407">
              <w:rPr>
                <w:rFonts w:ascii="Arial" w:hAnsi="Arial" w:cs="Arial"/>
                <w:lang w:val="en-GB"/>
              </w:rPr>
              <w:t>addition</w:t>
            </w:r>
            <w:r>
              <w:rPr>
                <w:rFonts w:ascii="Arial" w:hAnsi="Arial" w:cs="Arial"/>
                <w:lang w:val="en-GB"/>
              </w:rPr>
              <w:t>, in a resolution scenario time i</w:t>
            </w:r>
            <w:r w:rsidR="002E7407">
              <w:rPr>
                <w:rFonts w:ascii="Arial" w:hAnsi="Arial" w:cs="Arial"/>
                <w:lang w:val="en-GB"/>
              </w:rPr>
              <w:t>s</w:t>
            </w:r>
            <w:r>
              <w:rPr>
                <w:rFonts w:ascii="Arial" w:hAnsi="Arial" w:cs="Arial"/>
                <w:lang w:val="en-GB"/>
              </w:rPr>
              <w:t xml:space="preserve"> of the essence to prevent further loss of value.</w:t>
            </w:r>
            <w:r w:rsidR="00725627">
              <w:rPr>
                <w:rFonts w:ascii="Arial" w:hAnsi="Arial" w:cs="Arial"/>
                <w:lang w:val="en-GB"/>
              </w:rPr>
              <w:t xml:space="preserve"> </w:t>
            </w:r>
            <w:r w:rsidR="002E7407">
              <w:rPr>
                <w:rFonts w:ascii="Arial" w:hAnsi="Arial" w:cs="Arial"/>
                <w:lang w:val="en-GB"/>
              </w:rPr>
              <w:t>Therefore,</w:t>
            </w:r>
            <w:r w:rsidR="00725627">
              <w:rPr>
                <w:rFonts w:ascii="Arial" w:hAnsi="Arial" w:cs="Arial"/>
                <w:lang w:val="en-GB"/>
              </w:rPr>
              <w:t xml:space="preserve"> pre-knowledge of and capabilities of </w:t>
            </w:r>
            <w:r w:rsidR="002E7407">
              <w:rPr>
                <w:rFonts w:ascii="Arial" w:hAnsi="Arial" w:cs="Arial"/>
                <w:lang w:val="en-GB"/>
              </w:rPr>
              <w:t>“potential</w:t>
            </w:r>
            <w:r w:rsidR="00725627">
              <w:rPr>
                <w:rFonts w:ascii="Arial" w:hAnsi="Arial" w:cs="Arial"/>
                <w:lang w:val="en-GB"/>
              </w:rPr>
              <w:t xml:space="preserve"> suitors</w:t>
            </w:r>
            <w:r w:rsidR="002E7407">
              <w:rPr>
                <w:rFonts w:ascii="Arial" w:hAnsi="Arial" w:cs="Arial"/>
                <w:lang w:val="en-GB"/>
              </w:rPr>
              <w:t>”</w:t>
            </w:r>
            <w:r w:rsidR="00725627">
              <w:rPr>
                <w:rFonts w:ascii="Arial" w:hAnsi="Arial" w:cs="Arial"/>
                <w:lang w:val="en-GB"/>
              </w:rPr>
              <w:t xml:space="preserve"> are imperative for proper </w:t>
            </w:r>
            <w:r w:rsidR="002E7407" w:rsidRPr="00663080">
              <w:rPr>
                <w:rFonts w:ascii="Arial" w:hAnsi="Arial" w:cs="Arial"/>
                <w:lang w:val="en-GB"/>
              </w:rPr>
              <w:t xml:space="preserve">planning of a transfer </w:t>
            </w:r>
            <w:r w:rsidR="002D2A5E" w:rsidRPr="00663080">
              <w:rPr>
                <w:rFonts w:ascii="Arial" w:hAnsi="Arial" w:cs="Arial"/>
                <w:lang w:val="en-GB"/>
              </w:rPr>
              <w:t xml:space="preserve">tool in a resolution </w:t>
            </w:r>
            <w:r w:rsidR="002E7407" w:rsidRPr="00663080">
              <w:rPr>
                <w:rFonts w:ascii="Arial" w:hAnsi="Arial" w:cs="Arial"/>
                <w:lang w:val="en-GB"/>
              </w:rPr>
              <w:t>strategy.</w:t>
            </w:r>
          </w:p>
          <w:p w14:paraId="54B0CAA6" w14:textId="4CA67848" w:rsidR="00384120" w:rsidRDefault="00384120" w:rsidP="0062423C">
            <w:pPr>
              <w:spacing w:after="0" w:line="240" w:lineRule="auto"/>
              <w:jc w:val="both"/>
              <w:rPr>
                <w:rFonts w:ascii="Arial" w:hAnsi="Arial" w:cs="Arial"/>
                <w:i/>
                <w:iCs/>
                <w:color w:val="FF0000"/>
                <w:lang w:val="en-GB"/>
              </w:rPr>
            </w:pPr>
            <w:r w:rsidRPr="00663080">
              <w:rPr>
                <w:rFonts w:ascii="Arial" w:eastAsia="Times New Roman" w:hAnsi="Arial" w:cs="Arial"/>
                <w:lang w:val="en-GB"/>
              </w:rPr>
              <w:t xml:space="preserve">The </w:t>
            </w:r>
            <w:r w:rsidR="00DA560E">
              <w:rPr>
                <w:rFonts w:ascii="Arial" w:eastAsia="Times New Roman" w:hAnsi="Arial" w:cs="Arial"/>
                <w:lang w:val="en-GB"/>
              </w:rPr>
              <w:t>Authorities</w:t>
            </w:r>
            <w:r w:rsidRPr="00663080">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requirements in the Standard.</w:t>
            </w:r>
          </w:p>
          <w:p w14:paraId="60459A83" w14:textId="77777777" w:rsidR="0062423C" w:rsidRDefault="0062423C" w:rsidP="00054DBB">
            <w:pPr>
              <w:spacing w:after="0" w:line="240" w:lineRule="auto"/>
              <w:jc w:val="both"/>
              <w:rPr>
                <w:rFonts w:ascii="Arial" w:hAnsi="Arial" w:cs="Arial"/>
                <w:i/>
                <w:iCs/>
                <w:color w:val="FF0000"/>
                <w:lang w:val="en-GB"/>
              </w:rPr>
            </w:pPr>
          </w:p>
          <w:p w14:paraId="50F4CFBF" w14:textId="2961346E" w:rsidR="00296986" w:rsidRPr="007C1A50" w:rsidRDefault="00254ECD" w:rsidP="002E7407">
            <w:pPr>
              <w:jc w:val="both"/>
              <w:rPr>
                <w:rFonts w:ascii="Arial" w:hAnsi="Arial" w:cs="Arial"/>
                <w:color w:val="000000" w:themeColor="text1"/>
                <w:lang w:val="en-GB"/>
              </w:rPr>
            </w:pPr>
            <w:r w:rsidRPr="00254ECD">
              <w:rPr>
                <w:rFonts w:ascii="Arial" w:hAnsi="Arial" w:cs="Arial"/>
                <w:color w:val="000000" w:themeColor="text1"/>
                <w:lang w:val="en-GB"/>
              </w:rPr>
              <w:t>The lists of potential suitors will be contained in the resolution plans of the relevant designated institutions</w:t>
            </w:r>
            <w:r w:rsidR="003D235D">
              <w:rPr>
                <w:rFonts w:ascii="Arial" w:hAnsi="Arial" w:cs="Arial"/>
                <w:color w:val="000000" w:themeColor="text1"/>
                <w:lang w:val="en-GB"/>
              </w:rPr>
              <w:t xml:space="preserve"> (</w:t>
            </w:r>
            <w:r w:rsidR="00AB2F20">
              <w:rPr>
                <w:rFonts w:ascii="Arial" w:hAnsi="Arial" w:cs="Arial"/>
                <w:color w:val="000000" w:themeColor="text1"/>
                <w:lang w:val="en-GB"/>
              </w:rPr>
              <w:t>using</w:t>
            </w:r>
            <w:r w:rsidR="003D235D">
              <w:rPr>
                <w:rFonts w:ascii="Arial" w:hAnsi="Arial" w:cs="Arial"/>
                <w:color w:val="000000" w:themeColor="text1"/>
                <w:lang w:val="en-GB"/>
              </w:rPr>
              <w:t xml:space="preserve"> the base</w:t>
            </w:r>
            <w:r w:rsidR="00EC2202">
              <w:rPr>
                <w:rFonts w:ascii="Arial" w:hAnsi="Arial" w:cs="Arial"/>
                <w:color w:val="000000" w:themeColor="text1"/>
                <w:lang w:val="en-GB"/>
              </w:rPr>
              <w:t xml:space="preserve"> identification </w:t>
            </w:r>
            <w:r w:rsidR="0067475E">
              <w:rPr>
                <w:rFonts w:ascii="Arial" w:hAnsi="Arial" w:cs="Arial"/>
                <w:color w:val="000000" w:themeColor="text1"/>
                <w:lang w:val="en-GB"/>
              </w:rPr>
              <w:t xml:space="preserve">performed </w:t>
            </w:r>
            <w:r w:rsidR="00EC2202">
              <w:rPr>
                <w:rFonts w:ascii="Arial" w:hAnsi="Arial" w:cs="Arial"/>
                <w:color w:val="000000" w:themeColor="text1"/>
                <w:lang w:val="en-GB"/>
              </w:rPr>
              <w:t>by the designated institution</w:t>
            </w:r>
            <w:r w:rsidR="003D235D">
              <w:rPr>
                <w:rFonts w:ascii="Arial" w:hAnsi="Arial" w:cs="Arial"/>
                <w:color w:val="000000" w:themeColor="text1"/>
                <w:lang w:val="en-GB"/>
              </w:rPr>
              <w:t>).</w:t>
            </w:r>
          </w:p>
        </w:tc>
      </w:tr>
      <w:tr w:rsidR="00A459CC" w:rsidRPr="009D05E3" w14:paraId="3CE570C6" w14:textId="77777777" w:rsidTr="00473E16">
        <w:tc>
          <w:tcPr>
            <w:tcW w:w="1886" w:type="dxa"/>
          </w:tcPr>
          <w:p w14:paraId="0243E993" w14:textId="6E89A722" w:rsidR="00A459CC" w:rsidRPr="00892F3C" w:rsidRDefault="008C3A29" w:rsidP="008C3A29">
            <w:pPr>
              <w:spacing w:after="0"/>
              <w:jc w:val="center"/>
              <w:rPr>
                <w:rFonts w:ascii="Arial" w:hAnsi="Arial" w:cs="Arial"/>
                <w:lang w:val="en-GB"/>
              </w:rPr>
            </w:pPr>
            <w:r w:rsidRPr="00892F3C">
              <w:rPr>
                <w:rFonts w:ascii="Arial" w:hAnsi="Arial" w:cs="Arial"/>
                <w:lang w:val="en-GB"/>
              </w:rPr>
              <w:t>91</w:t>
            </w:r>
          </w:p>
        </w:tc>
        <w:tc>
          <w:tcPr>
            <w:tcW w:w="2078" w:type="dxa"/>
          </w:tcPr>
          <w:p w14:paraId="0264546B" w14:textId="6FDDA5E5"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5E074033" w14:textId="714F8294" w:rsidR="00A459CC" w:rsidRPr="00892F3C" w:rsidRDefault="00A459CC" w:rsidP="00005246">
            <w:pPr>
              <w:spacing w:after="0" w:line="240" w:lineRule="auto"/>
              <w:jc w:val="both"/>
              <w:rPr>
                <w:rFonts w:ascii="Arial" w:hAnsi="Arial" w:cs="Arial"/>
                <w:bCs/>
              </w:rPr>
            </w:pPr>
            <w:r w:rsidRPr="00892F3C">
              <w:rPr>
                <w:rFonts w:ascii="Arial" w:hAnsi="Arial" w:cs="Arial"/>
                <w:bCs/>
              </w:rPr>
              <w:t>8.5 Requirements for management information systems</w:t>
            </w:r>
          </w:p>
        </w:tc>
        <w:tc>
          <w:tcPr>
            <w:tcW w:w="7903" w:type="dxa"/>
          </w:tcPr>
          <w:p w14:paraId="5736BF42" w14:textId="119EE448" w:rsidR="00A459CC" w:rsidRPr="00892F3C" w:rsidRDefault="00A459CC" w:rsidP="00A459CC">
            <w:pPr>
              <w:jc w:val="both"/>
              <w:rPr>
                <w:rFonts w:ascii="Arial" w:hAnsi="Arial" w:cs="Arial"/>
                <w:bCs/>
              </w:rPr>
            </w:pPr>
            <w:r w:rsidRPr="00892F3C">
              <w:rPr>
                <w:rFonts w:ascii="Arial" w:hAnsi="Arial" w:cs="Arial"/>
                <w:bCs/>
              </w:rPr>
              <w:t>A growing bank, continuously launch new products that require much development effort for inclusion in their current systems.  With additional information requirements in terms of interconnections entities with the wider Group that would need to be spec’d and built on already strained resources.</w:t>
            </w:r>
          </w:p>
        </w:tc>
        <w:tc>
          <w:tcPr>
            <w:tcW w:w="6416" w:type="dxa"/>
            <w:shd w:val="clear" w:color="auto" w:fill="auto"/>
          </w:tcPr>
          <w:p w14:paraId="6A543E43" w14:textId="5EA11848" w:rsidR="00A459CC" w:rsidRPr="0098538A" w:rsidRDefault="0098538A" w:rsidP="0098538A">
            <w:pPr>
              <w:jc w:val="both"/>
              <w:rPr>
                <w:rFonts w:ascii="Arial" w:hAnsi="Arial" w:cs="Arial"/>
                <w:lang w:val="en-GB"/>
              </w:rPr>
            </w:pPr>
            <w:r w:rsidRPr="0098538A">
              <w:rPr>
                <w:rFonts w:ascii="Arial" w:hAnsi="Arial" w:cs="Arial"/>
                <w:lang w:val="en-GB"/>
              </w:rPr>
              <w:t>Noted</w:t>
            </w:r>
          </w:p>
        </w:tc>
      </w:tr>
      <w:tr w:rsidR="00A459CC" w:rsidRPr="009D05E3" w14:paraId="7C5284AC" w14:textId="77777777" w:rsidTr="00515BD8">
        <w:tc>
          <w:tcPr>
            <w:tcW w:w="1886" w:type="dxa"/>
          </w:tcPr>
          <w:p w14:paraId="5B5DCEFA" w14:textId="23E60D6F" w:rsidR="00A459CC" w:rsidRPr="00892F3C" w:rsidRDefault="008C3A29" w:rsidP="008C3A29">
            <w:pPr>
              <w:spacing w:after="0"/>
              <w:jc w:val="center"/>
              <w:rPr>
                <w:rFonts w:ascii="Arial" w:hAnsi="Arial" w:cs="Arial"/>
                <w:lang w:val="en-GB"/>
              </w:rPr>
            </w:pPr>
            <w:r w:rsidRPr="00892F3C">
              <w:rPr>
                <w:rFonts w:ascii="Arial" w:hAnsi="Arial" w:cs="Arial"/>
                <w:lang w:val="en-GB"/>
              </w:rPr>
              <w:t>92</w:t>
            </w:r>
          </w:p>
        </w:tc>
        <w:tc>
          <w:tcPr>
            <w:tcW w:w="2078" w:type="dxa"/>
          </w:tcPr>
          <w:p w14:paraId="38DA2E61" w14:textId="253225A0"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253205BF" w14:textId="5076815A" w:rsidR="00A459CC" w:rsidRPr="00892F3C" w:rsidRDefault="00A459CC" w:rsidP="00005246">
            <w:pPr>
              <w:spacing w:after="0" w:line="240" w:lineRule="auto"/>
              <w:jc w:val="both"/>
              <w:rPr>
                <w:rFonts w:ascii="Arial" w:hAnsi="Arial" w:cs="Arial"/>
                <w:bCs/>
              </w:rPr>
            </w:pPr>
            <w:r w:rsidRPr="00892F3C">
              <w:rPr>
                <w:rFonts w:ascii="Arial" w:hAnsi="Arial" w:cs="Arial"/>
                <w:bCs/>
              </w:rPr>
              <w:t>8.5 (a)</w:t>
            </w:r>
          </w:p>
        </w:tc>
        <w:tc>
          <w:tcPr>
            <w:tcW w:w="7903" w:type="dxa"/>
          </w:tcPr>
          <w:p w14:paraId="0B13474F" w14:textId="5204FEDB" w:rsidR="00A459CC" w:rsidRPr="00892F3C" w:rsidRDefault="00A459CC" w:rsidP="00A459CC">
            <w:pPr>
              <w:jc w:val="both"/>
              <w:rPr>
                <w:rFonts w:ascii="Arial" w:hAnsi="Arial" w:cs="Arial"/>
                <w:bCs/>
              </w:rPr>
            </w:pPr>
            <w:r w:rsidRPr="00892F3C">
              <w:rPr>
                <w:rFonts w:ascii="Arial" w:hAnsi="Arial" w:cs="Arial"/>
                <w:b/>
              </w:rPr>
              <w:t>Clarify</w:t>
            </w:r>
            <w:r w:rsidRPr="00892F3C">
              <w:rPr>
                <w:rFonts w:ascii="Arial" w:hAnsi="Arial" w:cs="Arial"/>
                <w:bCs/>
              </w:rPr>
              <w:t xml:space="preserve"> what is meant by “readily available”.</w:t>
            </w:r>
          </w:p>
        </w:tc>
        <w:tc>
          <w:tcPr>
            <w:tcW w:w="6416" w:type="dxa"/>
            <w:shd w:val="clear" w:color="auto" w:fill="auto"/>
          </w:tcPr>
          <w:p w14:paraId="7DA349C8" w14:textId="5771C6AE" w:rsidR="00A459CC" w:rsidRPr="00D37691" w:rsidRDefault="000A7684" w:rsidP="00D37691">
            <w:pPr>
              <w:jc w:val="both"/>
              <w:rPr>
                <w:rFonts w:ascii="Arial" w:hAnsi="Arial" w:cs="Arial"/>
                <w:lang w:val="en-GB"/>
              </w:rPr>
            </w:pPr>
            <w:r>
              <w:rPr>
                <w:rFonts w:ascii="Arial" w:hAnsi="Arial" w:cs="Arial"/>
                <w:lang w:val="en-GB"/>
              </w:rPr>
              <w:t xml:space="preserve">Upon </w:t>
            </w:r>
            <w:r w:rsidR="002742F0">
              <w:rPr>
                <w:rFonts w:ascii="Arial" w:hAnsi="Arial" w:cs="Arial"/>
                <w:lang w:val="en-GB"/>
              </w:rPr>
              <w:t>further</w:t>
            </w:r>
            <w:r>
              <w:rPr>
                <w:rFonts w:ascii="Arial" w:hAnsi="Arial" w:cs="Arial"/>
                <w:lang w:val="en-GB"/>
              </w:rPr>
              <w:t xml:space="preserve"> revie</w:t>
            </w:r>
            <w:r w:rsidR="00E303D7">
              <w:rPr>
                <w:rFonts w:ascii="Arial" w:hAnsi="Arial" w:cs="Arial"/>
                <w:lang w:val="en-GB"/>
              </w:rPr>
              <w:t>w</w:t>
            </w:r>
            <w:r>
              <w:rPr>
                <w:rFonts w:ascii="Arial" w:hAnsi="Arial" w:cs="Arial"/>
                <w:lang w:val="en-GB"/>
              </w:rPr>
              <w:t xml:space="preserve"> of the Standard, the </w:t>
            </w:r>
            <w:r w:rsidR="006A4C15">
              <w:rPr>
                <w:rFonts w:ascii="Arial" w:hAnsi="Arial" w:cs="Arial"/>
                <w:lang w:val="en-GB"/>
              </w:rPr>
              <w:t>Authorities amended</w:t>
            </w:r>
            <w:r>
              <w:rPr>
                <w:rFonts w:ascii="Arial" w:hAnsi="Arial" w:cs="Arial"/>
                <w:lang w:val="en-GB"/>
              </w:rPr>
              <w:t xml:space="preserve"> section 8.5(a) </w:t>
            </w:r>
            <w:r w:rsidR="00F813C4">
              <w:rPr>
                <w:rFonts w:ascii="Arial" w:hAnsi="Arial" w:cs="Arial"/>
                <w:lang w:val="en-GB"/>
              </w:rPr>
              <w:t>t</w:t>
            </w:r>
            <w:r>
              <w:rPr>
                <w:rFonts w:ascii="Arial" w:hAnsi="Arial" w:cs="Arial"/>
                <w:lang w:val="en-GB"/>
              </w:rPr>
              <w:t xml:space="preserve">o state that the </w:t>
            </w:r>
            <w:r w:rsidR="00EC61E5">
              <w:rPr>
                <w:rFonts w:ascii="Arial" w:hAnsi="Arial" w:cs="Arial"/>
                <w:lang w:val="en-GB"/>
              </w:rPr>
              <w:t>designated institution must have the ability to provide accurate and</w:t>
            </w:r>
            <w:r w:rsidR="00EC61E5" w:rsidRPr="00EC61E5">
              <w:rPr>
                <w:rFonts w:ascii="Arial" w:hAnsi="Arial" w:cs="Arial"/>
                <w:b/>
                <w:bCs/>
                <w:lang w:val="en-GB"/>
              </w:rPr>
              <w:t xml:space="preserve"> timely</w:t>
            </w:r>
            <w:r w:rsidR="00EC61E5">
              <w:rPr>
                <w:rFonts w:ascii="Arial" w:hAnsi="Arial" w:cs="Arial"/>
                <w:lang w:val="en-GB"/>
              </w:rPr>
              <w:t xml:space="preserve"> information. The term </w:t>
            </w:r>
            <w:r w:rsidR="00EC61E5">
              <w:rPr>
                <w:rFonts w:ascii="Arial" w:hAnsi="Arial" w:cs="Arial"/>
                <w:lang w:val="en-GB"/>
              </w:rPr>
              <w:lastRenderedPageBreak/>
              <w:t xml:space="preserve">“readily available” has been deleted, </w:t>
            </w:r>
            <w:r w:rsidR="00E303D7">
              <w:rPr>
                <w:rFonts w:ascii="Arial" w:hAnsi="Arial" w:cs="Arial"/>
                <w:lang w:val="en-GB"/>
              </w:rPr>
              <w:t xml:space="preserve">to avoid </w:t>
            </w:r>
            <w:r w:rsidR="00A04E86">
              <w:rPr>
                <w:rFonts w:ascii="Arial" w:hAnsi="Arial" w:cs="Arial"/>
                <w:lang w:val="en-GB"/>
              </w:rPr>
              <w:t>v</w:t>
            </w:r>
            <w:r w:rsidR="00115A54">
              <w:rPr>
                <w:rFonts w:ascii="Arial" w:hAnsi="Arial" w:cs="Arial"/>
                <w:lang w:val="en-GB"/>
              </w:rPr>
              <w:t xml:space="preserve">arying </w:t>
            </w:r>
            <w:r w:rsidR="00E303D7">
              <w:rPr>
                <w:rFonts w:ascii="Arial" w:hAnsi="Arial" w:cs="Arial"/>
                <w:lang w:val="en-GB"/>
              </w:rPr>
              <w:t>interpretation</w:t>
            </w:r>
            <w:r w:rsidR="00115A54">
              <w:rPr>
                <w:rFonts w:ascii="Arial" w:hAnsi="Arial" w:cs="Arial"/>
                <w:lang w:val="en-GB"/>
              </w:rPr>
              <w:t>s.</w:t>
            </w:r>
          </w:p>
        </w:tc>
      </w:tr>
      <w:tr w:rsidR="00A459CC" w:rsidRPr="009D05E3" w14:paraId="613DBDF7" w14:textId="77777777" w:rsidTr="00473E16">
        <w:tc>
          <w:tcPr>
            <w:tcW w:w="1886" w:type="dxa"/>
          </w:tcPr>
          <w:p w14:paraId="04B8C6FB" w14:textId="0EBB05D2" w:rsidR="00A459CC" w:rsidRPr="00892F3C" w:rsidRDefault="008C3A29" w:rsidP="008C3A29">
            <w:pPr>
              <w:spacing w:after="0"/>
              <w:jc w:val="center"/>
              <w:rPr>
                <w:rFonts w:ascii="Arial" w:hAnsi="Arial" w:cs="Arial"/>
                <w:lang w:val="en-GB"/>
              </w:rPr>
            </w:pPr>
            <w:r w:rsidRPr="00892F3C">
              <w:rPr>
                <w:rFonts w:ascii="Arial" w:hAnsi="Arial" w:cs="Arial"/>
                <w:lang w:val="en-GB"/>
              </w:rPr>
              <w:lastRenderedPageBreak/>
              <w:t>93</w:t>
            </w:r>
          </w:p>
        </w:tc>
        <w:tc>
          <w:tcPr>
            <w:tcW w:w="2078" w:type="dxa"/>
          </w:tcPr>
          <w:p w14:paraId="3FB62E7A" w14:textId="0FDA201A"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4B21C700" w14:textId="3B6B3EF8" w:rsidR="00A459CC" w:rsidRPr="00892F3C" w:rsidRDefault="00A459CC" w:rsidP="00005246">
            <w:pPr>
              <w:spacing w:after="0" w:line="240" w:lineRule="auto"/>
              <w:jc w:val="both"/>
              <w:rPr>
                <w:rFonts w:ascii="Arial" w:hAnsi="Arial" w:cs="Arial"/>
                <w:bCs/>
              </w:rPr>
            </w:pPr>
            <w:r w:rsidRPr="00892F3C">
              <w:rPr>
                <w:rFonts w:ascii="Arial" w:hAnsi="Arial" w:cs="Arial"/>
                <w:bCs/>
              </w:rPr>
              <w:t>8.5 (a) and (b)</w:t>
            </w:r>
          </w:p>
        </w:tc>
        <w:tc>
          <w:tcPr>
            <w:tcW w:w="7903" w:type="dxa"/>
          </w:tcPr>
          <w:p w14:paraId="20AEDE83" w14:textId="77777777" w:rsidR="00A459CC" w:rsidRPr="00892F3C" w:rsidRDefault="00A459CC" w:rsidP="00AA4E97">
            <w:pPr>
              <w:jc w:val="both"/>
              <w:rPr>
                <w:rFonts w:ascii="Arial" w:hAnsi="Arial" w:cs="Arial"/>
                <w:bCs/>
              </w:rPr>
            </w:pPr>
            <w:r w:rsidRPr="00892F3C">
              <w:rPr>
                <w:rFonts w:ascii="Arial" w:hAnsi="Arial" w:cs="Arial"/>
                <w:bCs/>
              </w:rPr>
              <w:t>The Standard provides extensive detail of the requirements at a principal level, without specifying the associated control requirements. It seems to be a scenario agnostic standard, but some of the requirements may have very specific controls and processes to be considered when looking at specific scenarios such as:</w:t>
            </w:r>
          </w:p>
          <w:p w14:paraId="6F9B149D" w14:textId="77777777" w:rsidR="00A459CC" w:rsidRPr="00892F3C" w:rsidRDefault="00A459CC" w:rsidP="004B610F">
            <w:pPr>
              <w:pStyle w:val="ListParagraph"/>
              <w:numPr>
                <w:ilvl w:val="0"/>
                <w:numId w:val="12"/>
              </w:numPr>
              <w:spacing w:beforeLines="40" w:before="96" w:afterLines="40" w:after="96"/>
              <w:rPr>
                <w:rFonts w:ascii="Arial" w:hAnsi="Arial" w:cs="Arial"/>
                <w:bCs/>
              </w:rPr>
            </w:pPr>
            <w:r w:rsidRPr="00892F3C">
              <w:rPr>
                <w:rFonts w:ascii="Arial" w:hAnsi="Arial" w:cs="Arial"/>
                <w:bCs/>
              </w:rPr>
              <w:t>8.5 (a) speaks to the provisioning of data. In a cyber scenario, this may not be possible or safe.</w:t>
            </w:r>
          </w:p>
          <w:p w14:paraId="2B72C0C0" w14:textId="77777777" w:rsidR="00A459CC" w:rsidRPr="00892F3C" w:rsidRDefault="00A459CC" w:rsidP="004B610F">
            <w:pPr>
              <w:pStyle w:val="ListParagraph"/>
              <w:numPr>
                <w:ilvl w:val="0"/>
                <w:numId w:val="12"/>
              </w:numPr>
              <w:spacing w:beforeLines="40" w:before="96" w:afterLines="40" w:after="96"/>
              <w:rPr>
                <w:rFonts w:ascii="Arial" w:hAnsi="Arial" w:cs="Arial"/>
                <w:bCs/>
              </w:rPr>
            </w:pPr>
            <w:r w:rsidRPr="00892F3C">
              <w:rPr>
                <w:rFonts w:ascii="Arial" w:hAnsi="Arial" w:cs="Arial"/>
                <w:bCs/>
              </w:rPr>
              <w:t>8.5 (b) (iv) speaks of operational continuity of the transfer perimeter, the approach to ensure operational continuity for a scenario that may have been brought about by financial stress, is very different to what may be required as part of a cyber or technology failure scenario.</w:t>
            </w:r>
          </w:p>
          <w:p w14:paraId="69DC2C2E" w14:textId="6C594703" w:rsidR="00A459CC" w:rsidRPr="00892F3C" w:rsidRDefault="00A459CC" w:rsidP="00A459CC">
            <w:pPr>
              <w:jc w:val="both"/>
              <w:rPr>
                <w:rFonts w:ascii="Arial" w:hAnsi="Arial" w:cs="Arial"/>
                <w:bCs/>
              </w:rPr>
            </w:pPr>
            <w:r w:rsidRPr="00892F3C">
              <w:rPr>
                <w:rFonts w:ascii="Arial" w:hAnsi="Arial" w:cs="Arial"/>
                <w:bCs/>
              </w:rPr>
              <w:t>Therefore, it should be noted that all requirements might not be applicable in all scenarios.</w:t>
            </w:r>
          </w:p>
        </w:tc>
        <w:tc>
          <w:tcPr>
            <w:tcW w:w="6416" w:type="dxa"/>
            <w:shd w:val="clear" w:color="auto" w:fill="auto"/>
          </w:tcPr>
          <w:p w14:paraId="3E97D11B" w14:textId="652D6330" w:rsidR="00A459CC" w:rsidRPr="0098538A" w:rsidRDefault="003B70E5" w:rsidP="0098538A">
            <w:pPr>
              <w:jc w:val="both"/>
              <w:rPr>
                <w:rFonts w:ascii="Arial" w:hAnsi="Arial" w:cs="Arial"/>
                <w:lang w:val="en-GB"/>
              </w:rPr>
            </w:pPr>
            <w:r>
              <w:rPr>
                <w:rFonts w:ascii="Arial" w:hAnsi="Arial" w:cs="Arial"/>
                <w:lang w:val="en-GB"/>
              </w:rPr>
              <w:t>Noted</w:t>
            </w:r>
          </w:p>
        </w:tc>
      </w:tr>
      <w:tr w:rsidR="00A459CC" w:rsidRPr="009D05E3" w14:paraId="1CFDC6C9" w14:textId="77777777" w:rsidTr="00515BD8">
        <w:tc>
          <w:tcPr>
            <w:tcW w:w="1886" w:type="dxa"/>
          </w:tcPr>
          <w:p w14:paraId="20F1F302" w14:textId="6A3BF90D" w:rsidR="00A459CC" w:rsidRPr="00892F3C" w:rsidRDefault="008C3A29" w:rsidP="008C3A29">
            <w:pPr>
              <w:spacing w:after="0"/>
              <w:jc w:val="center"/>
              <w:rPr>
                <w:rFonts w:ascii="Arial" w:hAnsi="Arial" w:cs="Arial"/>
                <w:lang w:val="en-GB"/>
              </w:rPr>
            </w:pPr>
            <w:r w:rsidRPr="00892F3C">
              <w:rPr>
                <w:rFonts w:ascii="Arial" w:hAnsi="Arial" w:cs="Arial"/>
                <w:lang w:val="en-GB"/>
              </w:rPr>
              <w:t>94</w:t>
            </w:r>
          </w:p>
        </w:tc>
        <w:tc>
          <w:tcPr>
            <w:tcW w:w="2078" w:type="dxa"/>
          </w:tcPr>
          <w:p w14:paraId="7D04555C" w14:textId="3E0E4908"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2A4BAF1F" w14:textId="34E0ED42" w:rsidR="00A459CC" w:rsidRPr="00892F3C" w:rsidRDefault="00A459CC" w:rsidP="00005246">
            <w:pPr>
              <w:spacing w:after="0" w:line="240" w:lineRule="auto"/>
              <w:jc w:val="both"/>
              <w:rPr>
                <w:rFonts w:ascii="Arial" w:hAnsi="Arial" w:cs="Arial"/>
                <w:bCs/>
              </w:rPr>
            </w:pPr>
            <w:r w:rsidRPr="00892F3C">
              <w:rPr>
                <w:rFonts w:ascii="Arial" w:hAnsi="Arial" w:cs="Arial"/>
                <w:bCs/>
              </w:rPr>
              <w:t>8.5 (b) (iii)</w:t>
            </w:r>
          </w:p>
        </w:tc>
        <w:tc>
          <w:tcPr>
            <w:tcW w:w="7903" w:type="dxa"/>
          </w:tcPr>
          <w:p w14:paraId="348A061D" w14:textId="3F58F243" w:rsidR="00A459CC" w:rsidRPr="00892F3C" w:rsidRDefault="00A459CC" w:rsidP="00A459CC">
            <w:pPr>
              <w:jc w:val="both"/>
              <w:rPr>
                <w:rFonts w:ascii="Arial" w:hAnsi="Arial" w:cs="Arial"/>
                <w:bCs/>
              </w:rPr>
            </w:pPr>
            <w:r w:rsidRPr="00892F3C">
              <w:rPr>
                <w:rFonts w:ascii="Arial" w:hAnsi="Arial" w:cs="Arial"/>
                <w:b/>
              </w:rPr>
              <w:t>Recommend amendment</w:t>
            </w:r>
            <w:r w:rsidRPr="00892F3C">
              <w:rPr>
                <w:rFonts w:ascii="Arial" w:hAnsi="Arial" w:cs="Arial"/>
                <w:bCs/>
              </w:rPr>
              <w:t xml:space="preserve"> to reflect “hard interconnections within the perimeter” and “soft interconnections outside the transfer perimeter”.</w:t>
            </w:r>
          </w:p>
        </w:tc>
        <w:tc>
          <w:tcPr>
            <w:tcW w:w="6416" w:type="dxa"/>
            <w:shd w:val="clear" w:color="auto" w:fill="auto"/>
          </w:tcPr>
          <w:p w14:paraId="3D4A898A" w14:textId="1893E451" w:rsidR="00A459CC" w:rsidRDefault="00C12EA5" w:rsidP="00631066">
            <w:pPr>
              <w:jc w:val="both"/>
              <w:rPr>
                <w:rFonts w:ascii="Arial" w:hAnsi="Arial" w:cs="Arial"/>
                <w:lang w:val="en-GB"/>
              </w:rPr>
            </w:pPr>
            <w:r>
              <w:rPr>
                <w:rFonts w:ascii="Arial" w:hAnsi="Arial" w:cs="Arial"/>
                <w:lang w:val="en-GB"/>
              </w:rPr>
              <w:t xml:space="preserve">All the interconnections </w:t>
            </w:r>
            <w:r w:rsidR="000E26E3">
              <w:rPr>
                <w:rFonts w:ascii="Arial" w:hAnsi="Arial" w:cs="Arial"/>
                <w:lang w:val="en-GB"/>
              </w:rPr>
              <w:t xml:space="preserve">to be identified, </w:t>
            </w:r>
            <w:r>
              <w:rPr>
                <w:rFonts w:ascii="Arial" w:hAnsi="Arial" w:cs="Arial"/>
                <w:lang w:val="en-GB"/>
              </w:rPr>
              <w:t>have to do with the transfer perimeter</w:t>
            </w:r>
            <w:r w:rsidR="00066793">
              <w:rPr>
                <w:rFonts w:ascii="Arial" w:hAnsi="Arial" w:cs="Arial"/>
                <w:lang w:val="en-GB"/>
              </w:rPr>
              <w:t>'s</w:t>
            </w:r>
            <w:r w:rsidR="00547F06">
              <w:rPr>
                <w:rFonts w:ascii="Arial" w:hAnsi="Arial" w:cs="Arial"/>
                <w:lang w:val="en-GB"/>
              </w:rPr>
              <w:t xml:space="preserve"> </w:t>
            </w:r>
            <w:r w:rsidR="002F3A9A">
              <w:rPr>
                <w:rFonts w:ascii="Arial" w:hAnsi="Arial" w:cs="Arial"/>
                <w:lang w:val="en-GB"/>
              </w:rPr>
              <w:t xml:space="preserve">connection </w:t>
            </w:r>
            <w:r w:rsidR="00542E66">
              <w:rPr>
                <w:rFonts w:ascii="Arial" w:hAnsi="Arial" w:cs="Arial"/>
                <w:lang w:val="en-GB"/>
              </w:rPr>
              <w:t>with</w:t>
            </w:r>
            <w:r w:rsidR="00547F06">
              <w:rPr>
                <w:rFonts w:ascii="Arial" w:hAnsi="Arial" w:cs="Arial"/>
                <w:lang w:val="en-GB"/>
              </w:rPr>
              <w:t xml:space="preserve"> the rest of the designated </w:t>
            </w:r>
            <w:r w:rsidR="00E201FD">
              <w:rPr>
                <w:rFonts w:ascii="Arial" w:hAnsi="Arial" w:cs="Arial"/>
                <w:lang w:val="en-GB"/>
              </w:rPr>
              <w:t>institution</w:t>
            </w:r>
            <w:r w:rsidR="00CB1B80">
              <w:rPr>
                <w:rFonts w:ascii="Arial" w:hAnsi="Arial" w:cs="Arial"/>
                <w:lang w:val="en-GB"/>
              </w:rPr>
              <w:t xml:space="preserve">. The treatment of the hard vs the soft is different. The hard ones </w:t>
            </w:r>
            <w:proofErr w:type="gramStart"/>
            <w:r w:rsidR="00CB1B80">
              <w:rPr>
                <w:rFonts w:ascii="Arial" w:hAnsi="Arial" w:cs="Arial"/>
                <w:lang w:val="en-GB"/>
              </w:rPr>
              <w:t>have to</w:t>
            </w:r>
            <w:proofErr w:type="gramEnd"/>
            <w:r w:rsidR="00CB1B80">
              <w:rPr>
                <w:rFonts w:ascii="Arial" w:hAnsi="Arial" w:cs="Arial"/>
                <w:lang w:val="en-GB"/>
              </w:rPr>
              <w:t xml:space="preserve"> be included in the transfer perimeter, whilst the soft ones</w:t>
            </w:r>
            <w:r w:rsidR="002F3A9A">
              <w:rPr>
                <w:rFonts w:ascii="Arial" w:hAnsi="Arial" w:cs="Arial"/>
                <w:lang w:val="en-GB"/>
              </w:rPr>
              <w:t xml:space="preserve"> should be </w:t>
            </w:r>
            <w:r w:rsidR="00CB1B80">
              <w:rPr>
                <w:rFonts w:ascii="Arial" w:hAnsi="Arial" w:cs="Arial"/>
                <w:lang w:val="en-GB"/>
              </w:rPr>
              <w:t>removed or mitigated.</w:t>
            </w:r>
          </w:p>
          <w:p w14:paraId="2E1955D0" w14:textId="11252460" w:rsidR="00CB1B80" w:rsidRPr="00631066" w:rsidRDefault="00CB1B80" w:rsidP="00CB1B80">
            <w:pPr>
              <w:jc w:val="both"/>
              <w:rPr>
                <w:rFonts w:ascii="Arial" w:hAnsi="Arial" w:cs="Arial"/>
                <w:lang w:val="en-GB"/>
              </w:rPr>
            </w:pPr>
            <w:r>
              <w:rPr>
                <w:rFonts w:ascii="Arial" w:hAnsi="Arial" w:cs="Arial"/>
                <w:lang w:val="en-GB"/>
              </w:rPr>
              <w:t xml:space="preserve">Disagree with the recommendation. </w:t>
            </w:r>
          </w:p>
        </w:tc>
      </w:tr>
      <w:tr w:rsidR="00A459CC" w:rsidRPr="009D05E3" w14:paraId="015E1425" w14:textId="77777777" w:rsidTr="00515BD8">
        <w:tc>
          <w:tcPr>
            <w:tcW w:w="1886" w:type="dxa"/>
          </w:tcPr>
          <w:p w14:paraId="2925ABE6" w14:textId="79946B08" w:rsidR="00A459CC" w:rsidRPr="00892F3C" w:rsidRDefault="008C3A29" w:rsidP="008C3A29">
            <w:pPr>
              <w:spacing w:after="0"/>
              <w:jc w:val="center"/>
              <w:rPr>
                <w:rFonts w:ascii="Arial" w:hAnsi="Arial" w:cs="Arial"/>
                <w:lang w:val="en-GB"/>
              </w:rPr>
            </w:pPr>
            <w:r w:rsidRPr="00892F3C">
              <w:rPr>
                <w:rFonts w:ascii="Arial" w:hAnsi="Arial" w:cs="Arial"/>
                <w:lang w:val="en-GB"/>
              </w:rPr>
              <w:t>95</w:t>
            </w:r>
          </w:p>
        </w:tc>
        <w:tc>
          <w:tcPr>
            <w:tcW w:w="2078" w:type="dxa"/>
          </w:tcPr>
          <w:p w14:paraId="254052F3" w14:textId="45148B9A"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2FBAF731" w14:textId="642E1050" w:rsidR="00A459CC" w:rsidRPr="00892F3C" w:rsidRDefault="00A459CC" w:rsidP="00005246">
            <w:pPr>
              <w:spacing w:after="0" w:line="240" w:lineRule="auto"/>
              <w:jc w:val="both"/>
              <w:rPr>
                <w:rFonts w:ascii="Arial" w:hAnsi="Arial" w:cs="Arial"/>
                <w:bCs/>
              </w:rPr>
            </w:pPr>
            <w:r w:rsidRPr="00892F3C">
              <w:rPr>
                <w:rFonts w:ascii="Arial" w:hAnsi="Arial" w:cs="Arial"/>
                <w:bCs/>
              </w:rPr>
              <w:t>8.5 (c)</w:t>
            </w:r>
          </w:p>
        </w:tc>
        <w:tc>
          <w:tcPr>
            <w:tcW w:w="7903" w:type="dxa"/>
          </w:tcPr>
          <w:p w14:paraId="32A9CE25" w14:textId="60FB3A51" w:rsidR="00A459CC" w:rsidRPr="00892F3C" w:rsidRDefault="00A459CC" w:rsidP="00A459CC">
            <w:pPr>
              <w:jc w:val="both"/>
              <w:rPr>
                <w:rFonts w:ascii="Arial" w:hAnsi="Arial" w:cs="Arial"/>
                <w:bCs/>
              </w:rPr>
            </w:pPr>
            <w:r w:rsidRPr="00892F3C">
              <w:rPr>
                <w:rFonts w:ascii="Arial" w:hAnsi="Arial" w:cs="Arial"/>
                <w:b/>
              </w:rPr>
              <w:t>Recommend</w:t>
            </w:r>
            <w:r w:rsidRPr="00892F3C">
              <w:rPr>
                <w:rFonts w:ascii="Arial" w:hAnsi="Arial" w:cs="Arial"/>
                <w:bCs/>
              </w:rPr>
              <w:t xml:space="preserve"> the use of a descriptor other than “item”.</w:t>
            </w:r>
          </w:p>
        </w:tc>
        <w:tc>
          <w:tcPr>
            <w:tcW w:w="6416" w:type="dxa"/>
            <w:shd w:val="clear" w:color="auto" w:fill="auto"/>
          </w:tcPr>
          <w:p w14:paraId="0DC34A5E" w14:textId="1C929412" w:rsidR="00A459CC" w:rsidRDefault="00895D8F" w:rsidP="003042DF">
            <w:pPr>
              <w:jc w:val="both"/>
              <w:rPr>
                <w:rFonts w:ascii="Arial" w:hAnsi="Arial" w:cs="Arial"/>
                <w:lang w:val="en-GB"/>
              </w:rPr>
            </w:pPr>
            <w:r>
              <w:rPr>
                <w:rFonts w:ascii="Arial" w:hAnsi="Arial" w:cs="Arial"/>
                <w:lang w:val="en-GB"/>
              </w:rPr>
              <w:t>The introduction paragraph under 8.</w:t>
            </w:r>
            <w:r w:rsidR="00DB48AF">
              <w:rPr>
                <w:rFonts w:ascii="Arial" w:hAnsi="Arial" w:cs="Arial"/>
                <w:lang w:val="en-GB"/>
              </w:rPr>
              <w:t>5(</w:t>
            </w:r>
            <w:r w:rsidR="00AD042F">
              <w:rPr>
                <w:rFonts w:ascii="Arial" w:hAnsi="Arial" w:cs="Arial"/>
                <w:lang w:val="en-GB"/>
              </w:rPr>
              <w:t>c)</w:t>
            </w:r>
            <w:r w:rsidR="00DB48AF">
              <w:rPr>
                <w:rFonts w:ascii="Arial" w:hAnsi="Arial" w:cs="Arial"/>
                <w:lang w:val="en-GB"/>
              </w:rPr>
              <w:t xml:space="preserve"> has already pre-introduced the </w:t>
            </w:r>
            <w:r w:rsidR="00E03FA2">
              <w:rPr>
                <w:rFonts w:ascii="Arial" w:hAnsi="Arial" w:cs="Arial"/>
                <w:lang w:val="en-GB"/>
              </w:rPr>
              <w:t>“</w:t>
            </w:r>
            <w:r w:rsidR="00DB48AF">
              <w:rPr>
                <w:rFonts w:ascii="Arial" w:hAnsi="Arial" w:cs="Arial"/>
                <w:lang w:val="en-GB"/>
              </w:rPr>
              <w:t>items</w:t>
            </w:r>
            <w:r w:rsidR="00E03FA2">
              <w:rPr>
                <w:rFonts w:ascii="Arial" w:hAnsi="Arial" w:cs="Arial"/>
                <w:lang w:val="en-GB"/>
              </w:rPr>
              <w:t>”</w:t>
            </w:r>
            <w:r w:rsidR="00DB48AF">
              <w:rPr>
                <w:rFonts w:ascii="Arial" w:hAnsi="Arial" w:cs="Arial"/>
                <w:lang w:val="en-GB"/>
              </w:rPr>
              <w:t xml:space="preserve"> to be the ass</w:t>
            </w:r>
            <w:r w:rsidR="00AD042F">
              <w:rPr>
                <w:rFonts w:ascii="Arial" w:hAnsi="Arial" w:cs="Arial"/>
                <w:lang w:val="en-GB"/>
              </w:rPr>
              <w:t>ets</w:t>
            </w:r>
            <w:r w:rsidR="00DB48AF">
              <w:rPr>
                <w:rFonts w:ascii="Arial" w:hAnsi="Arial" w:cs="Arial"/>
                <w:lang w:val="en-GB"/>
              </w:rPr>
              <w:t xml:space="preserve"> and liabilities </w:t>
            </w:r>
            <w:r w:rsidR="00AD042F">
              <w:rPr>
                <w:rFonts w:ascii="Arial" w:hAnsi="Arial" w:cs="Arial"/>
                <w:lang w:val="en-GB"/>
              </w:rPr>
              <w:t>in transfer perimeter. The recommendation does not change the essence or the meaning of the requirement.</w:t>
            </w:r>
          </w:p>
          <w:p w14:paraId="375635E3" w14:textId="58F12421" w:rsidR="00AD042F" w:rsidRPr="003042DF" w:rsidRDefault="00AD042F" w:rsidP="003042DF">
            <w:pPr>
              <w:jc w:val="both"/>
              <w:rPr>
                <w:rFonts w:ascii="Arial" w:hAnsi="Arial" w:cs="Arial"/>
                <w:lang w:val="en-GB"/>
              </w:rPr>
            </w:pPr>
            <w:r>
              <w:rPr>
                <w:rFonts w:ascii="Arial" w:hAnsi="Arial" w:cs="Arial"/>
                <w:lang w:val="en-GB"/>
              </w:rPr>
              <w:t xml:space="preserve">Disagree with the recommendation. </w:t>
            </w:r>
          </w:p>
        </w:tc>
      </w:tr>
      <w:tr w:rsidR="00A459CC" w:rsidRPr="009D05E3" w14:paraId="4A2926E9" w14:textId="77777777" w:rsidTr="00515BD8">
        <w:tc>
          <w:tcPr>
            <w:tcW w:w="1886" w:type="dxa"/>
          </w:tcPr>
          <w:p w14:paraId="11377848" w14:textId="65924DAD" w:rsidR="00A459CC" w:rsidRPr="00892F3C" w:rsidRDefault="008C3A29" w:rsidP="008C3A29">
            <w:pPr>
              <w:spacing w:after="0"/>
              <w:jc w:val="center"/>
              <w:rPr>
                <w:rFonts w:ascii="Arial" w:hAnsi="Arial" w:cs="Arial"/>
                <w:lang w:val="en-GB"/>
              </w:rPr>
            </w:pPr>
            <w:r w:rsidRPr="00892F3C">
              <w:rPr>
                <w:rFonts w:ascii="Arial" w:hAnsi="Arial" w:cs="Arial"/>
                <w:lang w:val="en-GB"/>
              </w:rPr>
              <w:t>96</w:t>
            </w:r>
          </w:p>
        </w:tc>
        <w:tc>
          <w:tcPr>
            <w:tcW w:w="2078" w:type="dxa"/>
          </w:tcPr>
          <w:p w14:paraId="180E1569" w14:textId="403C68AA"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6F582569" w14:textId="33690A35" w:rsidR="00A459CC" w:rsidRPr="00892F3C" w:rsidRDefault="00A459CC" w:rsidP="00005246">
            <w:pPr>
              <w:spacing w:after="0" w:line="240" w:lineRule="auto"/>
              <w:jc w:val="both"/>
              <w:rPr>
                <w:rFonts w:ascii="Arial" w:hAnsi="Arial" w:cs="Arial"/>
                <w:bCs/>
              </w:rPr>
            </w:pPr>
            <w:r w:rsidRPr="00892F3C">
              <w:rPr>
                <w:rFonts w:ascii="Arial" w:hAnsi="Arial" w:cs="Arial"/>
                <w:bCs/>
              </w:rPr>
              <w:t>8.5 (c) (</w:t>
            </w:r>
            <w:proofErr w:type="spellStart"/>
            <w:r w:rsidRPr="00892F3C">
              <w:rPr>
                <w:rFonts w:ascii="Arial" w:hAnsi="Arial" w:cs="Arial"/>
                <w:bCs/>
              </w:rPr>
              <w:t>i</w:t>
            </w:r>
            <w:proofErr w:type="spellEnd"/>
            <w:r w:rsidRPr="00892F3C">
              <w:rPr>
                <w:rFonts w:ascii="Arial" w:hAnsi="Arial" w:cs="Arial"/>
                <w:bCs/>
              </w:rPr>
              <w:t>)</w:t>
            </w:r>
          </w:p>
        </w:tc>
        <w:tc>
          <w:tcPr>
            <w:tcW w:w="7903" w:type="dxa"/>
          </w:tcPr>
          <w:p w14:paraId="10D0581E" w14:textId="77777777" w:rsidR="00AD042F" w:rsidRDefault="00A459CC" w:rsidP="00A11BB0">
            <w:pPr>
              <w:jc w:val="both"/>
              <w:rPr>
                <w:rFonts w:ascii="Arial" w:hAnsi="Arial" w:cs="Arial"/>
                <w:bCs/>
              </w:rPr>
            </w:pPr>
            <w:r w:rsidRPr="00892F3C">
              <w:rPr>
                <w:rFonts w:ascii="Arial" w:hAnsi="Arial" w:cs="Arial"/>
                <w:bCs/>
              </w:rPr>
              <w:t xml:space="preserve">The “mapping of core critical functions and core business lines” implies that core business lines enjoy the same protection as critical functions in all instances. </w:t>
            </w:r>
          </w:p>
          <w:p w14:paraId="0600D1AA" w14:textId="12E90779" w:rsidR="00A459CC" w:rsidRPr="00892F3C" w:rsidRDefault="00A459CC" w:rsidP="00A11BB0">
            <w:pPr>
              <w:jc w:val="both"/>
              <w:rPr>
                <w:rFonts w:ascii="Arial" w:hAnsi="Arial" w:cs="Arial"/>
                <w:bCs/>
              </w:rPr>
            </w:pPr>
            <w:r w:rsidRPr="00892F3C">
              <w:rPr>
                <w:rFonts w:ascii="Arial" w:hAnsi="Arial" w:cs="Arial"/>
                <w:bCs/>
              </w:rPr>
              <w:t>Core business lines would only be protected in creating a residual institution that will not be liquidated. This is not in line with the “residual institution” definition provided. Clarify what is expected, e.g., is this only for core business lines and critical functions to be transferred?</w:t>
            </w:r>
          </w:p>
          <w:p w14:paraId="23A0218C" w14:textId="687824B9" w:rsidR="00A459CC" w:rsidRPr="00892F3C" w:rsidRDefault="00A459CC" w:rsidP="00A459CC">
            <w:pPr>
              <w:jc w:val="both"/>
              <w:rPr>
                <w:rFonts w:ascii="Arial" w:hAnsi="Arial" w:cs="Arial"/>
                <w:bCs/>
              </w:rPr>
            </w:pPr>
            <w:r w:rsidRPr="00892F3C">
              <w:rPr>
                <w:rFonts w:ascii="Arial" w:hAnsi="Arial" w:cs="Arial"/>
                <w:b/>
              </w:rPr>
              <w:t>Recommend</w:t>
            </w:r>
            <w:r w:rsidRPr="00892F3C">
              <w:rPr>
                <w:rFonts w:ascii="Arial" w:hAnsi="Arial" w:cs="Arial"/>
                <w:bCs/>
              </w:rPr>
              <w:t xml:space="preserve"> that the interconnectedness assessment not be required for activities within the transfer perimeter, as this will not assist with successful separation and transfer of assets, while introducing significant operational requirements and costs.</w:t>
            </w:r>
          </w:p>
        </w:tc>
        <w:tc>
          <w:tcPr>
            <w:tcW w:w="6416" w:type="dxa"/>
            <w:shd w:val="clear" w:color="auto" w:fill="auto"/>
          </w:tcPr>
          <w:p w14:paraId="0EEF69B9" w14:textId="77777777" w:rsidR="00A459CC" w:rsidRDefault="00605FCE" w:rsidP="00605FCE">
            <w:pPr>
              <w:jc w:val="both"/>
              <w:rPr>
                <w:rFonts w:ascii="Arial" w:hAnsi="Arial" w:cs="Arial"/>
                <w:lang w:val="en-GB"/>
              </w:rPr>
            </w:pPr>
            <w:r>
              <w:rPr>
                <w:rFonts w:ascii="Arial" w:hAnsi="Arial" w:cs="Arial"/>
                <w:lang w:val="en-GB"/>
              </w:rPr>
              <w:t>Section 8.5(</w:t>
            </w:r>
            <w:r w:rsidR="00B11DD0">
              <w:rPr>
                <w:rFonts w:ascii="Arial" w:hAnsi="Arial" w:cs="Arial"/>
                <w:lang w:val="en-GB"/>
              </w:rPr>
              <w:t>c)</w:t>
            </w:r>
            <w:r>
              <w:rPr>
                <w:rFonts w:ascii="Arial" w:hAnsi="Arial" w:cs="Arial"/>
                <w:lang w:val="en-GB"/>
              </w:rPr>
              <w:t>(</w:t>
            </w:r>
            <w:proofErr w:type="spellStart"/>
            <w:r w:rsidR="0017440A">
              <w:rPr>
                <w:rFonts w:ascii="Arial" w:hAnsi="Arial" w:cs="Arial"/>
                <w:lang w:val="en-GB"/>
              </w:rPr>
              <w:t>i</w:t>
            </w:r>
            <w:proofErr w:type="spellEnd"/>
            <w:r w:rsidR="0017440A">
              <w:rPr>
                <w:rFonts w:ascii="Arial" w:hAnsi="Arial" w:cs="Arial"/>
                <w:lang w:val="en-GB"/>
              </w:rPr>
              <w:t>) states “mapping of critical functions and core business lines to each item in the transfer perimeter</w:t>
            </w:r>
            <w:r w:rsidR="00B11DD0">
              <w:rPr>
                <w:rFonts w:ascii="Arial" w:hAnsi="Arial" w:cs="Arial"/>
                <w:lang w:val="en-GB"/>
              </w:rPr>
              <w:t xml:space="preserve">”. That </w:t>
            </w:r>
            <w:r w:rsidR="00DA1EA2">
              <w:rPr>
                <w:rFonts w:ascii="Arial" w:hAnsi="Arial" w:cs="Arial"/>
                <w:lang w:val="en-GB"/>
              </w:rPr>
              <w:t>means</w:t>
            </w:r>
            <w:r w:rsidR="00B11DD0">
              <w:rPr>
                <w:rFonts w:ascii="Arial" w:hAnsi="Arial" w:cs="Arial"/>
                <w:lang w:val="en-GB"/>
              </w:rPr>
              <w:t xml:space="preserve"> the critical functions and core business lines referred to in this section are associated with what will be transferred</w:t>
            </w:r>
            <w:r w:rsidR="000A657C">
              <w:rPr>
                <w:rFonts w:ascii="Arial" w:hAnsi="Arial" w:cs="Arial"/>
                <w:lang w:val="en-GB"/>
              </w:rPr>
              <w:t xml:space="preserve"> </w:t>
            </w:r>
            <w:r w:rsidR="00DA1EA2">
              <w:rPr>
                <w:rFonts w:ascii="Arial" w:hAnsi="Arial" w:cs="Arial"/>
                <w:lang w:val="en-GB"/>
              </w:rPr>
              <w:t>o</w:t>
            </w:r>
            <w:r w:rsidR="000A657C">
              <w:rPr>
                <w:rFonts w:ascii="Arial" w:hAnsi="Arial" w:cs="Arial"/>
                <w:lang w:val="en-GB"/>
              </w:rPr>
              <w:t>ut to the acquirer</w:t>
            </w:r>
            <w:r w:rsidR="00B11DD0">
              <w:rPr>
                <w:rFonts w:ascii="Arial" w:hAnsi="Arial" w:cs="Arial"/>
                <w:lang w:val="en-GB"/>
              </w:rPr>
              <w:t>.</w:t>
            </w:r>
          </w:p>
          <w:p w14:paraId="49CD0A37" w14:textId="77777777" w:rsidR="00DA1EA2" w:rsidRDefault="00DA1EA2" w:rsidP="00605FCE">
            <w:pPr>
              <w:jc w:val="both"/>
              <w:rPr>
                <w:rFonts w:ascii="Arial" w:hAnsi="Arial" w:cs="Arial"/>
                <w:lang w:val="en-GB"/>
              </w:rPr>
            </w:pPr>
          </w:p>
          <w:p w14:paraId="5133C569" w14:textId="0CA06999" w:rsidR="00DA1EA2" w:rsidRPr="00605FCE" w:rsidRDefault="00DA1EA2" w:rsidP="00605FCE">
            <w:pPr>
              <w:jc w:val="both"/>
              <w:rPr>
                <w:rFonts w:ascii="Arial" w:hAnsi="Arial" w:cs="Arial"/>
                <w:lang w:val="en-GB"/>
              </w:rPr>
            </w:pPr>
            <w:r>
              <w:rPr>
                <w:rFonts w:ascii="Arial" w:hAnsi="Arial" w:cs="Arial"/>
                <w:lang w:val="en-GB"/>
              </w:rPr>
              <w:t xml:space="preserve">The </w:t>
            </w:r>
            <w:r w:rsidR="00DA560E">
              <w:rPr>
                <w:rFonts w:ascii="Arial" w:hAnsi="Arial" w:cs="Arial"/>
                <w:lang w:val="en-GB"/>
              </w:rPr>
              <w:t>Authorities</w:t>
            </w:r>
            <w:r>
              <w:rPr>
                <w:rFonts w:ascii="Arial" w:hAnsi="Arial" w:cs="Arial"/>
                <w:lang w:val="en-GB"/>
              </w:rPr>
              <w:t xml:space="preserve"> </w:t>
            </w:r>
            <w:r w:rsidR="00E937B2">
              <w:rPr>
                <w:rFonts w:ascii="Arial" w:hAnsi="Arial" w:cs="Arial"/>
                <w:lang w:val="en-GB"/>
              </w:rPr>
              <w:t>do</w:t>
            </w:r>
            <w:r>
              <w:rPr>
                <w:rFonts w:ascii="Arial" w:hAnsi="Arial" w:cs="Arial"/>
                <w:lang w:val="en-GB"/>
              </w:rPr>
              <w:t xml:space="preserve"> not agree w</w:t>
            </w:r>
            <w:r w:rsidR="000C0D84">
              <w:rPr>
                <w:rFonts w:ascii="Arial" w:hAnsi="Arial" w:cs="Arial"/>
                <w:lang w:val="en-GB"/>
              </w:rPr>
              <w:t>ith the recommendation. The whole point of identifying the interconnections related to the transfer perimeter is to ensure that the transfer perimeter continues post separation.</w:t>
            </w:r>
          </w:p>
        </w:tc>
      </w:tr>
      <w:tr w:rsidR="00A459CC" w:rsidRPr="009D05E3" w14:paraId="6F5BD6B3" w14:textId="77777777" w:rsidTr="00473E16">
        <w:tc>
          <w:tcPr>
            <w:tcW w:w="1886" w:type="dxa"/>
          </w:tcPr>
          <w:p w14:paraId="27C6835A" w14:textId="1A0C1399" w:rsidR="00A459CC" w:rsidRPr="00892F3C" w:rsidRDefault="008C3A29" w:rsidP="008C3A29">
            <w:pPr>
              <w:spacing w:after="0"/>
              <w:jc w:val="center"/>
              <w:rPr>
                <w:rFonts w:ascii="Arial" w:hAnsi="Arial" w:cs="Arial"/>
                <w:lang w:val="en-GB"/>
              </w:rPr>
            </w:pPr>
            <w:r w:rsidRPr="00892F3C">
              <w:rPr>
                <w:rFonts w:ascii="Arial" w:hAnsi="Arial" w:cs="Arial"/>
                <w:lang w:val="en-GB"/>
              </w:rPr>
              <w:t>95</w:t>
            </w:r>
          </w:p>
        </w:tc>
        <w:tc>
          <w:tcPr>
            <w:tcW w:w="2078" w:type="dxa"/>
          </w:tcPr>
          <w:p w14:paraId="05A9CAD9" w14:textId="688813CD"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5DD78E51" w14:textId="596D8DB3" w:rsidR="00A459CC" w:rsidRPr="00892F3C" w:rsidRDefault="00A459CC" w:rsidP="00005246">
            <w:pPr>
              <w:spacing w:after="0" w:line="240" w:lineRule="auto"/>
              <w:jc w:val="both"/>
              <w:rPr>
                <w:rFonts w:ascii="Arial" w:hAnsi="Arial" w:cs="Arial"/>
                <w:bCs/>
              </w:rPr>
            </w:pPr>
            <w:r w:rsidRPr="00892F3C">
              <w:rPr>
                <w:rFonts w:ascii="Arial" w:hAnsi="Arial" w:cs="Arial"/>
                <w:bCs/>
              </w:rPr>
              <w:t>8.5(c)(iv)</w:t>
            </w:r>
          </w:p>
        </w:tc>
        <w:tc>
          <w:tcPr>
            <w:tcW w:w="7903" w:type="dxa"/>
          </w:tcPr>
          <w:p w14:paraId="317BAF10" w14:textId="32905E50" w:rsidR="00A459CC" w:rsidRPr="00892F3C" w:rsidRDefault="00A459CC" w:rsidP="00A459CC">
            <w:pPr>
              <w:jc w:val="both"/>
              <w:rPr>
                <w:rFonts w:ascii="Arial" w:hAnsi="Arial" w:cs="Arial"/>
                <w:bCs/>
              </w:rPr>
            </w:pPr>
            <w:r w:rsidRPr="00892F3C">
              <w:rPr>
                <w:rFonts w:ascii="Arial" w:hAnsi="Arial" w:cs="Arial"/>
                <w:bCs/>
              </w:rPr>
              <w:t xml:space="preserve">Consideration should be given to how interconnection will play out with regards to intra-group loans in different jurisdictions. It should be noted that there are </w:t>
            </w:r>
            <w:r w:rsidRPr="00892F3C">
              <w:rPr>
                <w:rFonts w:ascii="Arial" w:hAnsi="Arial" w:cs="Arial"/>
                <w:bCs/>
              </w:rPr>
              <w:lastRenderedPageBreak/>
              <w:t>complexities around transferability and cancelling of intra-group loans and issuing of new loans.</w:t>
            </w:r>
          </w:p>
        </w:tc>
        <w:tc>
          <w:tcPr>
            <w:tcW w:w="6416" w:type="dxa"/>
            <w:shd w:val="clear" w:color="auto" w:fill="auto"/>
          </w:tcPr>
          <w:p w14:paraId="70F7D964" w14:textId="01A57B53" w:rsidR="00A459CC" w:rsidRPr="000E40DC" w:rsidRDefault="000E40DC" w:rsidP="000E40DC">
            <w:pPr>
              <w:jc w:val="both"/>
              <w:rPr>
                <w:rFonts w:ascii="Arial" w:hAnsi="Arial" w:cs="Arial"/>
                <w:lang w:val="en-GB"/>
              </w:rPr>
            </w:pPr>
            <w:r>
              <w:rPr>
                <w:rFonts w:ascii="Arial" w:hAnsi="Arial" w:cs="Arial"/>
                <w:lang w:val="en-GB"/>
              </w:rPr>
              <w:lastRenderedPageBreak/>
              <w:t>Noted</w:t>
            </w:r>
          </w:p>
        </w:tc>
      </w:tr>
      <w:tr w:rsidR="00A459CC" w:rsidRPr="009D05E3" w14:paraId="2F207720" w14:textId="77777777" w:rsidTr="00515BD8">
        <w:tc>
          <w:tcPr>
            <w:tcW w:w="1886" w:type="dxa"/>
          </w:tcPr>
          <w:p w14:paraId="4EBFC5AA" w14:textId="4C964B8B" w:rsidR="00A459CC" w:rsidRPr="00892F3C" w:rsidRDefault="008C3A29" w:rsidP="008C3A29">
            <w:pPr>
              <w:spacing w:after="0"/>
              <w:jc w:val="center"/>
              <w:rPr>
                <w:rFonts w:ascii="Arial" w:hAnsi="Arial" w:cs="Arial"/>
                <w:lang w:val="en-GB"/>
              </w:rPr>
            </w:pPr>
            <w:r w:rsidRPr="00892F3C">
              <w:rPr>
                <w:rFonts w:ascii="Arial" w:hAnsi="Arial" w:cs="Arial"/>
                <w:lang w:val="en-GB"/>
              </w:rPr>
              <w:t>96</w:t>
            </w:r>
          </w:p>
        </w:tc>
        <w:tc>
          <w:tcPr>
            <w:tcW w:w="2078" w:type="dxa"/>
          </w:tcPr>
          <w:p w14:paraId="2E0EF0E3" w14:textId="476C9BB4"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56D7128B" w14:textId="77777777" w:rsidR="00A459CC" w:rsidRPr="006F6F72" w:rsidRDefault="00A459CC" w:rsidP="00005246">
            <w:pPr>
              <w:spacing w:after="0" w:line="240" w:lineRule="auto"/>
              <w:jc w:val="both"/>
              <w:rPr>
                <w:rFonts w:ascii="Arial" w:hAnsi="Arial" w:cs="Arial"/>
                <w:bCs/>
                <w:color w:val="000000" w:themeColor="text1"/>
              </w:rPr>
            </w:pPr>
            <w:r w:rsidRPr="006F6F72">
              <w:rPr>
                <w:rFonts w:ascii="Arial" w:hAnsi="Arial" w:cs="Arial"/>
                <w:bCs/>
                <w:color w:val="000000" w:themeColor="text1"/>
              </w:rPr>
              <w:t xml:space="preserve">8.6 Requirements for the transfer playbook </w:t>
            </w:r>
          </w:p>
          <w:p w14:paraId="5C025DF0" w14:textId="693DEA4E" w:rsidR="00A459CC" w:rsidRPr="006F6F72" w:rsidRDefault="00A459CC" w:rsidP="00005246">
            <w:pPr>
              <w:spacing w:after="0" w:line="240" w:lineRule="auto"/>
              <w:jc w:val="both"/>
              <w:rPr>
                <w:rFonts w:ascii="Arial" w:hAnsi="Arial" w:cs="Arial"/>
                <w:bCs/>
                <w:color w:val="000000" w:themeColor="text1"/>
              </w:rPr>
            </w:pPr>
            <w:r w:rsidRPr="006F6F72">
              <w:rPr>
                <w:rFonts w:ascii="Arial" w:hAnsi="Arial" w:cs="Arial"/>
                <w:bCs/>
                <w:color w:val="000000" w:themeColor="text1"/>
              </w:rPr>
              <w:t>(a)(</w:t>
            </w:r>
            <w:proofErr w:type="spellStart"/>
            <w:r w:rsidRPr="006F6F72">
              <w:rPr>
                <w:rFonts w:ascii="Arial" w:hAnsi="Arial" w:cs="Arial"/>
                <w:bCs/>
                <w:color w:val="000000" w:themeColor="text1"/>
              </w:rPr>
              <w:t>i</w:t>
            </w:r>
            <w:proofErr w:type="spellEnd"/>
            <w:r w:rsidRPr="006F6F72">
              <w:rPr>
                <w:rFonts w:ascii="Arial" w:hAnsi="Arial" w:cs="Arial"/>
                <w:bCs/>
                <w:color w:val="000000" w:themeColor="text1"/>
              </w:rPr>
              <w:t>) to (iii)</w:t>
            </w:r>
          </w:p>
          <w:p w14:paraId="7B9D7531" w14:textId="4CB71044" w:rsidR="00A459CC" w:rsidRPr="006F6F72" w:rsidRDefault="00A459CC" w:rsidP="00005246">
            <w:pPr>
              <w:spacing w:after="0" w:line="240" w:lineRule="auto"/>
              <w:jc w:val="both"/>
              <w:rPr>
                <w:rFonts w:ascii="Arial" w:hAnsi="Arial" w:cs="Arial"/>
                <w:bCs/>
                <w:color w:val="000000" w:themeColor="text1"/>
              </w:rPr>
            </w:pPr>
            <w:r w:rsidRPr="006F6F72">
              <w:rPr>
                <w:rFonts w:ascii="Arial" w:hAnsi="Arial" w:cs="Arial"/>
                <w:bCs/>
                <w:color w:val="000000" w:themeColor="text1"/>
              </w:rPr>
              <w:t>(b)(</w:t>
            </w:r>
            <w:proofErr w:type="spellStart"/>
            <w:r w:rsidRPr="006F6F72">
              <w:rPr>
                <w:rFonts w:ascii="Arial" w:hAnsi="Arial" w:cs="Arial"/>
                <w:bCs/>
                <w:color w:val="000000" w:themeColor="text1"/>
              </w:rPr>
              <w:t>i</w:t>
            </w:r>
            <w:proofErr w:type="spellEnd"/>
            <w:r w:rsidRPr="006F6F72">
              <w:rPr>
                <w:rFonts w:ascii="Arial" w:hAnsi="Arial" w:cs="Arial"/>
                <w:bCs/>
                <w:color w:val="000000" w:themeColor="text1"/>
              </w:rPr>
              <w:t>) to (v)</w:t>
            </w:r>
          </w:p>
          <w:p w14:paraId="0E3BFE0C" w14:textId="405A1C74" w:rsidR="00A459CC" w:rsidRPr="00892F3C" w:rsidRDefault="00A459CC" w:rsidP="00005246">
            <w:pPr>
              <w:spacing w:after="0" w:line="240" w:lineRule="auto"/>
              <w:jc w:val="both"/>
              <w:rPr>
                <w:rFonts w:ascii="Arial" w:hAnsi="Arial" w:cs="Arial"/>
                <w:bCs/>
              </w:rPr>
            </w:pPr>
          </w:p>
        </w:tc>
        <w:tc>
          <w:tcPr>
            <w:tcW w:w="7903" w:type="dxa"/>
          </w:tcPr>
          <w:p w14:paraId="7A04D41C" w14:textId="77777777" w:rsidR="00A459CC" w:rsidRPr="00892F3C" w:rsidRDefault="00A459CC" w:rsidP="00A11BB0">
            <w:pPr>
              <w:jc w:val="both"/>
              <w:rPr>
                <w:rFonts w:ascii="Arial" w:hAnsi="Arial" w:cs="Arial"/>
                <w:bCs/>
              </w:rPr>
            </w:pPr>
            <w:r w:rsidRPr="00892F3C">
              <w:rPr>
                <w:rFonts w:ascii="Arial" w:hAnsi="Arial" w:cs="Arial"/>
                <w:bCs/>
              </w:rPr>
              <w:t>We are concerned about the amount of time and resources that could be required to fulfil this requirement, depending on the scale of the transfer perimeter.</w:t>
            </w:r>
          </w:p>
          <w:p w14:paraId="2E8DD413" w14:textId="77777777" w:rsidR="00A459CC" w:rsidRPr="00892F3C" w:rsidRDefault="00A459CC" w:rsidP="00A459CC">
            <w:pPr>
              <w:jc w:val="both"/>
              <w:rPr>
                <w:rFonts w:ascii="Arial" w:hAnsi="Arial" w:cs="Arial"/>
                <w:bCs/>
              </w:rPr>
            </w:pPr>
          </w:p>
        </w:tc>
        <w:tc>
          <w:tcPr>
            <w:tcW w:w="6416" w:type="dxa"/>
            <w:shd w:val="clear" w:color="auto" w:fill="auto"/>
          </w:tcPr>
          <w:p w14:paraId="41FCDDD6" w14:textId="5469A8C4" w:rsidR="00E85584" w:rsidRDefault="00E85584" w:rsidP="00E85584">
            <w:pPr>
              <w:spacing w:after="0" w:line="240" w:lineRule="auto"/>
              <w:jc w:val="both"/>
              <w:rPr>
                <w:rFonts w:ascii="Arial" w:eastAsia="Times New Roman" w:hAnsi="Arial" w:cs="Arial"/>
                <w:lang w:val="en-GB"/>
              </w:rPr>
            </w:pPr>
            <w:r w:rsidRPr="00E85584">
              <w:rPr>
                <w:rFonts w:ascii="Arial" w:eastAsia="Times New Roman" w:hAnsi="Arial" w:cs="Arial"/>
                <w:lang w:val="en-GB"/>
              </w:rPr>
              <w:t xml:space="preserve">The </w:t>
            </w:r>
            <w:r w:rsidR="00DA560E">
              <w:rPr>
                <w:rFonts w:ascii="Arial" w:eastAsia="Times New Roman" w:hAnsi="Arial" w:cs="Arial"/>
                <w:lang w:val="en-GB"/>
              </w:rPr>
              <w:t>Authorities</w:t>
            </w:r>
            <w:r w:rsidRPr="00E85584">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requirements in the Standard.</w:t>
            </w:r>
          </w:p>
          <w:p w14:paraId="120D9BD8" w14:textId="02A9AA74" w:rsidR="00A459CC" w:rsidRPr="000E40DC" w:rsidRDefault="00A459CC" w:rsidP="000E40DC">
            <w:pPr>
              <w:jc w:val="both"/>
              <w:rPr>
                <w:rFonts w:ascii="Arial" w:hAnsi="Arial" w:cs="Arial"/>
                <w:lang w:val="en-GB"/>
              </w:rPr>
            </w:pPr>
          </w:p>
        </w:tc>
      </w:tr>
      <w:tr w:rsidR="00A459CC" w:rsidRPr="009D05E3" w14:paraId="1A794D9A" w14:textId="77777777" w:rsidTr="00515BD8">
        <w:trPr>
          <w:trHeight w:val="1708"/>
        </w:trPr>
        <w:tc>
          <w:tcPr>
            <w:tcW w:w="1886" w:type="dxa"/>
          </w:tcPr>
          <w:p w14:paraId="0B86CF4F" w14:textId="00DD8130" w:rsidR="00A459CC" w:rsidRPr="00892F3C" w:rsidRDefault="008C3A29" w:rsidP="008C3A29">
            <w:pPr>
              <w:spacing w:after="0"/>
              <w:jc w:val="center"/>
              <w:rPr>
                <w:rFonts w:ascii="Arial" w:hAnsi="Arial" w:cs="Arial"/>
                <w:lang w:val="en-GB"/>
              </w:rPr>
            </w:pPr>
            <w:r w:rsidRPr="00892F3C">
              <w:rPr>
                <w:rFonts w:ascii="Arial" w:hAnsi="Arial" w:cs="Arial"/>
                <w:lang w:val="en-GB"/>
              </w:rPr>
              <w:t>97</w:t>
            </w:r>
          </w:p>
        </w:tc>
        <w:tc>
          <w:tcPr>
            <w:tcW w:w="2078" w:type="dxa"/>
          </w:tcPr>
          <w:p w14:paraId="4DCBC484" w14:textId="2C9E2860" w:rsidR="00A459CC" w:rsidRPr="00892F3C" w:rsidRDefault="00A459CC" w:rsidP="00A459CC">
            <w:pPr>
              <w:spacing w:after="0" w:line="240" w:lineRule="auto"/>
              <w:jc w:val="both"/>
              <w:rPr>
                <w:rFonts w:ascii="Arial" w:hAnsi="Arial" w:cs="Arial"/>
                <w:lang w:val="en-GB"/>
              </w:rPr>
            </w:pPr>
            <w:r w:rsidRPr="00892F3C">
              <w:rPr>
                <w:rFonts w:ascii="Arial" w:hAnsi="Arial" w:cs="Arial"/>
              </w:rPr>
              <w:t>BASA</w:t>
            </w:r>
          </w:p>
        </w:tc>
        <w:tc>
          <w:tcPr>
            <w:tcW w:w="2691" w:type="dxa"/>
          </w:tcPr>
          <w:p w14:paraId="1D3EEC59" w14:textId="1F2F9E32" w:rsidR="00A459CC" w:rsidRPr="00892F3C" w:rsidRDefault="00A459CC" w:rsidP="00005246">
            <w:pPr>
              <w:spacing w:after="0" w:line="240" w:lineRule="auto"/>
              <w:jc w:val="both"/>
              <w:rPr>
                <w:rFonts w:ascii="Arial" w:hAnsi="Arial" w:cs="Arial"/>
                <w:bCs/>
              </w:rPr>
            </w:pPr>
            <w:r w:rsidRPr="00892F3C">
              <w:rPr>
                <w:rFonts w:ascii="Arial" w:hAnsi="Arial" w:cs="Arial"/>
                <w:bCs/>
              </w:rPr>
              <w:t>8.6 Requirements for the transfer playbook</w:t>
            </w:r>
          </w:p>
        </w:tc>
        <w:tc>
          <w:tcPr>
            <w:tcW w:w="7903" w:type="dxa"/>
          </w:tcPr>
          <w:p w14:paraId="11FDD77E" w14:textId="6AD0F9B0" w:rsidR="00A459CC" w:rsidRPr="00892F3C" w:rsidRDefault="00A459CC" w:rsidP="00A459CC">
            <w:pPr>
              <w:jc w:val="both"/>
              <w:rPr>
                <w:rFonts w:ascii="Arial" w:hAnsi="Arial" w:cs="Arial"/>
                <w:bCs/>
              </w:rPr>
            </w:pPr>
            <w:r w:rsidRPr="00892F3C">
              <w:rPr>
                <w:rFonts w:ascii="Arial" w:hAnsi="Arial" w:cs="Arial"/>
                <w:bCs/>
              </w:rPr>
              <w:t xml:space="preserve">This section provides details on what is required of a playbook, but the creation of this playbook would require many manhours to design and complete.  </w:t>
            </w:r>
          </w:p>
        </w:tc>
        <w:tc>
          <w:tcPr>
            <w:tcW w:w="6416" w:type="dxa"/>
            <w:shd w:val="clear" w:color="auto" w:fill="auto"/>
          </w:tcPr>
          <w:p w14:paraId="5240C959" w14:textId="3603FB1A" w:rsidR="00A459CC" w:rsidRPr="00353AF3" w:rsidRDefault="00407792" w:rsidP="00054DBB">
            <w:pPr>
              <w:spacing w:after="0" w:line="240" w:lineRule="auto"/>
              <w:jc w:val="both"/>
              <w:rPr>
                <w:rFonts w:ascii="Arial" w:hAnsi="Arial" w:cs="Arial"/>
                <w:lang w:val="en-GB"/>
              </w:rPr>
            </w:pPr>
            <w:r w:rsidRPr="00407792">
              <w:rPr>
                <w:rFonts w:ascii="Arial" w:eastAsia="Times New Roman" w:hAnsi="Arial" w:cs="Arial"/>
                <w:lang w:val="en-GB"/>
              </w:rPr>
              <w:t xml:space="preserve">The </w:t>
            </w:r>
            <w:r w:rsidR="00DA560E">
              <w:rPr>
                <w:rFonts w:ascii="Arial" w:eastAsia="Times New Roman" w:hAnsi="Arial" w:cs="Arial"/>
                <w:lang w:val="en-GB"/>
              </w:rPr>
              <w:t>Authorities</w:t>
            </w:r>
            <w:r w:rsidRPr="00407792">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requirements in the Standard.</w:t>
            </w:r>
          </w:p>
        </w:tc>
      </w:tr>
      <w:tr w:rsidR="00532AB8" w:rsidRPr="009D05E3" w14:paraId="27253A5B" w14:textId="603B0462" w:rsidTr="00532AB8">
        <w:trPr>
          <w:trHeight w:val="286"/>
        </w:trPr>
        <w:tc>
          <w:tcPr>
            <w:tcW w:w="20974" w:type="dxa"/>
            <w:gridSpan w:val="5"/>
            <w:shd w:val="clear" w:color="auto" w:fill="D9D9D9" w:themeFill="background1" w:themeFillShade="D9"/>
          </w:tcPr>
          <w:p w14:paraId="532416D7" w14:textId="1B2B2468" w:rsidR="00532AB8" w:rsidRPr="009D05E3" w:rsidRDefault="00532AB8" w:rsidP="00532AB8">
            <w:pPr>
              <w:pStyle w:val="ListParagraph"/>
              <w:jc w:val="center"/>
              <w:rPr>
                <w:rFonts w:ascii="Arial" w:hAnsi="Arial" w:cs="Arial"/>
                <w:b/>
                <w:sz w:val="32"/>
                <w:szCs w:val="32"/>
                <w:lang w:val="en-GB"/>
              </w:rPr>
            </w:pPr>
            <w:r>
              <w:rPr>
                <w:rFonts w:ascii="Arial" w:hAnsi="Arial" w:cs="Arial"/>
                <w:b/>
                <w:sz w:val="32"/>
                <w:szCs w:val="32"/>
                <w:lang w:val="en-GB"/>
              </w:rPr>
              <w:t>9.</w:t>
            </w:r>
            <w:r w:rsidRPr="00532AB8">
              <w:rPr>
                <w:rFonts w:ascii="Arial" w:hAnsi="Arial" w:cs="Arial"/>
                <w:b/>
                <w:sz w:val="32"/>
                <w:szCs w:val="32"/>
                <w:lang w:val="en-GB"/>
              </w:rPr>
              <w:t>Protected arrangements</w:t>
            </w:r>
          </w:p>
        </w:tc>
      </w:tr>
      <w:tr w:rsidR="00A459CC" w:rsidRPr="009D05E3" w14:paraId="5B31B8F2" w14:textId="77777777" w:rsidTr="0067475E">
        <w:tc>
          <w:tcPr>
            <w:tcW w:w="1886" w:type="dxa"/>
            <w:shd w:val="clear" w:color="auto" w:fill="auto"/>
          </w:tcPr>
          <w:p w14:paraId="1FC85C4E" w14:textId="4297CFB1" w:rsidR="00A459CC" w:rsidRPr="00892F3C" w:rsidRDefault="008C3A29" w:rsidP="008C3A29">
            <w:pPr>
              <w:spacing w:after="0"/>
              <w:jc w:val="center"/>
              <w:rPr>
                <w:rFonts w:ascii="Arial" w:hAnsi="Arial" w:cs="Arial"/>
                <w:lang w:val="en-GB"/>
              </w:rPr>
            </w:pPr>
            <w:r w:rsidRPr="00892F3C">
              <w:rPr>
                <w:rFonts w:ascii="Arial" w:hAnsi="Arial" w:cs="Arial"/>
                <w:lang w:val="en-GB"/>
              </w:rPr>
              <w:t>98</w:t>
            </w:r>
          </w:p>
        </w:tc>
        <w:tc>
          <w:tcPr>
            <w:tcW w:w="2078" w:type="dxa"/>
            <w:shd w:val="clear" w:color="auto" w:fill="auto"/>
          </w:tcPr>
          <w:p w14:paraId="6489E670" w14:textId="32C6DA48" w:rsidR="00A459CC" w:rsidRPr="00892F3C" w:rsidRDefault="00A459CC" w:rsidP="00A459CC">
            <w:pPr>
              <w:spacing w:after="0" w:line="240" w:lineRule="auto"/>
              <w:rPr>
                <w:rFonts w:ascii="Arial" w:hAnsi="Arial" w:cs="Arial"/>
                <w:lang w:val="en-GB"/>
              </w:rPr>
            </w:pPr>
            <w:r w:rsidRPr="00892F3C">
              <w:rPr>
                <w:rFonts w:ascii="Arial" w:hAnsi="Arial" w:cs="Arial"/>
              </w:rPr>
              <w:t>CLS</w:t>
            </w:r>
          </w:p>
        </w:tc>
        <w:tc>
          <w:tcPr>
            <w:tcW w:w="2691" w:type="dxa"/>
            <w:shd w:val="clear" w:color="auto" w:fill="auto"/>
          </w:tcPr>
          <w:p w14:paraId="1CE5ECE9" w14:textId="77777777" w:rsidR="00A459CC" w:rsidRPr="009D26FF" w:rsidRDefault="00A459CC" w:rsidP="00005246">
            <w:pPr>
              <w:spacing w:after="0" w:line="240" w:lineRule="auto"/>
              <w:jc w:val="both"/>
              <w:rPr>
                <w:rFonts w:ascii="Arial" w:hAnsi="Arial" w:cs="Arial"/>
                <w:bCs/>
              </w:rPr>
            </w:pPr>
            <w:r w:rsidRPr="009D26FF">
              <w:rPr>
                <w:rFonts w:ascii="Arial" w:hAnsi="Arial" w:cs="Arial"/>
                <w:bCs/>
              </w:rPr>
              <w:t>9.2</w:t>
            </w:r>
          </w:p>
          <w:p w14:paraId="195A492E" w14:textId="25C7A0F4" w:rsidR="00A459CC" w:rsidRPr="009D26FF" w:rsidRDefault="00A459CC" w:rsidP="00005246">
            <w:pPr>
              <w:spacing w:after="0" w:line="240" w:lineRule="auto"/>
              <w:jc w:val="both"/>
              <w:rPr>
                <w:rFonts w:ascii="Arial" w:hAnsi="Arial" w:cs="Arial"/>
                <w:bCs/>
              </w:rPr>
            </w:pPr>
            <w:r w:rsidRPr="009D26FF">
              <w:rPr>
                <w:rFonts w:ascii="Arial" w:hAnsi="Arial" w:cs="Arial"/>
                <w:bCs/>
              </w:rPr>
              <w:t>(</w:t>
            </w:r>
            <w:proofErr w:type="gramStart"/>
            <w:r w:rsidRPr="009D26FF">
              <w:rPr>
                <w:rFonts w:ascii="Arial" w:hAnsi="Arial" w:cs="Arial"/>
                <w:bCs/>
              </w:rPr>
              <w:t>as</w:t>
            </w:r>
            <w:proofErr w:type="gramEnd"/>
            <w:r w:rsidRPr="009D26FF">
              <w:rPr>
                <w:rFonts w:ascii="Arial" w:hAnsi="Arial" w:cs="Arial"/>
                <w:bCs/>
              </w:rPr>
              <w:t xml:space="preserve"> a new insertion)</w:t>
            </w:r>
          </w:p>
        </w:tc>
        <w:tc>
          <w:tcPr>
            <w:tcW w:w="7903" w:type="dxa"/>
            <w:shd w:val="clear" w:color="auto" w:fill="auto"/>
          </w:tcPr>
          <w:p w14:paraId="5E4DFCA5" w14:textId="77777777" w:rsidR="00A459CC" w:rsidRPr="009D26FF" w:rsidRDefault="00A459CC" w:rsidP="00A459CC">
            <w:pPr>
              <w:spacing w:after="120"/>
              <w:rPr>
                <w:rFonts w:ascii="Arial" w:hAnsi="Arial" w:cs="Arial"/>
                <w:bCs/>
              </w:rPr>
            </w:pPr>
            <w:r w:rsidRPr="009D26FF">
              <w:rPr>
                <w:rFonts w:ascii="Arial" w:hAnsi="Arial" w:cs="Arial"/>
                <w:bCs/>
              </w:rPr>
              <w:t>The following additional sub-paragraph is proposed under paragraph 9 (protected arrangements):</w:t>
            </w:r>
          </w:p>
          <w:p w14:paraId="37B6322B" w14:textId="70E22C37" w:rsidR="00A459CC" w:rsidRPr="009D26FF" w:rsidRDefault="00A459CC" w:rsidP="00A459CC">
            <w:pPr>
              <w:spacing w:after="0" w:line="240" w:lineRule="auto"/>
              <w:jc w:val="both"/>
              <w:rPr>
                <w:rFonts w:ascii="Arial" w:hAnsi="Arial" w:cs="Arial"/>
                <w:i/>
                <w:iCs/>
              </w:rPr>
            </w:pPr>
            <w:r w:rsidRPr="009D26FF">
              <w:rPr>
                <w:rFonts w:ascii="Arial" w:eastAsia="Times New Roman" w:hAnsi="Arial" w:cs="Arial"/>
                <w:i/>
                <w:iCs/>
                <w:color w:val="000000" w:themeColor="text1"/>
                <w:lang w:val="en-US"/>
              </w:rPr>
              <w:t>“The SARB must, in all circumstances, including in the event of a partial transfer, apply safeguards to protect the integrity of transactions in a settlement system and in a designated settlement system, including financial arrangements relating to the participation of the designated institution in such systems, such as finality, netting arrangements, collateralization, and fulfillment of the participant’s obligations to such systems, as contemplated in section 166S(9) of the FSR Act.”</w:t>
            </w:r>
          </w:p>
        </w:tc>
        <w:tc>
          <w:tcPr>
            <w:tcW w:w="6416" w:type="dxa"/>
            <w:shd w:val="clear" w:color="auto" w:fill="auto"/>
          </w:tcPr>
          <w:p w14:paraId="0756A13B" w14:textId="0607711C" w:rsidR="00717B7E" w:rsidRDefault="00191CC7" w:rsidP="00A459CC">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124CC6">
              <w:rPr>
                <w:rFonts w:ascii="Arial" w:eastAsia="Times New Roman" w:hAnsi="Arial" w:cs="Arial"/>
                <w:lang w:val="en-GB"/>
              </w:rPr>
              <w:t>A</w:t>
            </w:r>
            <w:r>
              <w:rPr>
                <w:rFonts w:ascii="Arial" w:eastAsia="Times New Roman" w:hAnsi="Arial" w:cs="Arial"/>
                <w:lang w:val="en-GB"/>
              </w:rPr>
              <w:t xml:space="preserve">uthorities will </w:t>
            </w:r>
            <w:r w:rsidR="000F6C89">
              <w:rPr>
                <w:rFonts w:ascii="Arial" w:eastAsia="Times New Roman" w:hAnsi="Arial" w:cs="Arial"/>
                <w:lang w:val="en-GB"/>
              </w:rPr>
              <w:t>apply safeguards stipulated in section 5 of the NPS Act to transactions in a settlement system (including a designated settlement system) to safeguard or protect those transactions</w:t>
            </w:r>
            <w:r w:rsidR="00C948FC">
              <w:rPr>
                <w:rFonts w:ascii="Arial" w:eastAsia="Times New Roman" w:hAnsi="Arial" w:cs="Arial"/>
                <w:lang w:val="en-GB"/>
              </w:rPr>
              <w:t xml:space="preserve">, where </w:t>
            </w:r>
            <w:r w:rsidR="0067475E">
              <w:rPr>
                <w:rFonts w:ascii="Arial" w:eastAsia="Times New Roman" w:hAnsi="Arial" w:cs="Arial"/>
                <w:lang w:val="en-GB"/>
              </w:rPr>
              <w:t>relevant, in a partial transfer strategy.</w:t>
            </w:r>
          </w:p>
          <w:p w14:paraId="6B36DE43" w14:textId="77777777" w:rsidR="00717B7E" w:rsidRDefault="00717B7E" w:rsidP="00A459CC">
            <w:pPr>
              <w:spacing w:after="0" w:line="240" w:lineRule="auto"/>
              <w:jc w:val="both"/>
              <w:rPr>
                <w:rFonts w:ascii="Arial" w:eastAsia="Times New Roman" w:hAnsi="Arial" w:cs="Arial"/>
                <w:lang w:val="en-GB"/>
              </w:rPr>
            </w:pPr>
          </w:p>
          <w:p w14:paraId="5AF9DF99" w14:textId="008C0956" w:rsidR="00717B7E" w:rsidRPr="009D26FF" w:rsidRDefault="00717B7E" w:rsidP="00A459CC">
            <w:pPr>
              <w:spacing w:after="0" w:line="240" w:lineRule="auto"/>
              <w:jc w:val="both"/>
              <w:rPr>
                <w:rFonts w:ascii="Arial" w:eastAsia="Times New Roman" w:hAnsi="Arial" w:cs="Arial"/>
                <w:lang w:val="en-GB"/>
              </w:rPr>
            </w:pPr>
            <w:r>
              <w:rPr>
                <w:rFonts w:ascii="Arial" w:eastAsia="Times New Roman" w:hAnsi="Arial" w:cs="Arial"/>
                <w:lang w:val="en-GB"/>
              </w:rPr>
              <w:t>A new insertion has been made under prote</w:t>
            </w:r>
            <w:r w:rsidR="006754D7">
              <w:rPr>
                <w:rFonts w:ascii="Arial" w:eastAsia="Times New Roman" w:hAnsi="Arial" w:cs="Arial"/>
                <w:lang w:val="en-GB"/>
              </w:rPr>
              <w:t>cted arrangements</w:t>
            </w:r>
            <w:r>
              <w:rPr>
                <w:rFonts w:ascii="Arial" w:eastAsia="Times New Roman" w:hAnsi="Arial" w:cs="Arial"/>
                <w:lang w:val="en-GB"/>
              </w:rPr>
              <w:t xml:space="preserve"> to include the above safeguard.</w:t>
            </w:r>
          </w:p>
          <w:p w14:paraId="262A637F" w14:textId="4937F6FB" w:rsidR="000303E4" w:rsidRDefault="000303E4" w:rsidP="00A459CC">
            <w:pPr>
              <w:spacing w:after="0" w:line="240" w:lineRule="auto"/>
              <w:jc w:val="both"/>
              <w:rPr>
                <w:rFonts w:ascii="Arial" w:eastAsia="Times New Roman" w:hAnsi="Arial" w:cs="Arial"/>
                <w:color w:val="000000" w:themeColor="text1"/>
                <w:lang w:val="en-US"/>
              </w:rPr>
            </w:pPr>
          </w:p>
          <w:p w14:paraId="63AF67E5" w14:textId="48A3F99E" w:rsidR="00CA4C1D" w:rsidRPr="00892F3C" w:rsidRDefault="00CA4C1D" w:rsidP="00A459CC">
            <w:pPr>
              <w:spacing w:after="0" w:line="240" w:lineRule="auto"/>
              <w:jc w:val="both"/>
              <w:rPr>
                <w:rFonts w:ascii="Arial" w:eastAsia="Times New Roman" w:hAnsi="Arial" w:cs="Arial"/>
                <w:lang w:val="en-GB"/>
              </w:rPr>
            </w:pPr>
          </w:p>
        </w:tc>
      </w:tr>
      <w:tr w:rsidR="00A459CC" w:rsidRPr="009D05E3" w14:paraId="77EFB195" w14:textId="77777777" w:rsidTr="00FC2C40">
        <w:tc>
          <w:tcPr>
            <w:tcW w:w="1886" w:type="dxa"/>
          </w:tcPr>
          <w:p w14:paraId="56625171" w14:textId="204E0A9D" w:rsidR="00A459CC" w:rsidRPr="00892F3C" w:rsidRDefault="008C3A29" w:rsidP="008C3A29">
            <w:pPr>
              <w:spacing w:after="0"/>
              <w:jc w:val="center"/>
              <w:rPr>
                <w:rFonts w:ascii="Arial" w:hAnsi="Arial" w:cs="Arial"/>
                <w:lang w:val="en-GB"/>
              </w:rPr>
            </w:pPr>
            <w:r w:rsidRPr="00892F3C">
              <w:rPr>
                <w:rFonts w:ascii="Arial" w:hAnsi="Arial" w:cs="Arial"/>
                <w:lang w:val="en-GB"/>
              </w:rPr>
              <w:t>99</w:t>
            </w:r>
          </w:p>
        </w:tc>
        <w:tc>
          <w:tcPr>
            <w:tcW w:w="2078" w:type="dxa"/>
          </w:tcPr>
          <w:p w14:paraId="14DB4BC6" w14:textId="11B0CCEF" w:rsidR="00A459CC" w:rsidRPr="00892F3C" w:rsidRDefault="00A459CC" w:rsidP="00A459CC">
            <w:pPr>
              <w:spacing w:after="0" w:line="240" w:lineRule="auto"/>
              <w:rPr>
                <w:rFonts w:ascii="Arial" w:hAnsi="Arial" w:cs="Arial"/>
                <w:lang w:val="en-GB"/>
              </w:rPr>
            </w:pPr>
            <w:r w:rsidRPr="00892F3C">
              <w:rPr>
                <w:rFonts w:ascii="Arial" w:hAnsi="Arial" w:cs="Arial"/>
              </w:rPr>
              <w:t>FirstRand</w:t>
            </w:r>
          </w:p>
        </w:tc>
        <w:tc>
          <w:tcPr>
            <w:tcW w:w="2691" w:type="dxa"/>
          </w:tcPr>
          <w:p w14:paraId="3BF697BD" w14:textId="73753B53" w:rsidR="00A459CC" w:rsidRPr="00892F3C" w:rsidRDefault="00A459CC" w:rsidP="00005246">
            <w:pPr>
              <w:spacing w:after="0" w:line="240" w:lineRule="auto"/>
              <w:jc w:val="both"/>
              <w:rPr>
                <w:rFonts w:ascii="Arial" w:hAnsi="Arial" w:cs="Arial"/>
                <w:bCs/>
              </w:rPr>
            </w:pPr>
            <w:r w:rsidRPr="00892F3C">
              <w:rPr>
                <w:rFonts w:ascii="Arial" w:hAnsi="Arial" w:cs="Arial"/>
                <w:bCs/>
              </w:rPr>
              <w:t>-</w:t>
            </w:r>
          </w:p>
        </w:tc>
        <w:tc>
          <w:tcPr>
            <w:tcW w:w="7903" w:type="dxa"/>
          </w:tcPr>
          <w:p w14:paraId="7E27F8F6" w14:textId="383228E0" w:rsidR="00A459CC" w:rsidRPr="00892F3C" w:rsidRDefault="00A459CC" w:rsidP="00A459CC">
            <w:pPr>
              <w:spacing w:after="0" w:line="240" w:lineRule="auto"/>
              <w:rPr>
                <w:rFonts w:ascii="Arial" w:eastAsia="Times New Roman" w:hAnsi="Arial" w:cs="Arial"/>
                <w:lang w:val="en-GB"/>
              </w:rPr>
            </w:pPr>
            <w:r w:rsidRPr="00892F3C">
              <w:rPr>
                <w:rFonts w:ascii="Arial" w:eastAsia="Times New Roman" w:hAnsi="Arial" w:cs="Arial"/>
                <w:lang w:val="en-GB"/>
              </w:rPr>
              <w:t>No comment</w:t>
            </w:r>
          </w:p>
        </w:tc>
        <w:tc>
          <w:tcPr>
            <w:tcW w:w="6416" w:type="dxa"/>
          </w:tcPr>
          <w:p w14:paraId="5E86E442" w14:textId="449B541C" w:rsidR="00A459CC" w:rsidRPr="00892F3C" w:rsidRDefault="00A459CC" w:rsidP="00A459CC">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A459CC" w:rsidRPr="009D05E3" w14:paraId="1B1AA234" w14:textId="77777777" w:rsidTr="00FC2C40">
        <w:tc>
          <w:tcPr>
            <w:tcW w:w="1886" w:type="dxa"/>
          </w:tcPr>
          <w:p w14:paraId="18DA377E" w14:textId="43336DB3" w:rsidR="00A459CC" w:rsidRPr="00892F3C" w:rsidRDefault="008C3A29" w:rsidP="008C3A29">
            <w:pPr>
              <w:spacing w:after="0"/>
              <w:jc w:val="center"/>
              <w:rPr>
                <w:rFonts w:ascii="Arial" w:hAnsi="Arial" w:cs="Arial"/>
                <w:lang w:val="en-GB"/>
              </w:rPr>
            </w:pPr>
            <w:r w:rsidRPr="00892F3C">
              <w:rPr>
                <w:rFonts w:ascii="Arial" w:hAnsi="Arial" w:cs="Arial"/>
                <w:lang w:val="en-GB"/>
              </w:rPr>
              <w:t>100</w:t>
            </w:r>
          </w:p>
        </w:tc>
        <w:tc>
          <w:tcPr>
            <w:tcW w:w="2078" w:type="dxa"/>
          </w:tcPr>
          <w:p w14:paraId="068FAB87" w14:textId="51E60695" w:rsidR="00A459CC" w:rsidRPr="00892F3C" w:rsidRDefault="00F2052D" w:rsidP="00A459CC">
            <w:pPr>
              <w:spacing w:after="0" w:line="240" w:lineRule="auto"/>
              <w:rPr>
                <w:rFonts w:ascii="Arial" w:hAnsi="Arial" w:cs="Arial"/>
                <w:lang w:val="en-GB"/>
              </w:rPr>
            </w:pPr>
            <w:r w:rsidRPr="00892F3C">
              <w:rPr>
                <w:rFonts w:ascii="Arial" w:hAnsi="Arial" w:cs="Arial"/>
              </w:rPr>
              <w:t>Grindrod</w:t>
            </w:r>
          </w:p>
        </w:tc>
        <w:tc>
          <w:tcPr>
            <w:tcW w:w="2691" w:type="dxa"/>
          </w:tcPr>
          <w:p w14:paraId="25EA9F54" w14:textId="7EA8F240" w:rsidR="00A459CC" w:rsidRPr="00892F3C" w:rsidRDefault="00A459CC" w:rsidP="00005246">
            <w:pPr>
              <w:spacing w:after="0" w:line="240" w:lineRule="auto"/>
              <w:jc w:val="both"/>
              <w:rPr>
                <w:rFonts w:ascii="Arial" w:hAnsi="Arial" w:cs="Arial"/>
                <w:bCs/>
              </w:rPr>
            </w:pPr>
            <w:r w:rsidRPr="00892F3C">
              <w:rPr>
                <w:rFonts w:ascii="Arial" w:hAnsi="Arial" w:cs="Arial"/>
                <w:bCs/>
              </w:rPr>
              <w:t>-</w:t>
            </w:r>
          </w:p>
        </w:tc>
        <w:tc>
          <w:tcPr>
            <w:tcW w:w="7903" w:type="dxa"/>
          </w:tcPr>
          <w:p w14:paraId="34EF16A8" w14:textId="32628FC4" w:rsidR="00A459CC" w:rsidRPr="00892F3C" w:rsidRDefault="00A459CC" w:rsidP="00A459CC">
            <w:pPr>
              <w:spacing w:after="0" w:line="240" w:lineRule="auto"/>
              <w:rPr>
                <w:rFonts w:ascii="Arial" w:hAnsi="Arial" w:cs="Arial"/>
              </w:rPr>
            </w:pPr>
            <w:r w:rsidRPr="00892F3C">
              <w:rPr>
                <w:rFonts w:ascii="Arial" w:hAnsi="Arial" w:cs="Arial"/>
                <w:lang w:val="en-GB"/>
              </w:rPr>
              <w:t>No comment</w:t>
            </w:r>
          </w:p>
        </w:tc>
        <w:tc>
          <w:tcPr>
            <w:tcW w:w="6416" w:type="dxa"/>
          </w:tcPr>
          <w:p w14:paraId="53450D43" w14:textId="0A321844" w:rsidR="00A459CC" w:rsidRPr="00892F3C" w:rsidRDefault="00A459CC" w:rsidP="00A459CC">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A459CC" w:rsidRPr="009D05E3" w14:paraId="3DE705E3" w14:textId="77777777" w:rsidTr="00FC2C40">
        <w:tc>
          <w:tcPr>
            <w:tcW w:w="1886" w:type="dxa"/>
          </w:tcPr>
          <w:p w14:paraId="417C99C4" w14:textId="376C8683" w:rsidR="00A459CC" w:rsidRPr="00892F3C" w:rsidRDefault="008C3A29" w:rsidP="008C3A29">
            <w:pPr>
              <w:spacing w:after="0"/>
              <w:jc w:val="center"/>
              <w:rPr>
                <w:rFonts w:ascii="Arial" w:hAnsi="Arial" w:cs="Arial"/>
                <w:lang w:val="en-GB"/>
              </w:rPr>
            </w:pPr>
            <w:r w:rsidRPr="00892F3C">
              <w:rPr>
                <w:rFonts w:ascii="Arial" w:hAnsi="Arial" w:cs="Arial"/>
                <w:lang w:val="en-GB"/>
              </w:rPr>
              <w:t>101</w:t>
            </w:r>
          </w:p>
        </w:tc>
        <w:tc>
          <w:tcPr>
            <w:tcW w:w="2078" w:type="dxa"/>
          </w:tcPr>
          <w:p w14:paraId="6423B8C3" w14:textId="4CA2C851" w:rsidR="00A459CC" w:rsidRPr="00892F3C" w:rsidRDefault="00A459CC" w:rsidP="00A459CC">
            <w:pPr>
              <w:spacing w:after="0" w:line="240" w:lineRule="auto"/>
              <w:rPr>
                <w:rFonts w:ascii="Arial" w:hAnsi="Arial" w:cs="Arial"/>
                <w:lang w:val="en-GB"/>
              </w:rPr>
            </w:pPr>
            <w:r w:rsidRPr="00892F3C">
              <w:rPr>
                <w:rFonts w:ascii="Arial" w:hAnsi="Arial" w:cs="Arial"/>
              </w:rPr>
              <w:t>Habib Bank</w:t>
            </w:r>
          </w:p>
        </w:tc>
        <w:tc>
          <w:tcPr>
            <w:tcW w:w="2691" w:type="dxa"/>
          </w:tcPr>
          <w:p w14:paraId="4973F265" w14:textId="5398497C" w:rsidR="00A459CC" w:rsidRPr="00892F3C" w:rsidRDefault="00A459CC" w:rsidP="00005246">
            <w:pPr>
              <w:spacing w:after="0" w:line="240" w:lineRule="auto"/>
              <w:jc w:val="both"/>
              <w:rPr>
                <w:rFonts w:ascii="Arial" w:hAnsi="Arial" w:cs="Arial"/>
                <w:bCs/>
              </w:rPr>
            </w:pPr>
            <w:r w:rsidRPr="00892F3C">
              <w:rPr>
                <w:rFonts w:ascii="Arial" w:hAnsi="Arial" w:cs="Arial"/>
                <w:bCs/>
              </w:rPr>
              <w:t>-</w:t>
            </w:r>
          </w:p>
        </w:tc>
        <w:tc>
          <w:tcPr>
            <w:tcW w:w="7903" w:type="dxa"/>
          </w:tcPr>
          <w:p w14:paraId="0026F991" w14:textId="1447E98C" w:rsidR="00A459CC" w:rsidRPr="00892F3C" w:rsidRDefault="00A459CC" w:rsidP="00A459CC">
            <w:pPr>
              <w:spacing w:after="0" w:line="240" w:lineRule="auto"/>
              <w:rPr>
                <w:rFonts w:ascii="Arial" w:eastAsia="Times New Roman" w:hAnsi="Arial" w:cs="Arial"/>
                <w:lang w:val="en-GB"/>
              </w:rPr>
            </w:pPr>
            <w:r w:rsidRPr="00892F3C">
              <w:rPr>
                <w:rFonts w:ascii="Arial" w:hAnsi="Arial" w:cs="Arial"/>
                <w:lang w:val="en-GB"/>
              </w:rPr>
              <w:t>No comment</w:t>
            </w:r>
          </w:p>
        </w:tc>
        <w:tc>
          <w:tcPr>
            <w:tcW w:w="6416" w:type="dxa"/>
          </w:tcPr>
          <w:p w14:paraId="7240E03A" w14:textId="25D76EFC" w:rsidR="00A459CC" w:rsidRPr="00892F3C" w:rsidRDefault="00A459CC" w:rsidP="00A459CC">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A459CC" w:rsidRPr="009D05E3" w14:paraId="21E9E6BD" w14:textId="77777777" w:rsidTr="00FC2C40">
        <w:tc>
          <w:tcPr>
            <w:tcW w:w="1886" w:type="dxa"/>
            <w:shd w:val="clear" w:color="auto" w:fill="FFFFFF" w:themeFill="background1"/>
          </w:tcPr>
          <w:p w14:paraId="66BC8D25" w14:textId="1B1F29BC" w:rsidR="00A459CC" w:rsidRPr="00892F3C" w:rsidRDefault="008C3A29" w:rsidP="008C3A29">
            <w:pPr>
              <w:spacing w:after="0"/>
              <w:jc w:val="center"/>
              <w:rPr>
                <w:rFonts w:ascii="Arial" w:hAnsi="Arial" w:cs="Arial"/>
                <w:lang w:val="en-GB"/>
              </w:rPr>
            </w:pPr>
            <w:r w:rsidRPr="00892F3C">
              <w:rPr>
                <w:rFonts w:ascii="Arial" w:hAnsi="Arial" w:cs="Arial"/>
                <w:lang w:val="en-GB"/>
              </w:rPr>
              <w:t>102</w:t>
            </w:r>
          </w:p>
        </w:tc>
        <w:tc>
          <w:tcPr>
            <w:tcW w:w="2078" w:type="dxa"/>
            <w:shd w:val="clear" w:color="auto" w:fill="FFFFFF" w:themeFill="background1"/>
          </w:tcPr>
          <w:p w14:paraId="6A7FBCC6" w14:textId="1BEBB90C" w:rsidR="00A459CC" w:rsidRPr="00892F3C" w:rsidRDefault="00A459CC" w:rsidP="00A459CC">
            <w:pPr>
              <w:spacing w:after="0" w:line="240" w:lineRule="auto"/>
              <w:rPr>
                <w:rFonts w:ascii="Arial" w:hAnsi="Arial" w:cs="Arial"/>
                <w:lang w:val="en-GB"/>
              </w:rPr>
            </w:pPr>
            <w:r w:rsidRPr="00892F3C">
              <w:rPr>
                <w:rFonts w:ascii="Arial" w:hAnsi="Arial" w:cs="Arial"/>
              </w:rPr>
              <w:t>JSE</w:t>
            </w:r>
          </w:p>
        </w:tc>
        <w:tc>
          <w:tcPr>
            <w:tcW w:w="2691" w:type="dxa"/>
            <w:shd w:val="clear" w:color="auto" w:fill="FFFFFF" w:themeFill="background1"/>
          </w:tcPr>
          <w:p w14:paraId="4179ED31" w14:textId="7B2E77A4" w:rsidR="00A459CC" w:rsidRPr="00892F3C" w:rsidRDefault="00A459CC" w:rsidP="00005246">
            <w:pPr>
              <w:spacing w:after="0" w:line="240" w:lineRule="auto"/>
              <w:jc w:val="both"/>
              <w:rPr>
                <w:rFonts w:ascii="Arial" w:hAnsi="Arial" w:cs="Arial"/>
                <w:bCs/>
              </w:rPr>
            </w:pPr>
            <w:r w:rsidRPr="00892F3C">
              <w:rPr>
                <w:rFonts w:ascii="Arial" w:hAnsi="Arial" w:cs="Arial"/>
                <w:bCs/>
              </w:rPr>
              <w:t>-</w:t>
            </w:r>
          </w:p>
        </w:tc>
        <w:tc>
          <w:tcPr>
            <w:tcW w:w="7903" w:type="dxa"/>
            <w:shd w:val="clear" w:color="auto" w:fill="FFFFFF" w:themeFill="background1"/>
          </w:tcPr>
          <w:p w14:paraId="7D8D54E7" w14:textId="40B0C74A" w:rsidR="00A459CC" w:rsidRPr="00892F3C" w:rsidRDefault="00A459CC" w:rsidP="00A459CC">
            <w:pPr>
              <w:spacing w:after="0" w:line="240" w:lineRule="auto"/>
              <w:rPr>
                <w:rFonts w:ascii="Arial" w:hAnsi="Arial" w:cs="Arial"/>
              </w:rPr>
            </w:pPr>
            <w:r w:rsidRPr="00892F3C">
              <w:rPr>
                <w:rFonts w:ascii="Arial" w:hAnsi="Arial" w:cs="Arial"/>
                <w:lang w:val="en-GB"/>
              </w:rPr>
              <w:t>No comment</w:t>
            </w:r>
          </w:p>
        </w:tc>
        <w:tc>
          <w:tcPr>
            <w:tcW w:w="6416" w:type="dxa"/>
            <w:shd w:val="clear" w:color="auto" w:fill="FFFFFF" w:themeFill="background1"/>
          </w:tcPr>
          <w:p w14:paraId="31FF1589" w14:textId="58DA2D56" w:rsidR="00A459CC" w:rsidRPr="00892F3C" w:rsidRDefault="00A459CC" w:rsidP="00A459CC">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A459CC" w:rsidRPr="009D05E3" w14:paraId="348F3381" w14:textId="77777777" w:rsidTr="00FC2C40">
        <w:tc>
          <w:tcPr>
            <w:tcW w:w="1886" w:type="dxa"/>
            <w:shd w:val="clear" w:color="auto" w:fill="FFFFFF" w:themeFill="background1"/>
          </w:tcPr>
          <w:p w14:paraId="1CFB367A" w14:textId="6944D2C9" w:rsidR="00A459CC" w:rsidRPr="00892F3C" w:rsidRDefault="008C3A29" w:rsidP="008C3A29">
            <w:pPr>
              <w:spacing w:after="0"/>
              <w:jc w:val="center"/>
              <w:rPr>
                <w:rFonts w:ascii="Arial" w:hAnsi="Arial" w:cs="Arial"/>
                <w:lang w:val="en-GB"/>
              </w:rPr>
            </w:pPr>
            <w:r w:rsidRPr="00892F3C">
              <w:rPr>
                <w:rFonts w:ascii="Arial" w:hAnsi="Arial" w:cs="Arial"/>
                <w:lang w:val="en-GB"/>
              </w:rPr>
              <w:t>103</w:t>
            </w:r>
          </w:p>
        </w:tc>
        <w:tc>
          <w:tcPr>
            <w:tcW w:w="2078" w:type="dxa"/>
            <w:shd w:val="clear" w:color="auto" w:fill="FFFFFF" w:themeFill="background1"/>
          </w:tcPr>
          <w:p w14:paraId="6C6599DE" w14:textId="3D26D13C" w:rsidR="00A459CC" w:rsidRPr="00892F3C" w:rsidRDefault="00A459CC" w:rsidP="00A459CC">
            <w:pPr>
              <w:spacing w:after="0" w:line="240" w:lineRule="auto"/>
              <w:rPr>
                <w:rFonts w:ascii="Arial" w:hAnsi="Arial" w:cs="Arial"/>
                <w:lang w:val="en-GB"/>
              </w:rPr>
            </w:pPr>
            <w:r w:rsidRPr="00892F3C">
              <w:rPr>
                <w:rFonts w:ascii="Arial" w:hAnsi="Arial" w:cs="Arial"/>
              </w:rPr>
              <w:t>MMH</w:t>
            </w:r>
          </w:p>
        </w:tc>
        <w:tc>
          <w:tcPr>
            <w:tcW w:w="2691" w:type="dxa"/>
            <w:shd w:val="clear" w:color="auto" w:fill="FFFFFF" w:themeFill="background1"/>
          </w:tcPr>
          <w:p w14:paraId="10CCD8A8" w14:textId="73E68C83" w:rsidR="00A459CC" w:rsidRPr="00892F3C" w:rsidRDefault="00A459CC" w:rsidP="00005246">
            <w:pPr>
              <w:spacing w:after="0" w:line="240" w:lineRule="auto"/>
              <w:jc w:val="both"/>
              <w:rPr>
                <w:rFonts w:ascii="Arial" w:hAnsi="Arial" w:cs="Arial"/>
                <w:bCs/>
              </w:rPr>
            </w:pPr>
            <w:r w:rsidRPr="00892F3C">
              <w:rPr>
                <w:rFonts w:ascii="Arial" w:hAnsi="Arial" w:cs="Arial"/>
                <w:bCs/>
              </w:rPr>
              <w:t>-</w:t>
            </w:r>
          </w:p>
        </w:tc>
        <w:tc>
          <w:tcPr>
            <w:tcW w:w="7903" w:type="dxa"/>
            <w:shd w:val="clear" w:color="auto" w:fill="FFFFFF" w:themeFill="background1"/>
          </w:tcPr>
          <w:p w14:paraId="1DA05404" w14:textId="6EA96D01" w:rsidR="00A459CC" w:rsidRPr="00892F3C" w:rsidRDefault="00A459CC" w:rsidP="00A459CC">
            <w:pPr>
              <w:spacing w:after="0" w:line="240" w:lineRule="auto"/>
              <w:rPr>
                <w:rFonts w:ascii="Arial" w:hAnsi="Arial" w:cs="Arial"/>
              </w:rPr>
            </w:pPr>
            <w:r w:rsidRPr="00892F3C">
              <w:rPr>
                <w:rFonts w:ascii="Arial" w:hAnsi="Arial" w:cs="Arial"/>
                <w:lang w:val="en-GB"/>
              </w:rPr>
              <w:t>No comment</w:t>
            </w:r>
          </w:p>
        </w:tc>
        <w:tc>
          <w:tcPr>
            <w:tcW w:w="6416" w:type="dxa"/>
            <w:shd w:val="clear" w:color="auto" w:fill="FFFFFF" w:themeFill="background1"/>
          </w:tcPr>
          <w:p w14:paraId="2AC3CCA9" w14:textId="74C7C375" w:rsidR="00A459CC" w:rsidRPr="00892F3C" w:rsidRDefault="00A459CC" w:rsidP="00A459CC">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A459CC" w:rsidRPr="009D05E3" w14:paraId="6EB3AFE4" w14:textId="77777777" w:rsidTr="00FC2C40">
        <w:tc>
          <w:tcPr>
            <w:tcW w:w="1886" w:type="dxa"/>
            <w:shd w:val="clear" w:color="auto" w:fill="FFFFFF" w:themeFill="background1"/>
          </w:tcPr>
          <w:p w14:paraId="25459C74" w14:textId="5672F09C" w:rsidR="00A459CC" w:rsidRPr="00892F3C" w:rsidRDefault="008C3A29" w:rsidP="008C3A29">
            <w:pPr>
              <w:spacing w:after="0"/>
              <w:jc w:val="center"/>
              <w:rPr>
                <w:rFonts w:ascii="Arial" w:hAnsi="Arial" w:cs="Arial"/>
                <w:lang w:val="en-GB"/>
              </w:rPr>
            </w:pPr>
            <w:r w:rsidRPr="00892F3C">
              <w:rPr>
                <w:rFonts w:ascii="Arial" w:hAnsi="Arial" w:cs="Arial"/>
                <w:lang w:val="en-GB"/>
              </w:rPr>
              <w:t>104</w:t>
            </w:r>
          </w:p>
        </w:tc>
        <w:tc>
          <w:tcPr>
            <w:tcW w:w="2078" w:type="dxa"/>
            <w:shd w:val="clear" w:color="auto" w:fill="FFFFFF" w:themeFill="background1"/>
          </w:tcPr>
          <w:p w14:paraId="7A8FE607" w14:textId="1535B667" w:rsidR="00A459CC" w:rsidRPr="00892F3C" w:rsidRDefault="00A459CC" w:rsidP="00A459CC">
            <w:pPr>
              <w:spacing w:after="0" w:line="240" w:lineRule="auto"/>
              <w:rPr>
                <w:rFonts w:ascii="Arial" w:hAnsi="Arial" w:cs="Arial"/>
                <w:lang w:val="en-GB"/>
              </w:rPr>
            </w:pPr>
            <w:r w:rsidRPr="00892F3C">
              <w:rPr>
                <w:rFonts w:ascii="Arial" w:hAnsi="Arial" w:cs="Arial"/>
              </w:rPr>
              <w:t>Nedbank</w:t>
            </w:r>
          </w:p>
        </w:tc>
        <w:tc>
          <w:tcPr>
            <w:tcW w:w="2691" w:type="dxa"/>
            <w:shd w:val="clear" w:color="auto" w:fill="FFFFFF" w:themeFill="background1"/>
          </w:tcPr>
          <w:p w14:paraId="7D789D37" w14:textId="6E428DCE" w:rsidR="00A459CC" w:rsidRPr="00892F3C" w:rsidRDefault="00A459CC" w:rsidP="00005246">
            <w:pPr>
              <w:spacing w:after="0" w:line="240" w:lineRule="auto"/>
              <w:jc w:val="both"/>
              <w:rPr>
                <w:rFonts w:ascii="Arial" w:hAnsi="Arial" w:cs="Arial"/>
                <w:bCs/>
              </w:rPr>
            </w:pPr>
            <w:r w:rsidRPr="00892F3C">
              <w:rPr>
                <w:rFonts w:ascii="Arial" w:hAnsi="Arial" w:cs="Arial"/>
                <w:bCs/>
              </w:rPr>
              <w:t>-</w:t>
            </w:r>
          </w:p>
        </w:tc>
        <w:tc>
          <w:tcPr>
            <w:tcW w:w="7903" w:type="dxa"/>
            <w:shd w:val="clear" w:color="auto" w:fill="FFFFFF" w:themeFill="background1"/>
          </w:tcPr>
          <w:p w14:paraId="17343ECB" w14:textId="0A470070" w:rsidR="00A459CC" w:rsidRPr="00892F3C" w:rsidRDefault="00A459CC" w:rsidP="00A459CC">
            <w:pPr>
              <w:spacing w:after="0" w:line="240" w:lineRule="auto"/>
              <w:rPr>
                <w:rFonts w:ascii="Arial" w:hAnsi="Arial" w:cs="Arial"/>
              </w:rPr>
            </w:pPr>
            <w:r w:rsidRPr="00892F3C">
              <w:rPr>
                <w:rFonts w:ascii="Arial" w:hAnsi="Arial" w:cs="Arial"/>
                <w:lang w:val="en-GB"/>
              </w:rPr>
              <w:t>No comment</w:t>
            </w:r>
          </w:p>
        </w:tc>
        <w:tc>
          <w:tcPr>
            <w:tcW w:w="6416" w:type="dxa"/>
            <w:shd w:val="clear" w:color="auto" w:fill="FFFFFF" w:themeFill="background1"/>
          </w:tcPr>
          <w:p w14:paraId="4A59B64E" w14:textId="60E8920A" w:rsidR="00A459CC" w:rsidRPr="00892F3C" w:rsidRDefault="00A459CC" w:rsidP="00A459CC">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8C3A29" w:rsidRPr="009D05E3" w14:paraId="3790F18C" w14:textId="77777777" w:rsidTr="00FC2C40">
        <w:tc>
          <w:tcPr>
            <w:tcW w:w="1886" w:type="dxa"/>
          </w:tcPr>
          <w:p w14:paraId="62D99E38" w14:textId="689D8E94" w:rsidR="008C3A29" w:rsidRPr="00892F3C" w:rsidRDefault="008C3A29" w:rsidP="008C3A29">
            <w:pPr>
              <w:spacing w:after="0"/>
              <w:jc w:val="center"/>
              <w:rPr>
                <w:rFonts w:ascii="Arial" w:hAnsi="Arial" w:cs="Arial"/>
                <w:lang w:val="en-GB"/>
              </w:rPr>
            </w:pPr>
            <w:r w:rsidRPr="00892F3C">
              <w:rPr>
                <w:rFonts w:ascii="Arial" w:hAnsi="Arial" w:cs="Arial"/>
                <w:lang w:val="en-GB"/>
              </w:rPr>
              <w:t>105</w:t>
            </w:r>
          </w:p>
        </w:tc>
        <w:tc>
          <w:tcPr>
            <w:tcW w:w="2078" w:type="dxa"/>
          </w:tcPr>
          <w:p w14:paraId="5197B27E" w14:textId="2DEEFD99" w:rsidR="008C3A29" w:rsidRPr="00892F3C" w:rsidRDefault="008C3A29" w:rsidP="008C3A29">
            <w:pPr>
              <w:spacing w:after="0" w:line="240" w:lineRule="auto"/>
              <w:rPr>
                <w:rFonts w:ascii="Arial" w:hAnsi="Arial" w:cs="Arial"/>
                <w:lang w:val="en-GB"/>
              </w:rPr>
            </w:pPr>
            <w:r w:rsidRPr="00892F3C">
              <w:rPr>
                <w:rFonts w:ascii="Arial" w:hAnsi="Arial" w:cs="Arial"/>
                <w:lang w:val="en-GB"/>
              </w:rPr>
              <w:t>BASA</w:t>
            </w:r>
          </w:p>
        </w:tc>
        <w:tc>
          <w:tcPr>
            <w:tcW w:w="2691" w:type="dxa"/>
          </w:tcPr>
          <w:p w14:paraId="43A7780B" w14:textId="6FD552A3" w:rsidR="008C3A29" w:rsidRPr="00892F3C" w:rsidRDefault="008C3A29" w:rsidP="00005246">
            <w:pPr>
              <w:spacing w:after="0" w:line="240" w:lineRule="auto"/>
              <w:jc w:val="both"/>
              <w:rPr>
                <w:rFonts w:ascii="Arial" w:hAnsi="Arial" w:cs="Arial"/>
                <w:bCs/>
              </w:rPr>
            </w:pPr>
            <w:r w:rsidRPr="00892F3C">
              <w:rPr>
                <w:rFonts w:ascii="Arial" w:hAnsi="Arial" w:cs="Arial"/>
                <w:bCs/>
              </w:rPr>
              <w:t>-</w:t>
            </w:r>
          </w:p>
        </w:tc>
        <w:tc>
          <w:tcPr>
            <w:tcW w:w="7903" w:type="dxa"/>
          </w:tcPr>
          <w:p w14:paraId="0AB529E5" w14:textId="65D02129" w:rsidR="008C3A29" w:rsidRPr="00892F3C" w:rsidRDefault="008C3A29" w:rsidP="008C3A29">
            <w:pPr>
              <w:spacing w:after="0" w:line="240" w:lineRule="auto"/>
              <w:rPr>
                <w:rFonts w:ascii="Arial" w:eastAsia="Times New Roman" w:hAnsi="Arial" w:cs="Arial"/>
                <w:lang w:val="en-GB"/>
              </w:rPr>
            </w:pPr>
            <w:r w:rsidRPr="00892F3C">
              <w:rPr>
                <w:rFonts w:ascii="Arial" w:hAnsi="Arial" w:cs="Arial"/>
                <w:lang w:val="en-GB"/>
              </w:rPr>
              <w:t>No comment</w:t>
            </w:r>
          </w:p>
        </w:tc>
        <w:tc>
          <w:tcPr>
            <w:tcW w:w="6416" w:type="dxa"/>
          </w:tcPr>
          <w:p w14:paraId="6314FF3F" w14:textId="7C951C19" w:rsidR="008C3A29" w:rsidRPr="00892F3C" w:rsidRDefault="008C3A29" w:rsidP="008C3A29">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8C3A29" w:rsidRPr="009D05E3" w14:paraId="4E364B20" w14:textId="35B9384C" w:rsidTr="00532AB8">
        <w:tc>
          <w:tcPr>
            <w:tcW w:w="20974" w:type="dxa"/>
            <w:gridSpan w:val="5"/>
            <w:shd w:val="clear" w:color="auto" w:fill="D9D9D9" w:themeFill="background1" w:themeFillShade="D9"/>
          </w:tcPr>
          <w:p w14:paraId="1DB19A8C" w14:textId="114C265B" w:rsidR="008C3A29" w:rsidRPr="00532AB8" w:rsidRDefault="00532AB8" w:rsidP="00515BD8">
            <w:pPr>
              <w:spacing w:after="0"/>
              <w:jc w:val="center"/>
              <w:rPr>
                <w:rFonts w:ascii="Arial" w:hAnsi="Arial" w:cs="Arial"/>
                <w:b/>
                <w:sz w:val="32"/>
                <w:szCs w:val="32"/>
                <w:lang w:val="en-GB"/>
              </w:rPr>
            </w:pPr>
            <w:r>
              <w:rPr>
                <w:rFonts w:ascii="Arial" w:hAnsi="Arial" w:cs="Arial"/>
                <w:b/>
                <w:sz w:val="32"/>
                <w:szCs w:val="32"/>
                <w:lang w:val="en-GB"/>
              </w:rPr>
              <w:t>10.</w:t>
            </w:r>
            <w:r w:rsidR="008C3A29" w:rsidRPr="00532AB8">
              <w:rPr>
                <w:rFonts w:ascii="Arial" w:hAnsi="Arial" w:cs="Arial"/>
                <w:b/>
                <w:sz w:val="32"/>
                <w:szCs w:val="32"/>
                <w:lang w:val="en-GB"/>
              </w:rPr>
              <w:t>Requirements to define the transfer perimeter</w:t>
            </w:r>
          </w:p>
        </w:tc>
      </w:tr>
      <w:tr w:rsidR="008C3A29" w:rsidRPr="009D05E3" w14:paraId="41434771" w14:textId="77777777" w:rsidTr="00FC2C40">
        <w:tc>
          <w:tcPr>
            <w:tcW w:w="1886" w:type="dxa"/>
            <w:shd w:val="clear" w:color="auto" w:fill="auto"/>
            <w:vAlign w:val="bottom"/>
          </w:tcPr>
          <w:p w14:paraId="2ACA5393" w14:textId="5F7DAEA5" w:rsidR="008C3A29" w:rsidRPr="00892F3C" w:rsidRDefault="00382628" w:rsidP="00F21833">
            <w:pPr>
              <w:spacing w:after="0"/>
              <w:jc w:val="center"/>
              <w:rPr>
                <w:rFonts w:ascii="Arial" w:hAnsi="Arial" w:cs="Arial"/>
                <w:lang w:val="en-GB"/>
              </w:rPr>
            </w:pPr>
            <w:r>
              <w:rPr>
                <w:rFonts w:ascii="Arial" w:hAnsi="Arial" w:cs="Arial"/>
                <w:lang w:val="en-GB"/>
              </w:rPr>
              <w:t>106</w:t>
            </w:r>
          </w:p>
        </w:tc>
        <w:tc>
          <w:tcPr>
            <w:tcW w:w="2078" w:type="dxa"/>
          </w:tcPr>
          <w:p w14:paraId="2EF4FF67" w14:textId="4010566E" w:rsidR="008C3A29" w:rsidRPr="00892F3C" w:rsidRDefault="008C3A29" w:rsidP="00F21833">
            <w:pPr>
              <w:spacing w:after="0" w:line="240" w:lineRule="auto"/>
              <w:rPr>
                <w:rFonts w:ascii="Arial" w:hAnsi="Arial" w:cs="Arial"/>
                <w:lang w:val="en-GB"/>
              </w:rPr>
            </w:pPr>
            <w:r w:rsidRPr="00F21833">
              <w:rPr>
                <w:rFonts w:ascii="Arial" w:hAnsi="Arial" w:cs="Arial"/>
                <w:lang w:val="en-GB"/>
              </w:rPr>
              <w:t>CLS</w:t>
            </w:r>
          </w:p>
        </w:tc>
        <w:tc>
          <w:tcPr>
            <w:tcW w:w="2691" w:type="dxa"/>
          </w:tcPr>
          <w:p w14:paraId="07F6D376" w14:textId="7E872E3D" w:rsidR="008C3A29" w:rsidRPr="00F21833" w:rsidRDefault="008C3A29" w:rsidP="00F21833">
            <w:pPr>
              <w:spacing w:after="0" w:line="240" w:lineRule="auto"/>
              <w:jc w:val="both"/>
              <w:rPr>
                <w:rFonts w:ascii="Arial" w:hAnsi="Arial" w:cs="Arial"/>
                <w:lang w:val="en-GB"/>
              </w:rPr>
            </w:pPr>
            <w:r w:rsidRPr="00F21833">
              <w:rPr>
                <w:rFonts w:ascii="Arial" w:hAnsi="Arial" w:cs="Arial"/>
                <w:lang w:val="en-GB"/>
              </w:rPr>
              <w:t>-</w:t>
            </w:r>
          </w:p>
        </w:tc>
        <w:tc>
          <w:tcPr>
            <w:tcW w:w="7903" w:type="dxa"/>
          </w:tcPr>
          <w:p w14:paraId="5D53DCE2" w14:textId="0E2D452B" w:rsidR="008C3A29" w:rsidRPr="00F21833" w:rsidRDefault="008C3A29" w:rsidP="00F21833">
            <w:pPr>
              <w:spacing w:after="0" w:line="240" w:lineRule="auto"/>
              <w:rPr>
                <w:rFonts w:ascii="Arial" w:hAnsi="Arial" w:cs="Arial"/>
                <w:lang w:val="en-GB"/>
              </w:rPr>
            </w:pPr>
            <w:r w:rsidRPr="00F21833">
              <w:rPr>
                <w:rFonts w:ascii="Arial" w:hAnsi="Arial" w:cs="Arial"/>
                <w:lang w:val="en-GB"/>
              </w:rPr>
              <w:t>No comments</w:t>
            </w:r>
          </w:p>
        </w:tc>
        <w:tc>
          <w:tcPr>
            <w:tcW w:w="6416" w:type="dxa"/>
          </w:tcPr>
          <w:p w14:paraId="754DB5C5" w14:textId="17E34F6D" w:rsidR="008C3A29" w:rsidRPr="00F21833" w:rsidRDefault="008C3A29" w:rsidP="00F21833">
            <w:pPr>
              <w:spacing w:after="0" w:line="240" w:lineRule="auto"/>
              <w:jc w:val="both"/>
              <w:rPr>
                <w:rFonts w:ascii="Arial" w:hAnsi="Arial" w:cs="Arial"/>
                <w:lang w:val="en-GB"/>
              </w:rPr>
            </w:pPr>
            <w:r w:rsidRPr="00F21833">
              <w:rPr>
                <w:rFonts w:ascii="Arial" w:hAnsi="Arial" w:cs="Arial"/>
                <w:lang w:val="en-GB"/>
              </w:rPr>
              <w:t>Noted</w:t>
            </w:r>
          </w:p>
        </w:tc>
      </w:tr>
      <w:tr w:rsidR="008C3A29" w:rsidRPr="009D05E3" w14:paraId="48F8C2E0" w14:textId="77777777" w:rsidTr="00FC2C40">
        <w:tc>
          <w:tcPr>
            <w:tcW w:w="1886" w:type="dxa"/>
            <w:vAlign w:val="bottom"/>
          </w:tcPr>
          <w:p w14:paraId="4D18A413" w14:textId="1CFE70DB" w:rsidR="008C3A29" w:rsidRPr="00892F3C" w:rsidRDefault="00382628" w:rsidP="00C035BC">
            <w:pPr>
              <w:spacing w:after="0"/>
              <w:jc w:val="center"/>
              <w:rPr>
                <w:rFonts w:ascii="Arial" w:hAnsi="Arial" w:cs="Arial"/>
                <w:lang w:val="en-GB"/>
              </w:rPr>
            </w:pPr>
            <w:r>
              <w:rPr>
                <w:rFonts w:ascii="Arial" w:hAnsi="Arial" w:cs="Arial"/>
                <w:lang w:val="en-GB"/>
              </w:rPr>
              <w:t>107</w:t>
            </w:r>
          </w:p>
        </w:tc>
        <w:tc>
          <w:tcPr>
            <w:tcW w:w="2078" w:type="dxa"/>
          </w:tcPr>
          <w:p w14:paraId="455B4791" w14:textId="4DD09AB2" w:rsidR="008C3A29" w:rsidRPr="00892F3C" w:rsidRDefault="008C3A29" w:rsidP="008C3A29">
            <w:pPr>
              <w:spacing w:after="0" w:line="240" w:lineRule="auto"/>
              <w:rPr>
                <w:rFonts w:ascii="Arial" w:hAnsi="Arial" w:cs="Arial"/>
                <w:lang w:val="en-GB"/>
              </w:rPr>
            </w:pPr>
            <w:r w:rsidRPr="00892F3C">
              <w:rPr>
                <w:rFonts w:ascii="Arial" w:hAnsi="Arial" w:cs="Arial"/>
              </w:rPr>
              <w:t>FirstRand</w:t>
            </w:r>
          </w:p>
        </w:tc>
        <w:tc>
          <w:tcPr>
            <w:tcW w:w="2691" w:type="dxa"/>
          </w:tcPr>
          <w:p w14:paraId="59D55745" w14:textId="15F6A0A6" w:rsidR="008C3A29" w:rsidRPr="00892F3C" w:rsidRDefault="008C3A29" w:rsidP="00005246">
            <w:pPr>
              <w:spacing w:after="0" w:line="240" w:lineRule="auto"/>
              <w:jc w:val="both"/>
              <w:rPr>
                <w:rFonts w:ascii="Arial" w:hAnsi="Arial" w:cs="Arial"/>
                <w:bCs/>
              </w:rPr>
            </w:pPr>
            <w:r w:rsidRPr="00892F3C">
              <w:rPr>
                <w:rFonts w:ascii="Arial" w:hAnsi="Arial" w:cs="Arial"/>
                <w:bCs/>
              </w:rPr>
              <w:t>-</w:t>
            </w:r>
          </w:p>
        </w:tc>
        <w:tc>
          <w:tcPr>
            <w:tcW w:w="7903" w:type="dxa"/>
          </w:tcPr>
          <w:p w14:paraId="6881EAD9" w14:textId="0EC6646F" w:rsidR="008C3A29" w:rsidRPr="00892F3C" w:rsidRDefault="008C3A29" w:rsidP="008C3A29">
            <w:pPr>
              <w:spacing w:after="0" w:line="240" w:lineRule="auto"/>
              <w:rPr>
                <w:rFonts w:ascii="Arial" w:hAnsi="Arial" w:cs="Arial"/>
              </w:rPr>
            </w:pPr>
            <w:r w:rsidRPr="00892F3C">
              <w:rPr>
                <w:rFonts w:ascii="Arial" w:hAnsi="Arial" w:cs="Arial"/>
              </w:rPr>
              <w:t>No comment</w:t>
            </w:r>
          </w:p>
        </w:tc>
        <w:tc>
          <w:tcPr>
            <w:tcW w:w="6416" w:type="dxa"/>
          </w:tcPr>
          <w:p w14:paraId="5B1B7F8A" w14:textId="3E83FD5A" w:rsidR="008C3A29" w:rsidRPr="00892F3C" w:rsidRDefault="008C3A29" w:rsidP="008C3A29">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8C3A29" w:rsidRPr="009D05E3" w14:paraId="760409C5" w14:textId="77777777" w:rsidTr="00FC2C40">
        <w:tc>
          <w:tcPr>
            <w:tcW w:w="1886" w:type="dxa"/>
            <w:vAlign w:val="bottom"/>
          </w:tcPr>
          <w:p w14:paraId="2940CF8C" w14:textId="7628DE06" w:rsidR="008C3A29" w:rsidRPr="00892F3C" w:rsidRDefault="00382628" w:rsidP="00C035BC">
            <w:pPr>
              <w:spacing w:after="0"/>
              <w:jc w:val="center"/>
              <w:rPr>
                <w:rFonts w:ascii="Arial" w:hAnsi="Arial" w:cs="Arial"/>
                <w:lang w:val="en-GB"/>
              </w:rPr>
            </w:pPr>
            <w:r>
              <w:rPr>
                <w:rFonts w:ascii="Arial" w:hAnsi="Arial" w:cs="Arial"/>
                <w:lang w:val="en-GB"/>
              </w:rPr>
              <w:t>108</w:t>
            </w:r>
          </w:p>
        </w:tc>
        <w:tc>
          <w:tcPr>
            <w:tcW w:w="2078" w:type="dxa"/>
          </w:tcPr>
          <w:p w14:paraId="3666F8DD" w14:textId="49EAA2AB" w:rsidR="008C3A29" w:rsidRPr="00892F3C" w:rsidRDefault="00F2052D" w:rsidP="008C3A29">
            <w:pPr>
              <w:spacing w:after="0" w:line="240" w:lineRule="auto"/>
              <w:rPr>
                <w:rFonts w:ascii="Arial" w:hAnsi="Arial" w:cs="Arial"/>
                <w:lang w:val="en-GB"/>
              </w:rPr>
            </w:pPr>
            <w:r w:rsidRPr="00892F3C">
              <w:rPr>
                <w:rFonts w:ascii="Arial" w:hAnsi="Arial" w:cs="Arial"/>
              </w:rPr>
              <w:t>Grindrod</w:t>
            </w:r>
          </w:p>
        </w:tc>
        <w:tc>
          <w:tcPr>
            <w:tcW w:w="2691" w:type="dxa"/>
          </w:tcPr>
          <w:p w14:paraId="2766094F" w14:textId="4ED9B8B0" w:rsidR="008C3A29" w:rsidRPr="00892F3C" w:rsidRDefault="008C3A29" w:rsidP="00005246">
            <w:pPr>
              <w:spacing w:after="0" w:line="240" w:lineRule="auto"/>
              <w:jc w:val="both"/>
              <w:rPr>
                <w:rFonts w:ascii="Arial" w:hAnsi="Arial" w:cs="Arial"/>
                <w:bCs/>
              </w:rPr>
            </w:pPr>
            <w:r w:rsidRPr="00892F3C">
              <w:rPr>
                <w:rFonts w:ascii="Arial" w:hAnsi="Arial" w:cs="Arial"/>
                <w:bCs/>
              </w:rPr>
              <w:t>-</w:t>
            </w:r>
          </w:p>
        </w:tc>
        <w:tc>
          <w:tcPr>
            <w:tcW w:w="7903" w:type="dxa"/>
          </w:tcPr>
          <w:p w14:paraId="107FD912" w14:textId="118F2230" w:rsidR="008C3A29" w:rsidRPr="00892F3C" w:rsidRDefault="008C3A29" w:rsidP="008C3A29">
            <w:pPr>
              <w:spacing w:after="0" w:line="240" w:lineRule="auto"/>
              <w:rPr>
                <w:rFonts w:ascii="Arial" w:hAnsi="Arial" w:cs="Arial"/>
              </w:rPr>
            </w:pPr>
            <w:r w:rsidRPr="00892F3C">
              <w:rPr>
                <w:rFonts w:ascii="Arial" w:hAnsi="Arial" w:cs="Arial"/>
                <w:lang w:val="en-GB"/>
              </w:rPr>
              <w:t>No comment</w:t>
            </w:r>
          </w:p>
        </w:tc>
        <w:tc>
          <w:tcPr>
            <w:tcW w:w="6416" w:type="dxa"/>
          </w:tcPr>
          <w:p w14:paraId="13B731F4" w14:textId="3B1F54A5" w:rsidR="008C3A29" w:rsidRPr="00892F3C" w:rsidRDefault="008C3A29" w:rsidP="008C3A29">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8C3A29" w:rsidRPr="009D05E3" w14:paraId="7921854C" w14:textId="77777777" w:rsidTr="00515BD8">
        <w:tc>
          <w:tcPr>
            <w:tcW w:w="1886" w:type="dxa"/>
            <w:vAlign w:val="bottom"/>
          </w:tcPr>
          <w:p w14:paraId="0A58DAE1" w14:textId="4C654ED1" w:rsidR="008C3A29" w:rsidRPr="00892F3C" w:rsidRDefault="00382628" w:rsidP="00C035BC">
            <w:pPr>
              <w:spacing w:after="0"/>
              <w:jc w:val="center"/>
              <w:rPr>
                <w:rFonts w:ascii="Arial" w:hAnsi="Arial" w:cs="Arial"/>
                <w:lang w:val="en-GB"/>
              </w:rPr>
            </w:pPr>
            <w:r>
              <w:rPr>
                <w:rFonts w:ascii="Arial" w:hAnsi="Arial" w:cs="Arial"/>
                <w:lang w:val="en-GB"/>
              </w:rPr>
              <w:t>109</w:t>
            </w:r>
          </w:p>
        </w:tc>
        <w:tc>
          <w:tcPr>
            <w:tcW w:w="2078" w:type="dxa"/>
          </w:tcPr>
          <w:p w14:paraId="0DD19281" w14:textId="55AFCBFC" w:rsidR="008C3A29" w:rsidRPr="00892F3C" w:rsidRDefault="008C3A29" w:rsidP="008C3A29">
            <w:pPr>
              <w:spacing w:after="0" w:line="240" w:lineRule="auto"/>
              <w:rPr>
                <w:rFonts w:ascii="Arial" w:hAnsi="Arial" w:cs="Arial"/>
                <w:lang w:val="en-GB"/>
              </w:rPr>
            </w:pPr>
            <w:r w:rsidRPr="00892F3C">
              <w:rPr>
                <w:rFonts w:ascii="Arial" w:hAnsi="Arial" w:cs="Arial"/>
              </w:rPr>
              <w:t>Habib Bank</w:t>
            </w:r>
          </w:p>
        </w:tc>
        <w:tc>
          <w:tcPr>
            <w:tcW w:w="2691" w:type="dxa"/>
          </w:tcPr>
          <w:p w14:paraId="362E71B2" w14:textId="2BB5C984" w:rsidR="008C3A29" w:rsidRPr="00892F3C" w:rsidRDefault="008C3A29" w:rsidP="00005246">
            <w:pPr>
              <w:spacing w:after="0" w:line="240" w:lineRule="auto"/>
              <w:jc w:val="both"/>
              <w:rPr>
                <w:rFonts w:ascii="Arial" w:hAnsi="Arial" w:cs="Arial"/>
                <w:bCs/>
              </w:rPr>
            </w:pPr>
            <w:r w:rsidRPr="00892F3C">
              <w:rPr>
                <w:rFonts w:ascii="Arial" w:hAnsi="Arial" w:cs="Arial"/>
                <w:bCs/>
              </w:rPr>
              <w:t>10.2(d)</w:t>
            </w:r>
          </w:p>
        </w:tc>
        <w:tc>
          <w:tcPr>
            <w:tcW w:w="7903" w:type="dxa"/>
          </w:tcPr>
          <w:p w14:paraId="2ECC78AE" w14:textId="4D1E1B1F" w:rsidR="008C3A29" w:rsidRPr="00892F3C" w:rsidRDefault="008C3A29" w:rsidP="008C3A29">
            <w:pPr>
              <w:spacing w:after="0" w:line="240" w:lineRule="auto"/>
              <w:rPr>
                <w:rFonts w:ascii="Arial" w:hAnsi="Arial" w:cs="Arial"/>
              </w:rPr>
            </w:pPr>
            <w:r w:rsidRPr="00892F3C">
              <w:rPr>
                <w:rFonts w:ascii="Arial" w:hAnsi="Arial" w:cs="Arial"/>
                <w:lang w:val="en-GB"/>
              </w:rPr>
              <w:t>Incorrect reference to the FSLA Act.  Should be “the Act”</w:t>
            </w:r>
          </w:p>
        </w:tc>
        <w:tc>
          <w:tcPr>
            <w:tcW w:w="6416" w:type="dxa"/>
            <w:shd w:val="clear" w:color="auto" w:fill="auto"/>
          </w:tcPr>
          <w:p w14:paraId="753E7BD5" w14:textId="3D2780F1" w:rsidR="008C3A29" w:rsidRPr="00892F3C" w:rsidRDefault="006A0F29" w:rsidP="008C3A29">
            <w:pPr>
              <w:spacing w:after="0" w:line="240" w:lineRule="auto"/>
              <w:jc w:val="both"/>
              <w:rPr>
                <w:rFonts w:ascii="Arial" w:eastAsia="Times New Roman" w:hAnsi="Arial" w:cs="Arial"/>
                <w:lang w:val="en-GB"/>
              </w:rPr>
            </w:pPr>
            <w:r>
              <w:rPr>
                <w:rFonts w:ascii="Arial" w:eastAsia="Times New Roman" w:hAnsi="Arial" w:cs="Arial"/>
                <w:lang w:val="en-GB"/>
              </w:rPr>
              <w:t>Section 10(2)(d)</w:t>
            </w:r>
            <w:r w:rsidR="00E03349">
              <w:rPr>
                <w:rFonts w:ascii="Arial" w:eastAsia="Times New Roman" w:hAnsi="Arial" w:cs="Arial"/>
                <w:lang w:val="en-GB"/>
              </w:rPr>
              <w:t xml:space="preserve"> of the </w:t>
            </w:r>
            <w:r w:rsidR="00D72BC0">
              <w:rPr>
                <w:rFonts w:ascii="Arial" w:eastAsia="Times New Roman" w:hAnsi="Arial" w:cs="Arial"/>
                <w:lang w:val="en-GB"/>
              </w:rPr>
              <w:t xml:space="preserve">Standard </w:t>
            </w:r>
            <w:r w:rsidR="0092711B">
              <w:rPr>
                <w:rFonts w:ascii="Arial" w:eastAsia="Times New Roman" w:hAnsi="Arial" w:cs="Arial"/>
                <w:lang w:val="en-GB"/>
              </w:rPr>
              <w:t>has been</w:t>
            </w:r>
            <w:r w:rsidR="00081507">
              <w:rPr>
                <w:rFonts w:ascii="Arial" w:eastAsia="Times New Roman" w:hAnsi="Arial" w:cs="Arial"/>
                <w:lang w:val="en-GB"/>
              </w:rPr>
              <w:t xml:space="preserve"> amended to </w:t>
            </w:r>
            <w:r w:rsidR="000B08E1">
              <w:rPr>
                <w:rFonts w:ascii="Arial" w:eastAsia="Times New Roman" w:hAnsi="Arial" w:cs="Arial"/>
                <w:lang w:val="en-GB"/>
              </w:rPr>
              <w:t xml:space="preserve">reference </w:t>
            </w:r>
            <w:r w:rsidR="00081507">
              <w:rPr>
                <w:rFonts w:ascii="Arial" w:eastAsia="Times New Roman" w:hAnsi="Arial" w:cs="Arial"/>
                <w:lang w:val="en-GB"/>
              </w:rPr>
              <w:t xml:space="preserve">section 166S </w:t>
            </w:r>
            <w:r w:rsidR="000B08E1">
              <w:rPr>
                <w:rFonts w:ascii="Arial" w:eastAsia="Times New Roman" w:hAnsi="Arial" w:cs="Arial"/>
                <w:lang w:val="en-GB"/>
              </w:rPr>
              <w:t>to “</w:t>
            </w:r>
            <w:r w:rsidR="00081507">
              <w:rPr>
                <w:rFonts w:ascii="Arial" w:eastAsia="Times New Roman" w:hAnsi="Arial" w:cs="Arial"/>
                <w:lang w:val="en-GB"/>
              </w:rPr>
              <w:t>the Act”</w:t>
            </w:r>
            <w:r w:rsidR="00C54AE1">
              <w:rPr>
                <w:rFonts w:ascii="Arial" w:eastAsia="Times New Roman" w:hAnsi="Arial" w:cs="Arial"/>
                <w:lang w:val="en-GB"/>
              </w:rPr>
              <w:t>.</w:t>
            </w:r>
          </w:p>
        </w:tc>
      </w:tr>
      <w:tr w:rsidR="008C3A29" w:rsidRPr="009D05E3" w14:paraId="628CE89C" w14:textId="77777777" w:rsidTr="00FC2C40">
        <w:tc>
          <w:tcPr>
            <w:tcW w:w="1886" w:type="dxa"/>
            <w:vAlign w:val="bottom"/>
          </w:tcPr>
          <w:p w14:paraId="15BCE823" w14:textId="7536D259" w:rsidR="008C3A29" w:rsidRPr="00892F3C" w:rsidRDefault="00382628" w:rsidP="00C035BC">
            <w:pPr>
              <w:spacing w:after="0"/>
              <w:jc w:val="center"/>
              <w:rPr>
                <w:rFonts w:ascii="Arial" w:hAnsi="Arial" w:cs="Arial"/>
                <w:lang w:val="en-GB"/>
              </w:rPr>
            </w:pPr>
            <w:r>
              <w:rPr>
                <w:rFonts w:ascii="Arial" w:hAnsi="Arial" w:cs="Arial"/>
                <w:lang w:val="en-GB"/>
              </w:rPr>
              <w:t>110</w:t>
            </w:r>
          </w:p>
        </w:tc>
        <w:tc>
          <w:tcPr>
            <w:tcW w:w="2078" w:type="dxa"/>
          </w:tcPr>
          <w:p w14:paraId="0B22376C" w14:textId="54316287" w:rsidR="008C3A29" w:rsidRPr="00892F3C" w:rsidRDefault="008C3A29" w:rsidP="008C3A29">
            <w:pPr>
              <w:spacing w:after="0" w:line="240" w:lineRule="auto"/>
              <w:rPr>
                <w:rFonts w:ascii="Arial" w:hAnsi="Arial" w:cs="Arial"/>
                <w:lang w:val="en-GB"/>
              </w:rPr>
            </w:pPr>
            <w:r w:rsidRPr="00892F3C">
              <w:rPr>
                <w:rFonts w:ascii="Arial" w:hAnsi="Arial" w:cs="Arial"/>
              </w:rPr>
              <w:t>JSE</w:t>
            </w:r>
          </w:p>
        </w:tc>
        <w:tc>
          <w:tcPr>
            <w:tcW w:w="2691" w:type="dxa"/>
          </w:tcPr>
          <w:p w14:paraId="480C1C64" w14:textId="4F3A9589" w:rsidR="008C3A29" w:rsidRPr="00892F3C" w:rsidRDefault="008C3A29" w:rsidP="00005246">
            <w:pPr>
              <w:spacing w:after="0" w:line="240" w:lineRule="auto"/>
              <w:jc w:val="both"/>
              <w:rPr>
                <w:rFonts w:ascii="Arial" w:hAnsi="Arial" w:cs="Arial"/>
                <w:bCs/>
              </w:rPr>
            </w:pPr>
            <w:r w:rsidRPr="00892F3C">
              <w:rPr>
                <w:rFonts w:ascii="Arial" w:hAnsi="Arial" w:cs="Arial"/>
                <w:bCs/>
              </w:rPr>
              <w:t>-</w:t>
            </w:r>
          </w:p>
        </w:tc>
        <w:tc>
          <w:tcPr>
            <w:tcW w:w="7903" w:type="dxa"/>
          </w:tcPr>
          <w:p w14:paraId="0EE7C165" w14:textId="15878383" w:rsidR="008C3A29" w:rsidRPr="00892F3C" w:rsidRDefault="008C3A29" w:rsidP="008C3A29">
            <w:pPr>
              <w:spacing w:after="0" w:line="240" w:lineRule="auto"/>
              <w:rPr>
                <w:rFonts w:ascii="Arial" w:hAnsi="Arial" w:cs="Arial"/>
              </w:rPr>
            </w:pPr>
            <w:r w:rsidRPr="00892F3C">
              <w:rPr>
                <w:rFonts w:ascii="Arial" w:hAnsi="Arial" w:cs="Arial"/>
                <w:lang w:val="en-GB"/>
              </w:rPr>
              <w:t>No comment</w:t>
            </w:r>
          </w:p>
        </w:tc>
        <w:tc>
          <w:tcPr>
            <w:tcW w:w="6416" w:type="dxa"/>
          </w:tcPr>
          <w:p w14:paraId="6BF2F424" w14:textId="0ACCEACC" w:rsidR="008C3A29" w:rsidRPr="00892F3C" w:rsidRDefault="008C3A29" w:rsidP="008C3A29">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8C3A29" w:rsidRPr="009D05E3" w14:paraId="52DC5F05" w14:textId="77777777" w:rsidTr="00FC2C40">
        <w:tc>
          <w:tcPr>
            <w:tcW w:w="1886" w:type="dxa"/>
            <w:vAlign w:val="bottom"/>
          </w:tcPr>
          <w:p w14:paraId="5E33904D" w14:textId="1E41E320" w:rsidR="008C3A29" w:rsidRPr="00892F3C" w:rsidRDefault="00382628" w:rsidP="00C035BC">
            <w:pPr>
              <w:spacing w:after="0"/>
              <w:jc w:val="center"/>
              <w:rPr>
                <w:rFonts w:ascii="Arial" w:hAnsi="Arial" w:cs="Arial"/>
                <w:lang w:val="en-GB"/>
              </w:rPr>
            </w:pPr>
            <w:r>
              <w:rPr>
                <w:rFonts w:ascii="Arial" w:hAnsi="Arial" w:cs="Arial"/>
                <w:lang w:val="en-GB"/>
              </w:rPr>
              <w:t>111</w:t>
            </w:r>
          </w:p>
        </w:tc>
        <w:tc>
          <w:tcPr>
            <w:tcW w:w="2078" w:type="dxa"/>
          </w:tcPr>
          <w:p w14:paraId="7B33C69E" w14:textId="059DC909" w:rsidR="008C3A29" w:rsidRPr="00892F3C" w:rsidRDefault="008C3A29" w:rsidP="008C3A29">
            <w:pPr>
              <w:spacing w:after="0" w:line="240" w:lineRule="auto"/>
              <w:rPr>
                <w:rFonts w:ascii="Arial" w:hAnsi="Arial" w:cs="Arial"/>
                <w:lang w:val="en-GB"/>
              </w:rPr>
            </w:pPr>
            <w:r w:rsidRPr="00892F3C">
              <w:rPr>
                <w:rFonts w:ascii="Arial" w:hAnsi="Arial" w:cs="Arial"/>
              </w:rPr>
              <w:t>MMH</w:t>
            </w:r>
          </w:p>
        </w:tc>
        <w:tc>
          <w:tcPr>
            <w:tcW w:w="2691" w:type="dxa"/>
          </w:tcPr>
          <w:p w14:paraId="0C5783C7" w14:textId="696C6F31" w:rsidR="008C3A29" w:rsidRPr="00892F3C" w:rsidRDefault="008C3A29" w:rsidP="00005246">
            <w:pPr>
              <w:spacing w:after="0" w:line="240" w:lineRule="auto"/>
              <w:jc w:val="both"/>
              <w:rPr>
                <w:rFonts w:ascii="Arial" w:hAnsi="Arial" w:cs="Arial"/>
                <w:bCs/>
              </w:rPr>
            </w:pPr>
            <w:r w:rsidRPr="00892F3C">
              <w:rPr>
                <w:rFonts w:ascii="Arial" w:hAnsi="Arial" w:cs="Arial"/>
                <w:bCs/>
              </w:rPr>
              <w:t>-</w:t>
            </w:r>
          </w:p>
        </w:tc>
        <w:tc>
          <w:tcPr>
            <w:tcW w:w="7903" w:type="dxa"/>
          </w:tcPr>
          <w:p w14:paraId="14671DD2" w14:textId="7FF29F89" w:rsidR="008C3A29" w:rsidRPr="00892F3C" w:rsidRDefault="008C3A29" w:rsidP="008C3A29">
            <w:pPr>
              <w:spacing w:after="0" w:line="240" w:lineRule="auto"/>
              <w:rPr>
                <w:rFonts w:ascii="Arial" w:hAnsi="Arial" w:cs="Arial"/>
              </w:rPr>
            </w:pPr>
            <w:r w:rsidRPr="00892F3C">
              <w:rPr>
                <w:rFonts w:ascii="Arial" w:hAnsi="Arial" w:cs="Arial"/>
                <w:lang w:val="en-GB"/>
              </w:rPr>
              <w:t>No comment</w:t>
            </w:r>
          </w:p>
        </w:tc>
        <w:tc>
          <w:tcPr>
            <w:tcW w:w="6416" w:type="dxa"/>
          </w:tcPr>
          <w:p w14:paraId="52EFC16D" w14:textId="19DF4AD3" w:rsidR="008C3A29" w:rsidRPr="00892F3C" w:rsidRDefault="008C3A29" w:rsidP="008C3A29">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8C3A29" w:rsidRPr="009D05E3" w14:paraId="14228C2D" w14:textId="77777777" w:rsidTr="00FC2C40">
        <w:tc>
          <w:tcPr>
            <w:tcW w:w="1886" w:type="dxa"/>
            <w:vAlign w:val="bottom"/>
          </w:tcPr>
          <w:p w14:paraId="52C4994A" w14:textId="2C014156" w:rsidR="008C3A29" w:rsidRPr="00892F3C" w:rsidRDefault="00382628" w:rsidP="00C035BC">
            <w:pPr>
              <w:spacing w:after="0"/>
              <w:jc w:val="center"/>
              <w:rPr>
                <w:rFonts w:ascii="Arial" w:hAnsi="Arial" w:cs="Arial"/>
                <w:lang w:val="en-GB"/>
              </w:rPr>
            </w:pPr>
            <w:r>
              <w:rPr>
                <w:rFonts w:ascii="Arial" w:hAnsi="Arial" w:cs="Arial"/>
                <w:lang w:val="en-GB"/>
              </w:rPr>
              <w:t>112</w:t>
            </w:r>
          </w:p>
        </w:tc>
        <w:tc>
          <w:tcPr>
            <w:tcW w:w="2078" w:type="dxa"/>
          </w:tcPr>
          <w:p w14:paraId="5B3985F2" w14:textId="113618A4" w:rsidR="008C3A29" w:rsidRPr="00892F3C" w:rsidRDefault="008C3A29" w:rsidP="008C3A29">
            <w:pPr>
              <w:spacing w:after="0" w:line="240" w:lineRule="auto"/>
              <w:rPr>
                <w:rFonts w:ascii="Arial" w:hAnsi="Arial" w:cs="Arial"/>
                <w:lang w:val="en-GB"/>
              </w:rPr>
            </w:pPr>
            <w:r w:rsidRPr="00892F3C">
              <w:rPr>
                <w:rFonts w:ascii="Arial" w:hAnsi="Arial" w:cs="Arial"/>
              </w:rPr>
              <w:t>Nedbank</w:t>
            </w:r>
          </w:p>
        </w:tc>
        <w:tc>
          <w:tcPr>
            <w:tcW w:w="2691" w:type="dxa"/>
          </w:tcPr>
          <w:p w14:paraId="1A925DCD" w14:textId="48F4B159" w:rsidR="008C3A29" w:rsidRPr="00892F3C" w:rsidRDefault="008C3A29" w:rsidP="00005246">
            <w:pPr>
              <w:spacing w:after="0" w:line="240" w:lineRule="auto"/>
              <w:jc w:val="both"/>
              <w:rPr>
                <w:rFonts w:ascii="Arial" w:hAnsi="Arial" w:cs="Arial"/>
                <w:bCs/>
              </w:rPr>
            </w:pPr>
            <w:r w:rsidRPr="00892F3C">
              <w:rPr>
                <w:rFonts w:ascii="Arial" w:hAnsi="Arial" w:cs="Arial"/>
                <w:bCs/>
              </w:rPr>
              <w:t>-</w:t>
            </w:r>
          </w:p>
        </w:tc>
        <w:tc>
          <w:tcPr>
            <w:tcW w:w="7903" w:type="dxa"/>
          </w:tcPr>
          <w:p w14:paraId="51281722" w14:textId="6E446F02" w:rsidR="008C3A29" w:rsidRPr="00892F3C" w:rsidRDefault="008C3A29" w:rsidP="008C3A29">
            <w:pPr>
              <w:spacing w:after="0" w:line="240" w:lineRule="auto"/>
              <w:rPr>
                <w:rFonts w:ascii="Arial" w:hAnsi="Arial" w:cs="Arial"/>
              </w:rPr>
            </w:pPr>
            <w:r w:rsidRPr="00892F3C">
              <w:rPr>
                <w:rFonts w:ascii="Arial" w:hAnsi="Arial" w:cs="Arial"/>
                <w:lang w:val="en-GB"/>
              </w:rPr>
              <w:t>No comment</w:t>
            </w:r>
          </w:p>
        </w:tc>
        <w:tc>
          <w:tcPr>
            <w:tcW w:w="6416" w:type="dxa"/>
          </w:tcPr>
          <w:p w14:paraId="0A0C4793" w14:textId="52638B19" w:rsidR="008C3A29" w:rsidRPr="00892F3C" w:rsidRDefault="008C3A29" w:rsidP="008C3A29">
            <w:pPr>
              <w:spacing w:after="0" w:line="240" w:lineRule="auto"/>
              <w:jc w:val="both"/>
              <w:rPr>
                <w:rFonts w:ascii="Arial" w:eastAsia="Times New Roman" w:hAnsi="Arial" w:cs="Arial"/>
                <w:lang w:val="en-GB"/>
              </w:rPr>
            </w:pPr>
            <w:r w:rsidRPr="00892F3C">
              <w:rPr>
                <w:rFonts w:ascii="Arial" w:eastAsia="Times New Roman" w:hAnsi="Arial" w:cs="Arial"/>
                <w:lang w:val="en-GB"/>
              </w:rPr>
              <w:t>Noted</w:t>
            </w:r>
          </w:p>
        </w:tc>
      </w:tr>
      <w:tr w:rsidR="008C3A29" w:rsidRPr="009D05E3" w14:paraId="42BA5567" w14:textId="77777777" w:rsidTr="00515BD8">
        <w:tc>
          <w:tcPr>
            <w:tcW w:w="1886" w:type="dxa"/>
            <w:vAlign w:val="bottom"/>
          </w:tcPr>
          <w:p w14:paraId="0C684F8D" w14:textId="6005F376" w:rsidR="008C3A29" w:rsidRPr="00892F3C" w:rsidRDefault="00382628" w:rsidP="00F21833">
            <w:pPr>
              <w:spacing w:after="960"/>
              <w:jc w:val="center"/>
              <w:rPr>
                <w:rFonts w:ascii="Arial" w:hAnsi="Arial" w:cs="Arial"/>
                <w:lang w:val="en-GB"/>
              </w:rPr>
            </w:pPr>
            <w:r>
              <w:rPr>
                <w:rFonts w:ascii="Arial" w:hAnsi="Arial" w:cs="Arial"/>
                <w:lang w:val="en-GB"/>
              </w:rPr>
              <w:lastRenderedPageBreak/>
              <w:t>113</w:t>
            </w:r>
          </w:p>
        </w:tc>
        <w:tc>
          <w:tcPr>
            <w:tcW w:w="2078" w:type="dxa"/>
          </w:tcPr>
          <w:p w14:paraId="18C0865A" w14:textId="37959050" w:rsidR="008C3A29" w:rsidRPr="00892F3C" w:rsidRDefault="008C3A29" w:rsidP="008C3A29">
            <w:pPr>
              <w:spacing w:after="0" w:line="240" w:lineRule="auto"/>
              <w:rPr>
                <w:rFonts w:ascii="Arial" w:hAnsi="Arial" w:cs="Arial"/>
                <w:lang w:val="en-GB"/>
              </w:rPr>
            </w:pPr>
            <w:r w:rsidRPr="00892F3C">
              <w:rPr>
                <w:rFonts w:ascii="Arial" w:hAnsi="Arial" w:cs="Arial"/>
                <w:lang w:val="en-GB"/>
              </w:rPr>
              <w:t>BASA</w:t>
            </w:r>
          </w:p>
        </w:tc>
        <w:tc>
          <w:tcPr>
            <w:tcW w:w="2691" w:type="dxa"/>
          </w:tcPr>
          <w:p w14:paraId="2CEEF207" w14:textId="76CE5B84" w:rsidR="008C3A29" w:rsidRPr="00892F3C" w:rsidRDefault="008C3A29" w:rsidP="00005246">
            <w:pPr>
              <w:spacing w:after="0" w:line="240" w:lineRule="auto"/>
              <w:jc w:val="both"/>
              <w:rPr>
                <w:rFonts w:ascii="Arial" w:hAnsi="Arial" w:cs="Arial"/>
                <w:bCs/>
              </w:rPr>
            </w:pPr>
            <w:r w:rsidRPr="00892F3C">
              <w:rPr>
                <w:rFonts w:ascii="Arial" w:hAnsi="Arial" w:cs="Arial"/>
                <w:bCs/>
              </w:rPr>
              <w:t>10.1</w:t>
            </w:r>
          </w:p>
        </w:tc>
        <w:tc>
          <w:tcPr>
            <w:tcW w:w="7903" w:type="dxa"/>
          </w:tcPr>
          <w:p w14:paraId="3D1F1672" w14:textId="41E49DDD" w:rsidR="008C3A29" w:rsidRPr="00892F3C" w:rsidRDefault="008C3A29" w:rsidP="008C3A29">
            <w:pPr>
              <w:spacing w:after="0" w:line="240" w:lineRule="auto"/>
              <w:rPr>
                <w:rFonts w:ascii="Arial" w:hAnsi="Arial" w:cs="Arial"/>
              </w:rPr>
            </w:pPr>
            <w:r w:rsidRPr="00892F3C">
              <w:rPr>
                <w:rFonts w:ascii="Arial" w:hAnsi="Arial" w:cs="Arial"/>
                <w:b/>
                <w:bCs/>
                <w:lang w:val="en-GB"/>
              </w:rPr>
              <w:t>Recommend</w:t>
            </w:r>
            <w:r w:rsidRPr="00892F3C">
              <w:rPr>
                <w:rFonts w:ascii="Arial" w:hAnsi="Arial" w:cs="Arial"/>
                <w:lang w:val="en-GB"/>
              </w:rPr>
              <w:t xml:space="preserve"> that the PA should consider also adding a requirement that in an open resolution strategy, the designated institution should be assessed to remain financially viable in future by generating sufficient returns for capital providers post the transfer of a perimeter.  This could be linked to the Valuation process.</w:t>
            </w:r>
          </w:p>
        </w:tc>
        <w:tc>
          <w:tcPr>
            <w:tcW w:w="6416" w:type="dxa"/>
            <w:shd w:val="clear" w:color="auto" w:fill="auto"/>
          </w:tcPr>
          <w:p w14:paraId="52DD8D23" w14:textId="3DE01B4F" w:rsidR="008C3A29" w:rsidRDefault="000D4069" w:rsidP="008C3A29">
            <w:pPr>
              <w:spacing w:after="0" w:line="240" w:lineRule="auto"/>
              <w:jc w:val="both"/>
              <w:rPr>
                <w:rFonts w:ascii="Arial" w:eastAsia="Times New Roman" w:hAnsi="Arial" w:cs="Arial"/>
                <w:lang w:val="en-GB"/>
              </w:rPr>
            </w:pPr>
            <w:r>
              <w:rPr>
                <w:rFonts w:ascii="Arial" w:eastAsia="Times New Roman" w:hAnsi="Arial" w:cs="Arial"/>
                <w:lang w:val="en-GB"/>
              </w:rPr>
              <w:t xml:space="preserve">The Standard is meant to </w:t>
            </w:r>
            <w:r w:rsidR="00817BA4">
              <w:rPr>
                <w:rFonts w:ascii="Arial" w:eastAsia="Times New Roman" w:hAnsi="Arial" w:cs="Arial"/>
                <w:lang w:val="en-GB"/>
              </w:rPr>
              <w:t xml:space="preserve">specifically </w:t>
            </w:r>
            <w:r>
              <w:rPr>
                <w:rFonts w:ascii="Arial" w:eastAsia="Times New Roman" w:hAnsi="Arial" w:cs="Arial"/>
                <w:lang w:val="en-GB"/>
              </w:rPr>
              <w:t xml:space="preserve">deal with </w:t>
            </w:r>
            <w:r w:rsidR="00817BA4">
              <w:rPr>
                <w:rFonts w:ascii="Arial" w:eastAsia="Times New Roman" w:hAnsi="Arial" w:cs="Arial"/>
                <w:lang w:val="en-GB"/>
              </w:rPr>
              <w:t xml:space="preserve">transfer </w:t>
            </w:r>
            <w:r w:rsidR="007D5082">
              <w:rPr>
                <w:rFonts w:ascii="Arial" w:eastAsia="Times New Roman" w:hAnsi="Arial" w:cs="Arial"/>
                <w:lang w:val="en-GB"/>
              </w:rPr>
              <w:t>requirements.</w:t>
            </w:r>
            <w:r w:rsidR="00FA7AF3">
              <w:rPr>
                <w:rFonts w:ascii="Arial" w:eastAsia="Times New Roman" w:hAnsi="Arial" w:cs="Arial"/>
                <w:lang w:val="en-GB"/>
              </w:rPr>
              <w:t xml:space="preserve"> </w:t>
            </w:r>
          </w:p>
          <w:p w14:paraId="776AE290" w14:textId="77777777" w:rsidR="000D4069" w:rsidRDefault="000D4069" w:rsidP="008C3A29">
            <w:pPr>
              <w:spacing w:after="0" w:line="240" w:lineRule="auto"/>
              <w:jc w:val="both"/>
              <w:rPr>
                <w:rFonts w:ascii="Arial" w:eastAsia="Times New Roman" w:hAnsi="Arial" w:cs="Arial"/>
                <w:lang w:val="en-GB"/>
              </w:rPr>
            </w:pPr>
          </w:p>
          <w:p w14:paraId="6CACF831" w14:textId="59847652" w:rsidR="000D4069" w:rsidRPr="00892F3C" w:rsidRDefault="000D4069" w:rsidP="008C3A29">
            <w:pPr>
              <w:spacing w:after="0" w:line="240" w:lineRule="auto"/>
              <w:jc w:val="both"/>
              <w:rPr>
                <w:rFonts w:ascii="Arial" w:eastAsia="Times New Roman" w:hAnsi="Arial" w:cs="Arial"/>
                <w:lang w:val="en-GB"/>
              </w:rPr>
            </w:pPr>
            <w:r>
              <w:rPr>
                <w:rFonts w:ascii="Arial" w:eastAsia="Times New Roman" w:hAnsi="Arial" w:cs="Arial"/>
                <w:lang w:val="en-GB"/>
              </w:rPr>
              <w:t xml:space="preserve">Disagree with the recommendation. </w:t>
            </w:r>
          </w:p>
        </w:tc>
      </w:tr>
      <w:tr w:rsidR="008C3A29" w:rsidRPr="009D05E3" w14:paraId="18FFCFBB" w14:textId="77777777" w:rsidTr="00515BD8">
        <w:tc>
          <w:tcPr>
            <w:tcW w:w="1886" w:type="dxa"/>
            <w:shd w:val="clear" w:color="auto" w:fill="auto"/>
            <w:vAlign w:val="bottom"/>
          </w:tcPr>
          <w:p w14:paraId="016B35F3" w14:textId="35285581" w:rsidR="008C3A29" w:rsidRPr="00892F3C" w:rsidRDefault="00382628" w:rsidP="00224537">
            <w:pPr>
              <w:spacing w:after="6000"/>
              <w:jc w:val="center"/>
              <w:rPr>
                <w:rFonts w:ascii="Arial" w:hAnsi="Arial" w:cs="Arial"/>
                <w:lang w:val="en-GB"/>
              </w:rPr>
            </w:pPr>
            <w:r>
              <w:rPr>
                <w:rFonts w:ascii="Arial" w:hAnsi="Arial" w:cs="Arial"/>
                <w:lang w:val="en-GB"/>
              </w:rPr>
              <w:t>114</w:t>
            </w:r>
          </w:p>
        </w:tc>
        <w:tc>
          <w:tcPr>
            <w:tcW w:w="2078" w:type="dxa"/>
          </w:tcPr>
          <w:p w14:paraId="0901637A" w14:textId="62FFAFD2" w:rsidR="008C3A29" w:rsidRPr="00892F3C" w:rsidRDefault="00005246" w:rsidP="008C3A29">
            <w:pPr>
              <w:spacing w:after="0" w:line="240" w:lineRule="auto"/>
              <w:rPr>
                <w:rFonts w:ascii="Arial" w:hAnsi="Arial" w:cs="Arial"/>
                <w:lang w:val="en-GB"/>
              </w:rPr>
            </w:pPr>
            <w:r w:rsidRPr="00892F3C">
              <w:rPr>
                <w:rFonts w:ascii="Arial" w:hAnsi="Arial" w:cs="Arial"/>
                <w:lang w:val="en-GB"/>
              </w:rPr>
              <w:t>BASA</w:t>
            </w:r>
          </w:p>
        </w:tc>
        <w:tc>
          <w:tcPr>
            <w:tcW w:w="2691" w:type="dxa"/>
          </w:tcPr>
          <w:p w14:paraId="1551FBA4" w14:textId="21066B2C" w:rsidR="008C3A29" w:rsidRPr="00892F3C" w:rsidRDefault="008C3A29" w:rsidP="00005246">
            <w:pPr>
              <w:spacing w:after="0" w:line="240" w:lineRule="auto"/>
              <w:jc w:val="both"/>
              <w:rPr>
                <w:rFonts w:ascii="Arial" w:hAnsi="Arial" w:cs="Arial"/>
                <w:bCs/>
              </w:rPr>
            </w:pPr>
            <w:r w:rsidRPr="00892F3C">
              <w:rPr>
                <w:rFonts w:ascii="Arial" w:hAnsi="Arial" w:cs="Arial"/>
                <w:bCs/>
              </w:rPr>
              <w:t>10.1 (a)</w:t>
            </w:r>
          </w:p>
        </w:tc>
        <w:tc>
          <w:tcPr>
            <w:tcW w:w="7903" w:type="dxa"/>
            <w:shd w:val="clear" w:color="auto" w:fill="auto"/>
          </w:tcPr>
          <w:p w14:paraId="52F303DD" w14:textId="61210317" w:rsidR="008C3A29" w:rsidRDefault="008C3A29" w:rsidP="008C3A29">
            <w:pPr>
              <w:spacing w:after="0" w:line="240" w:lineRule="auto"/>
              <w:rPr>
                <w:rFonts w:ascii="Arial" w:hAnsi="Arial" w:cs="Arial"/>
                <w:lang w:val="en-GB"/>
              </w:rPr>
            </w:pPr>
            <w:r w:rsidRPr="00892F3C">
              <w:rPr>
                <w:rFonts w:ascii="Arial" w:hAnsi="Arial" w:cs="Arial"/>
                <w:b/>
                <w:bCs/>
                <w:lang w:val="en-GB"/>
              </w:rPr>
              <w:t>Recommend</w:t>
            </w:r>
            <w:r w:rsidRPr="00892F3C">
              <w:rPr>
                <w:rFonts w:ascii="Arial" w:hAnsi="Arial" w:cs="Arial"/>
                <w:lang w:val="en-GB"/>
              </w:rPr>
              <w:t xml:space="preserve"> amendment of wording to “preserve the continuity of critical functions and / or core business lines” is recommended.</w:t>
            </w:r>
          </w:p>
          <w:p w14:paraId="4A806225" w14:textId="77777777" w:rsidR="008906B8" w:rsidRPr="00892F3C" w:rsidRDefault="008906B8" w:rsidP="008C3A29">
            <w:pPr>
              <w:spacing w:after="0" w:line="240" w:lineRule="auto"/>
              <w:rPr>
                <w:rFonts w:ascii="Arial" w:hAnsi="Arial" w:cs="Arial"/>
                <w:lang w:val="en-GB"/>
              </w:rPr>
            </w:pPr>
          </w:p>
          <w:p w14:paraId="58C6B8DE" w14:textId="77777777" w:rsidR="00D5237A" w:rsidRDefault="008C3A29" w:rsidP="008C3A29">
            <w:pPr>
              <w:spacing w:after="0" w:line="240" w:lineRule="auto"/>
              <w:rPr>
                <w:rFonts w:ascii="Arial" w:hAnsi="Arial" w:cs="Arial"/>
                <w:lang w:val="en-GB"/>
              </w:rPr>
            </w:pPr>
            <w:r w:rsidRPr="00892F3C">
              <w:rPr>
                <w:rFonts w:ascii="Arial" w:hAnsi="Arial" w:cs="Arial"/>
                <w:b/>
                <w:bCs/>
                <w:lang w:val="en-GB"/>
              </w:rPr>
              <w:t>Clarify</w:t>
            </w:r>
            <w:r w:rsidRPr="00892F3C">
              <w:rPr>
                <w:rFonts w:ascii="Arial" w:hAnsi="Arial" w:cs="Arial"/>
                <w:lang w:val="en-GB"/>
              </w:rPr>
              <w:t xml:space="preserve"> the scope of the Standard, i.e., typically core business lines are of interest for Recovery Planning but have been included in this resolution Standard. </w:t>
            </w:r>
          </w:p>
          <w:p w14:paraId="06D3B855" w14:textId="77777777" w:rsidR="00D5237A" w:rsidRDefault="00D5237A" w:rsidP="008C3A29">
            <w:pPr>
              <w:spacing w:after="0" w:line="240" w:lineRule="auto"/>
              <w:rPr>
                <w:rFonts w:ascii="Arial" w:hAnsi="Arial" w:cs="Arial"/>
                <w:b/>
                <w:bCs/>
                <w:lang w:val="en-GB"/>
              </w:rPr>
            </w:pPr>
          </w:p>
          <w:p w14:paraId="052F8A07" w14:textId="5AAF015A" w:rsidR="008C3A29" w:rsidRPr="00892F3C" w:rsidRDefault="008C3A29" w:rsidP="008C3A29">
            <w:pPr>
              <w:spacing w:after="0" w:line="240" w:lineRule="auto"/>
              <w:rPr>
                <w:rFonts w:ascii="Arial" w:hAnsi="Arial" w:cs="Arial"/>
              </w:rPr>
            </w:pPr>
            <w:r w:rsidRPr="00892F3C">
              <w:rPr>
                <w:rFonts w:ascii="Arial" w:hAnsi="Arial" w:cs="Arial"/>
                <w:b/>
                <w:bCs/>
                <w:lang w:val="en-GB"/>
              </w:rPr>
              <w:t>Clarify</w:t>
            </w:r>
            <w:r w:rsidRPr="00892F3C">
              <w:rPr>
                <w:rFonts w:ascii="Arial" w:hAnsi="Arial" w:cs="Arial"/>
                <w:lang w:val="en-GB"/>
              </w:rPr>
              <w:t xml:space="preserve"> in terms of the inclusion of core business lines</w:t>
            </w:r>
          </w:p>
        </w:tc>
        <w:tc>
          <w:tcPr>
            <w:tcW w:w="6416" w:type="dxa"/>
            <w:shd w:val="clear" w:color="auto" w:fill="auto"/>
          </w:tcPr>
          <w:p w14:paraId="712889E4" w14:textId="6531467E" w:rsidR="00FC70EE" w:rsidRPr="00FC70EE" w:rsidRDefault="00FC70EE" w:rsidP="008C3A29">
            <w:pPr>
              <w:spacing w:after="0" w:line="240" w:lineRule="auto"/>
              <w:jc w:val="both"/>
              <w:rPr>
                <w:rFonts w:ascii="Arial" w:eastAsia="Times New Roman" w:hAnsi="Arial" w:cs="Arial"/>
                <w:b/>
                <w:bCs/>
                <w:lang w:val="en-GB"/>
              </w:rPr>
            </w:pPr>
            <w:r w:rsidRPr="00FC70EE">
              <w:rPr>
                <w:rFonts w:ascii="Arial" w:eastAsia="Times New Roman" w:hAnsi="Arial" w:cs="Arial"/>
                <w:b/>
                <w:bCs/>
                <w:lang w:val="en-GB"/>
              </w:rPr>
              <w:t>Recommendation to change wording</w:t>
            </w:r>
            <w:r w:rsidR="0098411E">
              <w:rPr>
                <w:rFonts w:ascii="Arial" w:eastAsia="Times New Roman" w:hAnsi="Arial" w:cs="Arial"/>
                <w:b/>
                <w:bCs/>
                <w:lang w:val="en-GB"/>
              </w:rPr>
              <w:t>:</w:t>
            </w:r>
          </w:p>
          <w:p w14:paraId="7788804A" w14:textId="77777777" w:rsidR="00FC70EE" w:rsidRDefault="00FC70EE" w:rsidP="008C3A29">
            <w:pPr>
              <w:spacing w:after="0" w:line="240" w:lineRule="auto"/>
              <w:jc w:val="both"/>
              <w:rPr>
                <w:rFonts w:ascii="Arial" w:eastAsia="Times New Roman" w:hAnsi="Arial" w:cs="Arial"/>
                <w:lang w:val="en-GB"/>
              </w:rPr>
            </w:pPr>
          </w:p>
          <w:p w14:paraId="2999ACBD" w14:textId="6126244C" w:rsidR="001A38D8" w:rsidRDefault="001A38D8" w:rsidP="008C3A29">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DA560E">
              <w:rPr>
                <w:rFonts w:ascii="Arial" w:eastAsia="Times New Roman" w:hAnsi="Arial" w:cs="Arial"/>
                <w:lang w:val="en-GB"/>
              </w:rPr>
              <w:t>Authorities</w:t>
            </w:r>
            <w:r>
              <w:rPr>
                <w:rFonts w:ascii="Arial" w:eastAsia="Times New Roman" w:hAnsi="Arial" w:cs="Arial"/>
                <w:lang w:val="en-GB"/>
              </w:rPr>
              <w:t xml:space="preserve"> considered the recommendation </w:t>
            </w:r>
            <w:r w:rsidR="00C45139">
              <w:rPr>
                <w:rFonts w:ascii="Arial" w:eastAsia="Times New Roman" w:hAnsi="Arial" w:cs="Arial"/>
                <w:lang w:val="en-GB"/>
              </w:rPr>
              <w:t>and</w:t>
            </w:r>
            <w:r>
              <w:rPr>
                <w:rFonts w:ascii="Arial" w:eastAsia="Times New Roman" w:hAnsi="Arial" w:cs="Arial"/>
                <w:lang w:val="en-GB"/>
              </w:rPr>
              <w:t xml:space="preserve"> has changed the wording to </w:t>
            </w:r>
            <w:r w:rsidR="00C45139">
              <w:rPr>
                <w:rFonts w:ascii="Arial" w:eastAsia="Times New Roman" w:hAnsi="Arial" w:cs="Arial"/>
                <w:lang w:val="en-GB"/>
              </w:rPr>
              <w:t>the now section 9.1(a) to read as follows:</w:t>
            </w:r>
          </w:p>
          <w:p w14:paraId="263B2E99" w14:textId="090B3AFD" w:rsidR="00C45139" w:rsidRDefault="00C45139" w:rsidP="008C3A29">
            <w:pPr>
              <w:spacing w:after="0" w:line="240" w:lineRule="auto"/>
              <w:jc w:val="both"/>
              <w:rPr>
                <w:rFonts w:ascii="Arial" w:eastAsia="Times New Roman" w:hAnsi="Arial" w:cs="Arial"/>
                <w:lang w:val="en-GB"/>
              </w:rPr>
            </w:pPr>
            <w:r>
              <w:rPr>
                <w:rFonts w:ascii="Arial" w:eastAsia="Times New Roman" w:hAnsi="Arial" w:cs="Arial"/>
                <w:lang w:val="en-GB"/>
              </w:rPr>
              <w:t>“Preserve the continuity of critical functions and/ or core business lines</w:t>
            </w:r>
            <w:r w:rsidR="0081275E">
              <w:rPr>
                <w:rFonts w:ascii="Arial" w:eastAsia="Times New Roman" w:hAnsi="Arial" w:cs="Arial"/>
                <w:lang w:val="en-GB"/>
              </w:rPr>
              <w:t>”.</w:t>
            </w:r>
          </w:p>
          <w:p w14:paraId="0233825F" w14:textId="1613C057" w:rsidR="001A38D8" w:rsidRDefault="001A38D8" w:rsidP="008C3A29">
            <w:pPr>
              <w:spacing w:after="0" w:line="240" w:lineRule="auto"/>
              <w:jc w:val="both"/>
              <w:rPr>
                <w:rFonts w:ascii="Arial" w:eastAsia="Times New Roman" w:hAnsi="Arial" w:cs="Arial"/>
                <w:lang w:val="en-GB"/>
              </w:rPr>
            </w:pPr>
          </w:p>
          <w:p w14:paraId="1360AF84" w14:textId="096EB1D9" w:rsidR="00755040" w:rsidRPr="00FC70EE" w:rsidRDefault="00755040" w:rsidP="008C3A29">
            <w:pPr>
              <w:spacing w:after="0" w:line="240" w:lineRule="auto"/>
              <w:jc w:val="both"/>
              <w:rPr>
                <w:rFonts w:ascii="Arial" w:eastAsia="Times New Roman" w:hAnsi="Arial" w:cs="Arial"/>
                <w:b/>
                <w:bCs/>
                <w:lang w:val="en-GB"/>
              </w:rPr>
            </w:pPr>
            <w:r w:rsidRPr="00FC70EE">
              <w:rPr>
                <w:rFonts w:ascii="Arial" w:eastAsia="Times New Roman" w:hAnsi="Arial" w:cs="Arial"/>
                <w:b/>
                <w:bCs/>
                <w:lang w:val="en-GB"/>
              </w:rPr>
              <w:t>Clarity regarding core business lines</w:t>
            </w:r>
            <w:r w:rsidR="0098411E">
              <w:rPr>
                <w:rFonts w:ascii="Arial" w:eastAsia="Times New Roman" w:hAnsi="Arial" w:cs="Arial"/>
                <w:b/>
                <w:bCs/>
                <w:lang w:val="en-GB"/>
              </w:rPr>
              <w:t>:</w:t>
            </w:r>
          </w:p>
          <w:p w14:paraId="30DFDB80" w14:textId="2BC23FDE" w:rsidR="00755040" w:rsidRDefault="00AE4ADB" w:rsidP="008C3A29">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FA1090">
              <w:rPr>
                <w:rFonts w:ascii="Arial" w:eastAsia="Times New Roman" w:hAnsi="Arial" w:cs="Arial"/>
                <w:lang w:val="en-GB"/>
              </w:rPr>
              <w:t>relevance</w:t>
            </w:r>
            <w:r>
              <w:rPr>
                <w:rFonts w:ascii="Arial" w:eastAsia="Times New Roman" w:hAnsi="Arial" w:cs="Arial"/>
                <w:lang w:val="en-GB"/>
              </w:rPr>
              <w:t xml:space="preserve"> of core business lines in a transfer perimeter definition is dependent on the type of resolution transfer tool being used. For </w:t>
            </w:r>
            <w:r w:rsidR="008F06E8">
              <w:rPr>
                <w:rFonts w:ascii="Arial" w:eastAsia="Times New Roman" w:hAnsi="Arial" w:cs="Arial"/>
                <w:lang w:val="en-GB"/>
              </w:rPr>
              <w:t>example,</w:t>
            </w:r>
            <w:r w:rsidR="006D4CC7">
              <w:rPr>
                <w:rFonts w:ascii="Arial" w:eastAsia="Times New Roman" w:hAnsi="Arial" w:cs="Arial"/>
                <w:lang w:val="en-GB"/>
              </w:rPr>
              <w:t xml:space="preserve"> in a scenario of separating</w:t>
            </w:r>
            <w:r w:rsidR="00FC70EE">
              <w:rPr>
                <w:rFonts w:ascii="Arial" w:eastAsia="Times New Roman" w:hAnsi="Arial" w:cs="Arial"/>
                <w:lang w:val="en-GB"/>
              </w:rPr>
              <w:t xml:space="preserve"> ba</w:t>
            </w:r>
            <w:r w:rsidR="006D4CC7">
              <w:rPr>
                <w:rFonts w:ascii="Arial" w:eastAsia="Times New Roman" w:hAnsi="Arial" w:cs="Arial"/>
                <w:lang w:val="en-GB"/>
              </w:rPr>
              <w:t>d</w:t>
            </w:r>
            <w:r w:rsidR="00FC70EE">
              <w:rPr>
                <w:rFonts w:ascii="Arial" w:eastAsia="Times New Roman" w:hAnsi="Arial" w:cs="Arial"/>
                <w:lang w:val="en-GB"/>
              </w:rPr>
              <w:t xml:space="preserve"> bank</w:t>
            </w:r>
            <w:r w:rsidR="00D643B8">
              <w:rPr>
                <w:rFonts w:ascii="Arial" w:eastAsia="Times New Roman" w:hAnsi="Arial" w:cs="Arial"/>
                <w:lang w:val="en-GB"/>
              </w:rPr>
              <w:t xml:space="preserve"> from the </w:t>
            </w:r>
            <w:r w:rsidR="00FC70EE">
              <w:rPr>
                <w:rFonts w:ascii="Arial" w:eastAsia="Times New Roman" w:hAnsi="Arial" w:cs="Arial"/>
                <w:lang w:val="en-GB"/>
              </w:rPr>
              <w:t xml:space="preserve">good bank, </w:t>
            </w:r>
            <w:r w:rsidR="00D643B8">
              <w:rPr>
                <w:rFonts w:ascii="Arial" w:eastAsia="Times New Roman" w:hAnsi="Arial" w:cs="Arial"/>
                <w:lang w:val="en-GB"/>
              </w:rPr>
              <w:t xml:space="preserve">a resolution authority </w:t>
            </w:r>
            <w:r w:rsidR="00FC70EE">
              <w:rPr>
                <w:rFonts w:ascii="Arial" w:eastAsia="Times New Roman" w:hAnsi="Arial" w:cs="Arial"/>
                <w:lang w:val="en-GB"/>
              </w:rPr>
              <w:t xml:space="preserve">could transfer critical functions and core business lines </w:t>
            </w:r>
            <w:r w:rsidR="00D643B8">
              <w:rPr>
                <w:rFonts w:ascii="Arial" w:eastAsia="Times New Roman" w:hAnsi="Arial" w:cs="Arial"/>
                <w:lang w:val="en-GB"/>
              </w:rPr>
              <w:t>to</w:t>
            </w:r>
            <w:r w:rsidR="00FC70EE">
              <w:rPr>
                <w:rFonts w:ascii="Arial" w:eastAsia="Times New Roman" w:hAnsi="Arial" w:cs="Arial"/>
                <w:lang w:val="en-GB"/>
              </w:rPr>
              <w:t xml:space="preserve"> a </w:t>
            </w:r>
            <w:r w:rsidR="00C10A74">
              <w:rPr>
                <w:rFonts w:ascii="Arial" w:eastAsia="Times New Roman" w:hAnsi="Arial" w:cs="Arial"/>
                <w:lang w:val="en-GB"/>
              </w:rPr>
              <w:t>bridge institution</w:t>
            </w:r>
            <w:r w:rsidR="00D643B8">
              <w:rPr>
                <w:rFonts w:ascii="Arial" w:eastAsia="Times New Roman" w:hAnsi="Arial" w:cs="Arial"/>
                <w:lang w:val="en-GB"/>
              </w:rPr>
              <w:t xml:space="preserve"> (instead of </w:t>
            </w:r>
            <w:r w:rsidR="00187B96">
              <w:rPr>
                <w:rFonts w:ascii="Arial" w:eastAsia="Times New Roman" w:hAnsi="Arial" w:cs="Arial"/>
                <w:lang w:val="en-GB"/>
              </w:rPr>
              <w:t xml:space="preserve">transferring the bad bank out and leaving </w:t>
            </w:r>
            <w:r w:rsidR="00F47FE1">
              <w:rPr>
                <w:rFonts w:ascii="Arial" w:eastAsia="Times New Roman" w:hAnsi="Arial" w:cs="Arial"/>
                <w:lang w:val="en-GB"/>
              </w:rPr>
              <w:t xml:space="preserve">a </w:t>
            </w:r>
            <w:r w:rsidR="00187B96">
              <w:rPr>
                <w:rFonts w:ascii="Arial" w:eastAsia="Times New Roman" w:hAnsi="Arial" w:cs="Arial"/>
                <w:lang w:val="en-GB"/>
              </w:rPr>
              <w:t>surviving institution).</w:t>
            </w:r>
            <w:r w:rsidR="00230046">
              <w:rPr>
                <w:rFonts w:ascii="Arial" w:eastAsia="Times New Roman" w:hAnsi="Arial" w:cs="Arial"/>
                <w:lang w:val="en-GB"/>
              </w:rPr>
              <w:t xml:space="preserve"> </w:t>
            </w:r>
            <w:r w:rsidR="00B86E1C">
              <w:rPr>
                <w:rFonts w:ascii="Arial" w:eastAsia="Times New Roman" w:hAnsi="Arial" w:cs="Arial"/>
                <w:lang w:val="en-GB"/>
              </w:rPr>
              <w:t xml:space="preserve">This is </w:t>
            </w:r>
            <w:r w:rsidR="00C45139">
              <w:rPr>
                <w:rFonts w:ascii="Arial" w:eastAsia="Times New Roman" w:hAnsi="Arial" w:cs="Arial"/>
                <w:lang w:val="en-GB"/>
              </w:rPr>
              <w:t>just</w:t>
            </w:r>
            <w:r w:rsidR="00B86E1C">
              <w:rPr>
                <w:rFonts w:ascii="Arial" w:eastAsia="Times New Roman" w:hAnsi="Arial" w:cs="Arial"/>
                <w:lang w:val="en-GB"/>
              </w:rPr>
              <w:t xml:space="preserve"> one of many resolution scenarios where c</w:t>
            </w:r>
            <w:r w:rsidR="0081275E">
              <w:rPr>
                <w:rFonts w:ascii="Arial" w:eastAsia="Times New Roman" w:hAnsi="Arial" w:cs="Arial"/>
                <w:lang w:val="en-GB"/>
              </w:rPr>
              <w:t>o</w:t>
            </w:r>
            <w:r w:rsidR="00B86E1C">
              <w:rPr>
                <w:rFonts w:ascii="Arial" w:eastAsia="Times New Roman" w:hAnsi="Arial" w:cs="Arial"/>
                <w:lang w:val="en-GB"/>
              </w:rPr>
              <w:t>re business li</w:t>
            </w:r>
            <w:r w:rsidR="0081275E">
              <w:rPr>
                <w:rFonts w:ascii="Arial" w:eastAsia="Times New Roman" w:hAnsi="Arial" w:cs="Arial"/>
                <w:lang w:val="en-GB"/>
              </w:rPr>
              <w:t>n</w:t>
            </w:r>
            <w:r w:rsidR="00B86E1C">
              <w:rPr>
                <w:rFonts w:ascii="Arial" w:eastAsia="Times New Roman" w:hAnsi="Arial" w:cs="Arial"/>
                <w:lang w:val="en-GB"/>
              </w:rPr>
              <w:t>es could be relevant.</w:t>
            </w:r>
          </w:p>
          <w:p w14:paraId="25880FE7" w14:textId="6FD6E62F" w:rsidR="00F65CE6" w:rsidRDefault="00F65CE6" w:rsidP="008C3A29">
            <w:pPr>
              <w:spacing w:after="0" w:line="240" w:lineRule="auto"/>
              <w:jc w:val="both"/>
              <w:rPr>
                <w:rFonts w:ascii="Arial" w:eastAsia="Times New Roman" w:hAnsi="Arial" w:cs="Arial"/>
                <w:lang w:val="en-GB"/>
              </w:rPr>
            </w:pPr>
          </w:p>
          <w:p w14:paraId="0BCED64C" w14:textId="56CE8AB7" w:rsidR="007C4D82" w:rsidRPr="00892F3C" w:rsidRDefault="00F65CE6" w:rsidP="008C3A29">
            <w:pPr>
              <w:spacing w:after="0" w:line="240" w:lineRule="auto"/>
              <w:jc w:val="both"/>
              <w:rPr>
                <w:rFonts w:ascii="Arial" w:eastAsia="Times New Roman" w:hAnsi="Arial" w:cs="Arial"/>
                <w:lang w:val="en-GB"/>
              </w:rPr>
            </w:pPr>
            <w:r>
              <w:rPr>
                <w:rFonts w:ascii="Arial" w:eastAsia="Times New Roman" w:hAnsi="Arial" w:cs="Arial"/>
                <w:lang w:val="en-GB"/>
              </w:rPr>
              <w:t xml:space="preserve">In addition, it is to be noted that </w:t>
            </w:r>
            <w:r w:rsidR="001803BF">
              <w:rPr>
                <w:rFonts w:ascii="Arial" w:eastAsia="Times New Roman" w:hAnsi="Arial" w:cs="Arial"/>
                <w:lang w:val="en-GB"/>
              </w:rPr>
              <w:t xml:space="preserve">the transfer perimeter should be attractive to prospective buyer and therefore </w:t>
            </w:r>
            <w:r w:rsidR="00EA08E2">
              <w:rPr>
                <w:rFonts w:ascii="Arial" w:eastAsia="Times New Roman" w:hAnsi="Arial" w:cs="Arial"/>
                <w:lang w:val="en-GB"/>
              </w:rPr>
              <w:t xml:space="preserve">areas of a designated institution that represent a material source of revenue for </w:t>
            </w:r>
            <w:r w:rsidR="0081275E">
              <w:rPr>
                <w:rFonts w:ascii="Arial" w:eastAsia="Times New Roman" w:hAnsi="Arial" w:cs="Arial"/>
                <w:lang w:val="en-GB"/>
              </w:rPr>
              <w:t>the</w:t>
            </w:r>
            <w:r w:rsidR="00EA08E2">
              <w:rPr>
                <w:rFonts w:ascii="Arial" w:eastAsia="Times New Roman" w:hAnsi="Arial" w:cs="Arial"/>
                <w:lang w:val="en-GB"/>
              </w:rPr>
              <w:t xml:space="preserve"> designated institution in resolution become relevant (depending on the transfer strategy).</w:t>
            </w:r>
          </w:p>
        </w:tc>
      </w:tr>
      <w:tr w:rsidR="008C3A29" w:rsidRPr="009D05E3" w14:paraId="38D5316C" w14:textId="77777777" w:rsidTr="00515BD8">
        <w:trPr>
          <w:trHeight w:val="4633"/>
        </w:trPr>
        <w:tc>
          <w:tcPr>
            <w:tcW w:w="1886" w:type="dxa"/>
            <w:shd w:val="clear" w:color="auto" w:fill="auto"/>
            <w:vAlign w:val="bottom"/>
          </w:tcPr>
          <w:p w14:paraId="47E27F71" w14:textId="603CE4A6" w:rsidR="008C3A29" w:rsidRPr="00892F3C" w:rsidRDefault="00382628" w:rsidP="00224537">
            <w:pPr>
              <w:spacing w:after="4320"/>
              <w:jc w:val="center"/>
              <w:rPr>
                <w:rFonts w:ascii="Arial" w:hAnsi="Arial" w:cs="Arial"/>
                <w:lang w:val="en-GB"/>
              </w:rPr>
            </w:pPr>
            <w:r>
              <w:rPr>
                <w:rFonts w:ascii="Arial" w:hAnsi="Arial" w:cs="Arial"/>
                <w:lang w:val="en-GB"/>
              </w:rPr>
              <w:t>115</w:t>
            </w:r>
          </w:p>
        </w:tc>
        <w:tc>
          <w:tcPr>
            <w:tcW w:w="2078" w:type="dxa"/>
          </w:tcPr>
          <w:p w14:paraId="573FDE67" w14:textId="7E10870C" w:rsidR="008C3A29" w:rsidRPr="00892F3C" w:rsidRDefault="00005246" w:rsidP="008C3A29">
            <w:pPr>
              <w:spacing w:after="0" w:line="240" w:lineRule="auto"/>
              <w:rPr>
                <w:rFonts w:ascii="Arial" w:hAnsi="Arial" w:cs="Arial"/>
                <w:lang w:val="en-GB"/>
              </w:rPr>
            </w:pPr>
            <w:r w:rsidRPr="00892F3C">
              <w:rPr>
                <w:rFonts w:ascii="Arial" w:hAnsi="Arial" w:cs="Arial"/>
                <w:lang w:val="en-GB"/>
              </w:rPr>
              <w:t>BASA</w:t>
            </w:r>
          </w:p>
        </w:tc>
        <w:tc>
          <w:tcPr>
            <w:tcW w:w="2691" w:type="dxa"/>
          </w:tcPr>
          <w:p w14:paraId="4843F2C7" w14:textId="68550606" w:rsidR="008C3A29" w:rsidRPr="00892F3C" w:rsidRDefault="008C3A29" w:rsidP="00005246">
            <w:pPr>
              <w:spacing w:after="0" w:line="240" w:lineRule="auto"/>
              <w:jc w:val="both"/>
              <w:rPr>
                <w:rFonts w:ascii="Arial" w:hAnsi="Arial" w:cs="Arial"/>
                <w:bCs/>
              </w:rPr>
            </w:pPr>
            <w:r w:rsidRPr="00892F3C">
              <w:rPr>
                <w:rFonts w:ascii="Arial" w:hAnsi="Arial" w:cs="Arial"/>
                <w:bCs/>
              </w:rPr>
              <w:t>10.2 (c)</w:t>
            </w:r>
          </w:p>
        </w:tc>
        <w:tc>
          <w:tcPr>
            <w:tcW w:w="7903" w:type="dxa"/>
            <w:shd w:val="clear" w:color="auto" w:fill="auto"/>
          </w:tcPr>
          <w:p w14:paraId="71C5A291" w14:textId="4BC9C3FD" w:rsidR="008C3A29" w:rsidRPr="00892F3C" w:rsidRDefault="008C3A29" w:rsidP="008C3A29">
            <w:pPr>
              <w:spacing w:after="0" w:line="240" w:lineRule="auto"/>
              <w:rPr>
                <w:rFonts w:ascii="Arial" w:hAnsi="Arial" w:cs="Arial"/>
                <w:lang w:val="en-GB"/>
              </w:rPr>
            </w:pPr>
            <w:r w:rsidRPr="00892F3C">
              <w:rPr>
                <w:rFonts w:ascii="Arial" w:hAnsi="Arial" w:cs="Arial"/>
                <w:lang w:val="en-GB"/>
              </w:rPr>
              <w:t xml:space="preserve">The residual institution is defined as an institution that will ultimately be liquidated or face an orderly wind down. </w:t>
            </w:r>
            <w:r w:rsidRPr="00892F3C">
              <w:rPr>
                <w:rFonts w:ascii="Arial" w:hAnsi="Arial" w:cs="Arial"/>
                <w:b/>
                <w:bCs/>
                <w:lang w:val="en-GB"/>
              </w:rPr>
              <w:t>Clarify</w:t>
            </w:r>
            <w:r w:rsidRPr="00892F3C">
              <w:rPr>
                <w:rFonts w:ascii="Arial" w:hAnsi="Arial" w:cs="Arial"/>
                <w:lang w:val="en-GB"/>
              </w:rPr>
              <w:t xml:space="preserve"> what assessment is expected to be done as </w:t>
            </w:r>
            <w:r w:rsidRPr="0054374A">
              <w:rPr>
                <w:rFonts w:ascii="Arial" w:hAnsi="Arial" w:cs="Arial"/>
                <w:lang w:val="en-GB"/>
              </w:rPr>
              <w:t>the NCWOL would be materialised</w:t>
            </w:r>
            <w:r w:rsidRPr="00892F3C">
              <w:rPr>
                <w:rFonts w:ascii="Arial" w:hAnsi="Arial" w:cs="Arial"/>
                <w:lang w:val="en-GB"/>
              </w:rPr>
              <w:t xml:space="preserve"> in this scenario.</w:t>
            </w:r>
          </w:p>
        </w:tc>
        <w:tc>
          <w:tcPr>
            <w:tcW w:w="6416" w:type="dxa"/>
            <w:shd w:val="clear" w:color="auto" w:fill="auto"/>
          </w:tcPr>
          <w:p w14:paraId="51458B55" w14:textId="29DB43AC" w:rsidR="00714BE2" w:rsidRDefault="00A71A8D" w:rsidP="000C0A39">
            <w:pPr>
              <w:spacing w:after="0" w:line="240" w:lineRule="auto"/>
              <w:jc w:val="both"/>
              <w:rPr>
                <w:rFonts w:ascii="Arial" w:eastAsia="Times New Roman" w:hAnsi="Arial" w:cs="Arial"/>
                <w:lang w:val="en-GB"/>
              </w:rPr>
            </w:pPr>
            <w:r>
              <w:rPr>
                <w:rFonts w:ascii="Arial" w:eastAsia="Times New Roman" w:hAnsi="Arial" w:cs="Arial"/>
                <w:lang w:val="en-GB"/>
              </w:rPr>
              <w:t>The principle</w:t>
            </w:r>
            <w:r w:rsidR="00D64812">
              <w:rPr>
                <w:rFonts w:ascii="Arial" w:eastAsia="Times New Roman" w:hAnsi="Arial" w:cs="Arial"/>
                <w:lang w:val="en-GB"/>
              </w:rPr>
              <w:t xml:space="preserve"> under</w:t>
            </w:r>
            <w:r>
              <w:rPr>
                <w:rFonts w:ascii="Arial" w:eastAsia="Times New Roman" w:hAnsi="Arial" w:cs="Arial"/>
                <w:lang w:val="en-GB"/>
              </w:rPr>
              <w:t xml:space="preserve"> </w:t>
            </w:r>
            <w:r w:rsidR="00714BE2">
              <w:rPr>
                <w:rFonts w:ascii="Arial" w:eastAsia="Times New Roman" w:hAnsi="Arial" w:cs="Arial"/>
                <w:lang w:val="en-GB"/>
              </w:rPr>
              <w:t>section</w:t>
            </w:r>
            <w:r>
              <w:rPr>
                <w:rFonts w:ascii="Arial" w:eastAsia="Times New Roman" w:hAnsi="Arial" w:cs="Arial"/>
                <w:lang w:val="en-GB"/>
              </w:rPr>
              <w:t xml:space="preserve"> </w:t>
            </w:r>
            <w:r w:rsidR="00714BE2">
              <w:rPr>
                <w:rFonts w:ascii="Arial" w:eastAsia="Times New Roman" w:hAnsi="Arial" w:cs="Arial"/>
                <w:lang w:val="en-GB"/>
              </w:rPr>
              <w:t>10.</w:t>
            </w:r>
            <w:r>
              <w:rPr>
                <w:rFonts w:ascii="Arial" w:eastAsia="Times New Roman" w:hAnsi="Arial" w:cs="Arial"/>
                <w:lang w:val="en-GB"/>
              </w:rPr>
              <w:t>2(</w:t>
            </w:r>
            <w:r w:rsidR="00714BE2">
              <w:rPr>
                <w:rFonts w:ascii="Arial" w:eastAsia="Times New Roman" w:hAnsi="Arial" w:cs="Arial"/>
                <w:lang w:val="en-GB"/>
              </w:rPr>
              <w:t xml:space="preserve">c) (now section </w:t>
            </w:r>
            <w:r w:rsidR="009A4C2C">
              <w:rPr>
                <w:rFonts w:ascii="Arial" w:eastAsia="Times New Roman" w:hAnsi="Arial" w:cs="Arial"/>
                <w:lang w:val="en-GB"/>
              </w:rPr>
              <w:t>9.2(c))</w:t>
            </w:r>
            <w:r w:rsidR="00714BE2">
              <w:rPr>
                <w:rFonts w:ascii="Arial" w:eastAsia="Times New Roman" w:hAnsi="Arial" w:cs="Arial"/>
                <w:lang w:val="en-GB"/>
              </w:rPr>
              <w:t xml:space="preserve"> is to s</w:t>
            </w:r>
            <w:r w:rsidR="00D64812">
              <w:rPr>
                <w:rFonts w:ascii="Arial" w:eastAsia="Times New Roman" w:hAnsi="Arial" w:cs="Arial"/>
                <w:lang w:val="en-GB"/>
              </w:rPr>
              <w:t>a</w:t>
            </w:r>
            <w:r w:rsidR="00714BE2">
              <w:rPr>
                <w:rFonts w:ascii="Arial" w:eastAsia="Times New Roman" w:hAnsi="Arial" w:cs="Arial"/>
                <w:lang w:val="en-GB"/>
              </w:rPr>
              <w:t>feguard</w:t>
            </w:r>
            <w:r w:rsidR="00D64812">
              <w:rPr>
                <w:rFonts w:ascii="Arial" w:eastAsia="Times New Roman" w:hAnsi="Arial" w:cs="Arial"/>
                <w:lang w:val="en-GB"/>
              </w:rPr>
              <w:t xml:space="preserve"> </w:t>
            </w:r>
            <w:r w:rsidR="00714BE2">
              <w:rPr>
                <w:rFonts w:ascii="Arial" w:eastAsia="Times New Roman" w:hAnsi="Arial" w:cs="Arial"/>
                <w:lang w:val="en-GB"/>
              </w:rPr>
              <w:t>creditors</w:t>
            </w:r>
            <w:r w:rsidR="00D64812">
              <w:rPr>
                <w:rFonts w:ascii="Arial" w:eastAsia="Times New Roman" w:hAnsi="Arial" w:cs="Arial"/>
                <w:lang w:val="en-GB"/>
              </w:rPr>
              <w:t>’ claims</w:t>
            </w:r>
            <w:r w:rsidR="00714BE2">
              <w:rPr>
                <w:rFonts w:ascii="Arial" w:eastAsia="Times New Roman" w:hAnsi="Arial" w:cs="Arial"/>
                <w:lang w:val="en-GB"/>
              </w:rPr>
              <w:t>.</w:t>
            </w:r>
          </w:p>
          <w:p w14:paraId="1A503845" w14:textId="77777777" w:rsidR="00714BE2" w:rsidRDefault="00714BE2" w:rsidP="000C0A39">
            <w:pPr>
              <w:spacing w:after="0" w:line="240" w:lineRule="auto"/>
              <w:jc w:val="both"/>
              <w:rPr>
                <w:rFonts w:ascii="Arial" w:eastAsia="Times New Roman" w:hAnsi="Arial" w:cs="Arial"/>
                <w:lang w:val="en-GB"/>
              </w:rPr>
            </w:pPr>
          </w:p>
          <w:p w14:paraId="3BAAB091" w14:textId="51694DC3" w:rsidR="007343B1" w:rsidRDefault="007343B1" w:rsidP="000C0A39">
            <w:pPr>
              <w:spacing w:after="0" w:line="240" w:lineRule="auto"/>
              <w:jc w:val="both"/>
              <w:rPr>
                <w:rFonts w:ascii="Arial" w:eastAsia="Times New Roman" w:hAnsi="Arial" w:cs="Arial"/>
                <w:lang w:val="en-GB"/>
              </w:rPr>
            </w:pPr>
            <w:r>
              <w:rPr>
                <w:rFonts w:ascii="Arial" w:eastAsia="Times New Roman" w:hAnsi="Arial" w:cs="Arial"/>
                <w:lang w:val="en-GB"/>
              </w:rPr>
              <w:t xml:space="preserve">Liquidation of an institution under normal insolvency proceedings is different from liquidation of a residual institution. </w:t>
            </w:r>
            <w:r w:rsidR="009A4C2C">
              <w:rPr>
                <w:rFonts w:ascii="Arial" w:eastAsia="Times New Roman" w:hAnsi="Arial" w:cs="Arial"/>
                <w:lang w:val="en-GB"/>
              </w:rPr>
              <w:t>W</w:t>
            </w:r>
            <w:r w:rsidR="008339AA">
              <w:rPr>
                <w:rFonts w:ascii="Arial" w:eastAsia="Times New Roman" w:hAnsi="Arial" w:cs="Arial"/>
                <w:lang w:val="en-GB"/>
              </w:rPr>
              <w:t xml:space="preserve">here a partial transfer has been </w:t>
            </w:r>
            <w:proofErr w:type="gramStart"/>
            <w:r w:rsidR="008339AA">
              <w:rPr>
                <w:rFonts w:ascii="Arial" w:eastAsia="Times New Roman" w:hAnsi="Arial" w:cs="Arial"/>
                <w:lang w:val="en-GB"/>
              </w:rPr>
              <w:t>effected</w:t>
            </w:r>
            <w:proofErr w:type="gramEnd"/>
            <w:r w:rsidR="008339AA">
              <w:rPr>
                <w:rFonts w:ascii="Arial" w:eastAsia="Times New Roman" w:hAnsi="Arial" w:cs="Arial"/>
                <w:lang w:val="en-GB"/>
              </w:rPr>
              <w:t xml:space="preserve"> by the Reserve Bank</w:t>
            </w:r>
            <w:r w:rsidR="008C4411">
              <w:rPr>
                <w:rFonts w:ascii="Arial" w:eastAsia="Times New Roman" w:hAnsi="Arial" w:cs="Arial"/>
                <w:lang w:val="en-GB"/>
              </w:rPr>
              <w:t xml:space="preserve"> </w:t>
            </w:r>
            <w:r w:rsidR="0054374A">
              <w:rPr>
                <w:rFonts w:ascii="Arial" w:eastAsia="Times New Roman" w:hAnsi="Arial" w:cs="Arial"/>
                <w:lang w:val="en-GB"/>
              </w:rPr>
              <w:t>(</w:t>
            </w:r>
            <w:r w:rsidR="008C4411">
              <w:rPr>
                <w:rFonts w:ascii="Arial" w:eastAsia="Times New Roman" w:hAnsi="Arial" w:cs="Arial"/>
                <w:lang w:val="en-GB"/>
              </w:rPr>
              <w:t xml:space="preserve">as </w:t>
            </w:r>
            <w:r w:rsidR="0074086D">
              <w:rPr>
                <w:rFonts w:ascii="Arial" w:eastAsia="Times New Roman" w:hAnsi="Arial" w:cs="Arial"/>
                <w:lang w:val="en-GB"/>
              </w:rPr>
              <w:t xml:space="preserve">part of the </w:t>
            </w:r>
            <w:r w:rsidR="008C4411">
              <w:rPr>
                <w:rFonts w:ascii="Arial" w:eastAsia="Times New Roman" w:hAnsi="Arial" w:cs="Arial"/>
                <w:lang w:val="en-GB"/>
              </w:rPr>
              <w:t>resolution strategy</w:t>
            </w:r>
            <w:r w:rsidR="0054374A">
              <w:rPr>
                <w:rFonts w:ascii="Arial" w:eastAsia="Times New Roman" w:hAnsi="Arial" w:cs="Arial"/>
                <w:lang w:val="en-GB"/>
              </w:rPr>
              <w:t>)</w:t>
            </w:r>
            <w:r w:rsidR="008339AA">
              <w:rPr>
                <w:rFonts w:ascii="Arial" w:eastAsia="Times New Roman" w:hAnsi="Arial" w:cs="Arial"/>
                <w:lang w:val="en-GB"/>
              </w:rPr>
              <w:t xml:space="preserve">, the </w:t>
            </w:r>
            <w:r w:rsidR="008C4411">
              <w:rPr>
                <w:rFonts w:ascii="Arial" w:eastAsia="Times New Roman" w:hAnsi="Arial" w:cs="Arial"/>
                <w:lang w:val="en-GB"/>
              </w:rPr>
              <w:t>creditors’</w:t>
            </w:r>
            <w:r w:rsidR="008339AA">
              <w:rPr>
                <w:rFonts w:ascii="Arial" w:eastAsia="Times New Roman" w:hAnsi="Arial" w:cs="Arial"/>
                <w:lang w:val="en-GB"/>
              </w:rPr>
              <w:t xml:space="preserve"> claims that have not been </w:t>
            </w:r>
            <w:r w:rsidR="00F42168">
              <w:rPr>
                <w:rFonts w:ascii="Arial" w:eastAsia="Times New Roman" w:hAnsi="Arial" w:cs="Arial"/>
                <w:lang w:val="en-GB"/>
              </w:rPr>
              <w:t xml:space="preserve">transferred </w:t>
            </w:r>
            <w:r w:rsidR="008C4411">
              <w:rPr>
                <w:rFonts w:ascii="Arial" w:eastAsia="Times New Roman" w:hAnsi="Arial" w:cs="Arial"/>
                <w:lang w:val="en-GB"/>
              </w:rPr>
              <w:t xml:space="preserve">should </w:t>
            </w:r>
            <w:r w:rsidR="00F42168">
              <w:rPr>
                <w:rFonts w:ascii="Arial" w:eastAsia="Times New Roman" w:hAnsi="Arial" w:cs="Arial"/>
                <w:lang w:val="en-GB"/>
              </w:rPr>
              <w:t xml:space="preserve">receive </w:t>
            </w:r>
            <w:r w:rsidR="00B82DAE">
              <w:rPr>
                <w:rFonts w:ascii="Arial" w:eastAsia="Times New Roman" w:hAnsi="Arial" w:cs="Arial"/>
                <w:lang w:val="en-GB"/>
              </w:rPr>
              <w:t>at least</w:t>
            </w:r>
            <w:r w:rsidR="00F42168">
              <w:rPr>
                <w:rFonts w:ascii="Arial" w:eastAsia="Times New Roman" w:hAnsi="Arial" w:cs="Arial"/>
                <w:lang w:val="en-GB"/>
              </w:rPr>
              <w:t xml:space="preserve"> as much as what they would have received, had the institution been </w:t>
            </w:r>
            <w:r w:rsidR="00A71A8D">
              <w:rPr>
                <w:rFonts w:ascii="Arial" w:eastAsia="Times New Roman" w:hAnsi="Arial" w:cs="Arial"/>
                <w:lang w:val="en-GB"/>
              </w:rPr>
              <w:t xml:space="preserve">liquidated under normal </w:t>
            </w:r>
            <w:r w:rsidR="008C4411">
              <w:rPr>
                <w:rFonts w:ascii="Arial" w:eastAsia="Times New Roman" w:hAnsi="Arial" w:cs="Arial"/>
                <w:lang w:val="en-GB"/>
              </w:rPr>
              <w:t>insolvency</w:t>
            </w:r>
            <w:r w:rsidR="00A71A8D">
              <w:rPr>
                <w:rFonts w:ascii="Arial" w:eastAsia="Times New Roman" w:hAnsi="Arial" w:cs="Arial"/>
                <w:lang w:val="en-GB"/>
              </w:rPr>
              <w:t xml:space="preserve"> proceedings.</w:t>
            </w:r>
          </w:p>
          <w:p w14:paraId="1703A0D4" w14:textId="013D9400" w:rsidR="008C4411" w:rsidRDefault="008C4411" w:rsidP="000C0A39">
            <w:pPr>
              <w:spacing w:after="0" w:line="240" w:lineRule="auto"/>
              <w:jc w:val="both"/>
              <w:rPr>
                <w:rFonts w:ascii="Arial" w:eastAsia="Times New Roman" w:hAnsi="Arial" w:cs="Arial"/>
                <w:lang w:val="en-GB"/>
              </w:rPr>
            </w:pPr>
          </w:p>
          <w:p w14:paraId="45FA928E" w14:textId="4FD90349" w:rsidR="007343B1" w:rsidRPr="00892F3C" w:rsidRDefault="008C4411" w:rsidP="000C0A39">
            <w:pPr>
              <w:spacing w:after="0" w:line="240" w:lineRule="auto"/>
              <w:jc w:val="both"/>
              <w:rPr>
                <w:rFonts w:ascii="Arial" w:eastAsia="Times New Roman" w:hAnsi="Arial" w:cs="Arial"/>
                <w:lang w:val="en-GB"/>
              </w:rPr>
            </w:pPr>
            <w:r>
              <w:rPr>
                <w:rFonts w:ascii="Arial" w:eastAsia="Times New Roman" w:hAnsi="Arial" w:cs="Arial"/>
                <w:lang w:val="en-GB"/>
              </w:rPr>
              <w:t xml:space="preserve">Therefore, </w:t>
            </w:r>
            <w:r w:rsidR="00761CB9">
              <w:rPr>
                <w:rFonts w:ascii="Arial" w:eastAsia="Times New Roman" w:hAnsi="Arial" w:cs="Arial"/>
                <w:lang w:val="en-GB"/>
              </w:rPr>
              <w:t>in formulating the transfer perimeter</w:t>
            </w:r>
            <w:r w:rsidR="000F20F2">
              <w:rPr>
                <w:rFonts w:ascii="Arial" w:eastAsia="Times New Roman" w:hAnsi="Arial" w:cs="Arial"/>
                <w:lang w:val="en-GB"/>
              </w:rPr>
              <w:t xml:space="preserve"> (</w:t>
            </w:r>
            <w:r w:rsidR="00761CB9">
              <w:rPr>
                <w:rFonts w:ascii="Arial" w:eastAsia="Times New Roman" w:hAnsi="Arial" w:cs="Arial"/>
                <w:lang w:val="en-GB"/>
              </w:rPr>
              <w:t>for a partial transfer strategy</w:t>
            </w:r>
            <w:r w:rsidR="000F20F2">
              <w:rPr>
                <w:rFonts w:ascii="Arial" w:eastAsia="Times New Roman" w:hAnsi="Arial" w:cs="Arial"/>
                <w:lang w:val="en-GB"/>
              </w:rPr>
              <w:t>)</w:t>
            </w:r>
            <w:r w:rsidR="00761CB9">
              <w:rPr>
                <w:rFonts w:ascii="Arial" w:eastAsia="Times New Roman" w:hAnsi="Arial" w:cs="Arial"/>
                <w:lang w:val="en-GB"/>
              </w:rPr>
              <w:t>, if there are any liabilities that would receive less</w:t>
            </w:r>
            <w:r w:rsidR="00F92D08">
              <w:rPr>
                <w:rFonts w:ascii="Arial" w:eastAsia="Times New Roman" w:hAnsi="Arial" w:cs="Arial"/>
                <w:lang w:val="en-GB"/>
              </w:rPr>
              <w:t xml:space="preserve"> (by </w:t>
            </w:r>
            <w:r w:rsidR="00C41E1A">
              <w:rPr>
                <w:rFonts w:ascii="Arial" w:eastAsia="Times New Roman" w:hAnsi="Arial" w:cs="Arial"/>
                <w:lang w:val="en-GB"/>
              </w:rPr>
              <w:t>remaining</w:t>
            </w:r>
            <w:r w:rsidR="00F92D08">
              <w:rPr>
                <w:rFonts w:ascii="Arial" w:eastAsia="Times New Roman" w:hAnsi="Arial" w:cs="Arial"/>
                <w:lang w:val="en-GB"/>
              </w:rPr>
              <w:t xml:space="preserve"> in the residual institution)</w:t>
            </w:r>
            <w:r w:rsidR="00761CB9">
              <w:rPr>
                <w:rFonts w:ascii="Arial" w:eastAsia="Times New Roman" w:hAnsi="Arial" w:cs="Arial"/>
                <w:lang w:val="en-GB"/>
              </w:rPr>
              <w:t xml:space="preserve"> tha</w:t>
            </w:r>
            <w:r w:rsidR="00B82DAE">
              <w:rPr>
                <w:rFonts w:ascii="Arial" w:eastAsia="Times New Roman" w:hAnsi="Arial" w:cs="Arial"/>
                <w:lang w:val="en-GB"/>
              </w:rPr>
              <w:t>n</w:t>
            </w:r>
            <w:r w:rsidR="00761CB9">
              <w:rPr>
                <w:rFonts w:ascii="Arial" w:eastAsia="Times New Roman" w:hAnsi="Arial" w:cs="Arial"/>
                <w:lang w:val="en-GB"/>
              </w:rPr>
              <w:t xml:space="preserve"> they would (under normal insolvency proceedings), </w:t>
            </w:r>
            <w:r w:rsidR="00F92D08">
              <w:rPr>
                <w:rFonts w:ascii="Arial" w:eastAsia="Times New Roman" w:hAnsi="Arial" w:cs="Arial"/>
                <w:lang w:val="en-GB"/>
              </w:rPr>
              <w:t>then</w:t>
            </w:r>
            <w:r w:rsidR="000F20F2">
              <w:rPr>
                <w:rFonts w:ascii="Arial" w:eastAsia="Times New Roman" w:hAnsi="Arial" w:cs="Arial"/>
                <w:lang w:val="en-GB"/>
              </w:rPr>
              <w:t xml:space="preserve"> the designated institution should </w:t>
            </w:r>
            <w:r w:rsidR="00D64812">
              <w:rPr>
                <w:rFonts w:ascii="Arial" w:eastAsia="Times New Roman" w:hAnsi="Arial" w:cs="Arial"/>
                <w:lang w:val="en-GB"/>
              </w:rPr>
              <w:t xml:space="preserve">as far as </w:t>
            </w:r>
            <w:proofErr w:type="gramStart"/>
            <w:r w:rsidR="00D64812">
              <w:rPr>
                <w:rFonts w:ascii="Arial" w:eastAsia="Times New Roman" w:hAnsi="Arial" w:cs="Arial"/>
                <w:lang w:val="en-GB"/>
              </w:rPr>
              <w:t>possible</w:t>
            </w:r>
            <w:proofErr w:type="gramEnd"/>
            <w:r w:rsidR="00D64812">
              <w:rPr>
                <w:rFonts w:ascii="Arial" w:eastAsia="Times New Roman" w:hAnsi="Arial" w:cs="Arial"/>
                <w:lang w:val="en-GB"/>
              </w:rPr>
              <w:t xml:space="preserve"> </w:t>
            </w:r>
            <w:r w:rsidR="000F20F2">
              <w:rPr>
                <w:rFonts w:ascii="Arial" w:eastAsia="Times New Roman" w:hAnsi="Arial" w:cs="Arial"/>
                <w:lang w:val="en-GB"/>
              </w:rPr>
              <w:t>includ</w:t>
            </w:r>
            <w:r w:rsidR="00D64812">
              <w:rPr>
                <w:rFonts w:ascii="Arial" w:eastAsia="Times New Roman" w:hAnsi="Arial" w:cs="Arial"/>
                <w:lang w:val="en-GB"/>
              </w:rPr>
              <w:t>e</w:t>
            </w:r>
            <w:r w:rsidR="000F20F2">
              <w:rPr>
                <w:rFonts w:ascii="Arial" w:eastAsia="Times New Roman" w:hAnsi="Arial" w:cs="Arial"/>
                <w:lang w:val="en-GB"/>
              </w:rPr>
              <w:t xml:space="preserve"> those liabilities in the transfer perimeter.</w:t>
            </w:r>
          </w:p>
        </w:tc>
      </w:tr>
      <w:tr w:rsidR="008C3A29" w:rsidRPr="009D05E3" w14:paraId="2B1EE5B5" w14:textId="4223E628" w:rsidTr="00532AB8">
        <w:tc>
          <w:tcPr>
            <w:tcW w:w="20974" w:type="dxa"/>
            <w:gridSpan w:val="5"/>
            <w:shd w:val="clear" w:color="auto" w:fill="D9D9D9" w:themeFill="background1" w:themeFillShade="D9"/>
          </w:tcPr>
          <w:p w14:paraId="7641646B" w14:textId="4509F0C8" w:rsidR="008C3A29" w:rsidRPr="00532AB8" w:rsidRDefault="00532AB8" w:rsidP="00515BD8">
            <w:pPr>
              <w:spacing w:after="0"/>
              <w:jc w:val="center"/>
              <w:rPr>
                <w:rFonts w:ascii="Arial" w:hAnsi="Arial" w:cs="Arial"/>
                <w:b/>
                <w:sz w:val="32"/>
                <w:szCs w:val="32"/>
                <w:lang w:val="en-GB"/>
              </w:rPr>
            </w:pPr>
            <w:r>
              <w:rPr>
                <w:rFonts w:ascii="Arial" w:hAnsi="Arial" w:cs="Arial"/>
                <w:b/>
                <w:sz w:val="32"/>
                <w:szCs w:val="32"/>
                <w:lang w:val="en-GB"/>
              </w:rPr>
              <w:t>11.</w:t>
            </w:r>
            <w:r w:rsidR="008C3A29" w:rsidRPr="00532AB8">
              <w:rPr>
                <w:rFonts w:ascii="Arial" w:hAnsi="Arial" w:cs="Arial"/>
                <w:b/>
                <w:sz w:val="32"/>
                <w:szCs w:val="32"/>
                <w:lang w:val="en-GB"/>
              </w:rPr>
              <w:t>Governance requirements</w:t>
            </w:r>
          </w:p>
        </w:tc>
      </w:tr>
      <w:tr w:rsidR="008C3A29" w:rsidRPr="009D05E3" w14:paraId="6207CDAD" w14:textId="77777777" w:rsidTr="00FC2C40">
        <w:tc>
          <w:tcPr>
            <w:tcW w:w="1886" w:type="dxa"/>
            <w:vAlign w:val="bottom"/>
          </w:tcPr>
          <w:p w14:paraId="553E096D" w14:textId="64A98927" w:rsidR="008C3A29" w:rsidRPr="009D05E3" w:rsidRDefault="00382628" w:rsidP="00BD573F">
            <w:pPr>
              <w:spacing w:after="0"/>
              <w:jc w:val="center"/>
              <w:rPr>
                <w:rFonts w:ascii="Arial" w:hAnsi="Arial" w:cs="Arial"/>
                <w:lang w:val="en-GB"/>
              </w:rPr>
            </w:pPr>
            <w:r>
              <w:rPr>
                <w:rFonts w:ascii="Arial" w:hAnsi="Arial" w:cs="Arial"/>
                <w:lang w:val="en-GB"/>
              </w:rPr>
              <w:t>116</w:t>
            </w:r>
          </w:p>
        </w:tc>
        <w:tc>
          <w:tcPr>
            <w:tcW w:w="2078" w:type="dxa"/>
          </w:tcPr>
          <w:p w14:paraId="47FC89CB" w14:textId="5A902496" w:rsidR="008C3A29" w:rsidRPr="00F21833" w:rsidRDefault="008C3A29" w:rsidP="008C3A29">
            <w:pPr>
              <w:spacing w:after="0" w:line="240" w:lineRule="auto"/>
              <w:rPr>
                <w:rFonts w:ascii="Arial" w:hAnsi="Arial" w:cs="Arial"/>
                <w:lang w:val="en-GB"/>
              </w:rPr>
            </w:pPr>
            <w:r w:rsidRPr="00F21833">
              <w:rPr>
                <w:rFonts w:ascii="Arial" w:hAnsi="Arial" w:cs="Arial"/>
                <w:lang w:val="en-GB"/>
              </w:rPr>
              <w:t>CLS</w:t>
            </w:r>
          </w:p>
        </w:tc>
        <w:tc>
          <w:tcPr>
            <w:tcW w:w="2691" w:type="dxa"/>
          </w:tcPr>
          <w:p w14:paraId="3E3EF980" w14:textId="06C528D0" w:rsidR="008C3A29" w:rsidRPr="00F21833" w:rsidRDefault="008C3A29" w:rsidP="008C3A29">
            <w:pPr>
              <w:spacing w:after="0" w:line="240" w:lineRule="auto"/>
              <w:rPr>
                <w:rFonts w:ascii="Arial" w:hAnsi="Arial" w:cs="Arial"/>
                <w:lang w:val="en-GB"/>
              </w:rPr>
            </w:pPr>
            <w:r w:rsidRPr="00F21833">
              <w:rPr>
                <w:rFonts w:ascii="Arial" w:hAnsi="Arial" w:cs="Arial"/>
                <w:lang w:val="en-GB"/>
              </w:rPr>
              <w:t>-</w:t>
            </w:r>
          </w:p>
        </w:tc>
        <w:tc>
          <w:tcPr>
            <w:tcW w:w="7903" w:type="dxa"/>
          </w:tcPr>
          <w:p w14:paraId="158E7D08" w14:textId="1055EFE5" w:rsidR="008C3A29" w:rsidRPr="00F21833" w:rsidRDefault="008C3A29" w:rsidP="008C3A29">
            <w:pPr>
              <w:spacing w:after="0" w:line="240" w:lineRule="auto"/>
              <w:rPr>
                <w:rFonts w:ascii="Arial" w:hAnsi="Arial" w:cs="Arial"/>
                <w:lang w:val="en-GB"/>
              </w:rPr>
            </w:pPr>
            <w:r w:rsidRPr="00F21833">
              <w:rPr>
                <w:rFonts w:ascii="Arial" w:hAnsi="Arial" w:cs="Arial"/>
                <w:lang w:val="en-GB"/>
              </w:rPr>
              <w:t>No comments</w:t>
            </w:r>
          </w:p>
        </w:tc>
        <w:tc>
          <w:tcPr>
            <w:tcW w:w="6416" w:type="dxa"/>
          </w:tcPr>
          <w:p w14:paraId="165F5335" w14:textId="64CA3E42" w:rsidR="008C3A29" w:rsidRPr="0065326B" w:rsidRDefault="008C3A29" w:rsidP="008C3A29">
            <w:pPr>
              <w:spacing w:after="0" w:line="240" w:lineRule="auto"/>
              <w:jc w:val="both"/>
              <w:rPr>
                <w:rFonts w:ascii="Arial" w:hAnsi="Arial" w:cs="Arial"/>
                <w:lang w:val="en-GB"/>
              </w:rPr>
            </w:pPr>
            <w:r w:rsidRPr="0065326B">
              <w:rPr>
                <w:rFonts w:ascii="Arial" w:hAnsi="Arial" w:cs="Arial"/>
                <w:lang w:val="en-GB"/>
              </w:rPr>
              <w:t>Noted</w:t>
            </w:r>
          </w:p>
        </w:tc>
      </w:tr>
      <w:tr w:rsidR="008C3A29" w:rsidRPr="009D05E3" w14:paraId="70606185" w14:textId="77777777" w:rsidTr="00FC2C40">
        <w:trPr>
          <w:trHeight w:val="351"/>
        </w:trPr>
        <w:tc>
          <w:tcPr>
            <w:tcW w:w="1886" w:type="dxa"/>
            <w:vAlign w:val="bottom"/>
          </w:tcPr>
          <w:p w14:paraId="606A533E" w14:textId="46CB1B7F" w:rsidR="008C3A29" w:rsidRPr="009D05E3" w:rsidRDefault="00382628" w:rsidP="00F21833">
            <w:pPr>
              <w:spacing w:after="120"/>
              <w:jc w:val="center"/>
              <w:rPr>
                <w:rFonts w:ascii="Arial" w:hAnsi="Arial" w:cs="Arial"/>
                <w:lang w:val="en-GB"/>
              </w:rPr>
            </w:pPr>
            <w:r>
              <w:rPr>
                <w:rFonts w:ascii="Arial" w:hAnsi="Arial" w:cs="Arial"/>
                <w:lang w:val="en-GB"/>
              </w:rPr>
              <w:t>117</w:t>
            </w:r>
          </w:p>
        </w:tc>
        <w:tc>
          <w:tcPr>
            <w:tcW w:w="2078" w:type="dxa"/>
          </w:tcPr>
          <w:p w14:paraId="6A0852DA" w14:textId="66D86A6D" w:rsidR="008C3A29" w:rsidRPr="00F21833" w:rsidRDefault="008C3A29" w:rsidP="00F21833">
            <w:pPr>
              <w:spacing w:after="0" w:line="240" w:lineRule="auto"/>
              <w:rPr>
                <w:rFonts w:ascii="Arial" w:hAnsi="Arial" w:cs="Arial"/>
                <w:lang w:val="en-GB"/>
              </w:rPr>
            </w:pPr>
            <w:r w:rsidRPr="00F21833">
              <w:rPr>
                <w:rFonts w:ascii="Arial" w:hAnsi="Arial" w:cs="Arial"/>
                <w:lang w:val="en-GB"/>
              </w:rPr>
              <w:t>FirstRand</w:t>
            </w:r>
          </w:p>
        </w:tc>
        <w:tc>
          <w:tcPr>
            <w:tcW w:w="2691" w:type="dxa"/>
          </w:tcPr>
          <w:p w14:paraId="5C5F7386" w14:textId="76E55F82" w:rsidR="008C3A29" w:rsidRPr="00F21833" w:rsidRDefault="008C3A29" w:rsidP="00F21833">
            <w:pPr>
              <w:spacing w:after="0"/>
              <w:rPr>
                <w:rFonts w:ascii="Arial" w:hAnsi="Arial" w:cs="Arial"/>
                <w:lang w:val="en-GB"/>
              </w:rPr>
            </w:pPr>
            <w:r w:rsidRPr="00F21833">
              <w:rPr>
                <w:rFonts w:ascii="Arial" w:hAnsi="Arial" w:cs="Arial"/>
                <w:lang w:val="en-GB"/>
              </w:rPr>
              <w:t>-</w:t>
            </w:r>
          </w:p>
        </w:tc>
        <w:tc>
          <w:tcPr>
            <w:tcW w:w="7903" w:type="dxa"/>
          </w:tcPr>
          <w:p w14:paraId="54DFBEF5" w14:textId="4D6688B0" w:rsidR="008C3A29" w:rsidRPr="00F21833" w:rsidRDefault="008C3A29" w:rsidP="00F21833">
            <w:pPr>
              <w:spacing w:after="0" w:line="240" w:lineRule="auto"/>
              <w:rPr>
                <w:rFonts w:ascii="Arial" w:hAnsi="Arial" w:cs="Arial"/>
                <w:lang w:val="en-GB"/>
              </w:rPr>
            </w:pPr>
            <w:r w:rsidRPr="00F21833">
              <w:rPr>
                <w:rFonts w:ascii="Arial" w:hAnsi="Arial" w:cs="Arial"/>
                <w:lang w:val="en-GB"/>
              </w:rPr>
              <w:t>No comment</w:t>
            </w:r>
          </w:p>
        </w:tc>
        <w:tc>
          <w:tcPr>
            <w:tcW w:w="6416" w:type="dxa"/>
          </w:tcPr>
          <w:p w14:paraId="26ADB0B2" w14:textId="69D3775A" w:rsidR="008C3A29" w:rsidRPr="0065326B" w:rsidRDefault="008C3A29" w:rsidP="00F21833">
            <w:pPr>
              <w:spacing w:after="0" w:line="240" w:lineRule="auto"/>
              <w:jc w:val="both"/>
              <w:rPr>
                <w:rFonts w:ascii="Arial" w:hAnsi="Arial" w:cs="Arial"/>
                <w:lang w:val="en-GB"/>
              </w:rPr>
            </w:pPr>
            <w:r w:rsidRPr="0065326B">
              <w:rPr>
                <w:rFonts w:ascii="Arial" w:hAnsi="Arial" w:cs="Arial"/>
                <w:lang w:val="en-GB"/>
              </w:rPr>
              <w:t>Noted</w:t>
            </w:r>
          </w:p>
        </w:tc>
      </w:tr>
      <w:tr w:rsidR="008C3A29" w:rsidRPr="009D05E3" w14:paraId="511BF9DF" w14:textId="77777777" w:rsidTr="00FC2C40">
        <w:tc>
          <w:tcPr>
            <w:tcW w:w="1886" w:type="dxa"/>
            <w:vAlign w:val="bottom"/>
          </w:tcPr>
          <w:p w14:paraId="3C8A28BF" w14:textId="24F8627E" w:rsidR="008C3A29" w:rsidRPr="009D05E3" w:rsidRDefault="00382628" w:rsidP="00BD573F">
            <w:pPr>
              <w:spacing w:after="0"/>
              <w:jc w:val="center"/>
              <w:rPr>
                <w:rFonts w:ascii="Arial" w:hAnsi="Arial" w:cs="Arial"/>
                <w:lang w:val="en-GB"/>
              </w:rPr>
            </w:pPr>
            <w:r>
              <w:rPr>
                <w:rFonts w:ascii="Arial" w:hAnsi="Arial" w:cs="Arial"/>
                <w:lang w:val="en-GB"/>
              </w:rPr>
              <w:lastRenderedPageBreak/>
              <w:t>118</w:t>
            </w:r>
          </w:p>
        </w:tc>
        <w:tc>
          <w:tcPr>
            <w:tcW w:w="2078" w:type="dxa"/>
          </w:tcPr>
          <w:p w14:paraId="1B4A03ED" w14:textId="09D4AE11" w:rsidR="008C3A29" w:rsidRPr="009D05E3" w:rsidRDefault="004760D1" w:rsidP="008C3A29">
            <w:pPr>
              <w:spacing w:after="0" w:line="240" w:lineRule="auto"/>
              <w:rPr>
                <w:rFonts w:ascii="Arial" w:hAnsi="Arial" w:cs="Arial"/>
                <w:sz w:val="20"/>
                <w:szCs w:val="20"/>
                <w:lang w:val="en-GB"/>
              </w:rPr>
            </w:pPr>
            <w:r>
              <w:rPr>
                <w:rFonts w:ascii="Arial" w:hAnsi="Arial" w:cs="Arial"/>
              </w:rPr>
              <w:t>Grindrod</w:t>
            </w:r>
          </w:p>
        </w:tc>
        <w:tc>
          <w:tcPr>
            <w:tcW w:w="2691" w:type="dxa"/>
            <w:shd w:val="clear" w:color="auto" w:fill="auto"/>
          </w:tcPr>
          <w:p w14:paraId="01855B17" w14:textId="5E015261" w:rsidR="008C3A29" w:rsidRPr="009D05E3" w:rsidRDefault="008C3A29" w:rsidP="008C3A29">
            <w:pPr>
              <w:spacing w:after="0" w:line="240" w:lineRule="auto"/>
              <w:rPr>
                <w:rFonts w:ascii="Arial" w:hAnsi="Arial" w:cs="Arial"/>
                <w:sz w:val="20"/>
                <w:szCs w:val="20"/>
              </w:rPr>
            </w:pPr>
            <w:r>
              <w:rPr>
                <w:rFonts w:ascii="Arial" w:hAnsi="Arial" w:cs="Arial"/>
                <w:sz w:val="20"/>
                <w:szCs w:val="20"/>
                <w:lang w:val="en-GB"/>
              </w:rPr>
              <w:t>-</w:t>
            </w:r>
          </w:p>
        </w:tc>
        <w:tc>
          <w:tcPr>
            <w:tcW w:w="7903" w:type="dxa"/>
          </w:tcPr>
          <w:p w14:paraId="74043979" w14:textId="73C22F2C" w:rsidR="008C3A29" w:rsidRPr="008D1C50" w:rsidRDefault="008C3A29" w:rsidP="008C3A29">
            <w:pPr>
              <w:spacing w:after="0" w:line="240" w:lineRule="auto"/>
              <w:rPr>
                <w:rFonts w:ascii="Arial" w:hAnsi="Arial" w:cs="Arial"/>
              </w:rPr>
            </w:pPr>
            <w:r w:rsidRPr="008D1C50">
              <w:rPr>
                <w:rFonts w:ascii="Arial" w:hAnsi="Arial" w:cs="Arial"/>
                <w:lang w:val="en-GB"/>
              </w:rPr>
              <w:t>No comment</w:t>
            </w:r>
          </w:p>
        </w:tc>
        <w:tc>
          <w:tcPr>
            <w:tcW w:w="6416" w:type="dxa"/>
          </w:tcPr>
          <w:p w14:paraId="611DD908" w14:textId="7B98A650" w:rsidR="008C3A29" w:rsidRPr="00054DBB" w:rsidRDefault="008C3A29" w:rsidP="008C3A29">
            <w:pPr>
              <w:spacing w:after="0" w:line="240" w:lineRule="auto"/>
              <w:jc w:val="both"/>
              <w:rPr>
                <w:rFonts w:ascii="Arial" w:eastAsia="Times New Roman" w:hAnsi="Arial" w:cs="Arial"/>
                <w:lang w:val="en-GB"/>
              </w:rPr>
            </w:pPr>
            <w:r w:rsidRPr="00054DBB">
              <w:rPr>
                <w:rFonts w:ascii="Arial" w:eastAsia="Times New Roman" w:hAnsi="Arial" w:cs="Arial"/>
                <w:lang w:val="en-GB"/>
              </w:rPr>
              <w:t>Noted</w:t>
            </w:r>
          </w:p>
        </w:tc>
      </w:tr>
      <w:tr w:rsidR="008C3A29" w:rsidRPr="009D05E3" w14:paraId="61ED6AF5" w14:textId="77777777" w:rsidTr="00FC2C40">
        <w:tc>
          <w:tcPr>
            <w:tcW w:w="1886" w:type="dxa"/>
            <w:vAlign w:val="bottom"/>
          </w:tcPr>
          <w:p w14:paraId="1557E6A5" w14:textId="7E6E9CB0" w:rsidR="008C3A29" w:rsidRPr="009D05E3" w:rsidRDefault="00382628" w:rsidP="00BD573F">
            <w:pPr>
              <w:spacing w:after="0"/>
              <w:jc w:val="center"/>
              <w:rPr>
                <w:rFonts w:ascii="Arial" w:hAnsi="Arial" w:cs="Arial"/>
                <w:lang w:val="en-GB"/>
              </w:rPr>
            </w:pPr>
            <w:r>
              <w:rPr>
                <w:rFonts w:ascii="Arial" w:hAnsi="Arial" w:cs="Arial"/>
                <w:lang w:val="en-GB"/>
              </w:rPr>
              <w:t>119</w:t>
            </w:r>
          </w:p>
        </w:tc>
        <w:tc>
          <w:tcPr>
            <w:tcW w:w="2078" w:type="dxa"/>
          </w:tcPr>
          <w:p w14:paraId="6837F3C6" w14:textId="6AE3CD8C" w:rsidR="008C3A29" w:rsidRPr="009D05E3" w:rsidRDefault="008C3A29" w:rsidP="008C3A29">
            <w:pPr>
              <w:spacing w:after="0" w:line="240" w:lineRule="auto"/>
              <w:rPr>
                <w:rFonts w:ascii="Arial" w:hAnsi="Arial" w:cs="Arial"/>
                <w:sz w:val="20"/>
                <w:szCs w:val="20"/>
                <w:lang w:val="en-GB"/>
              </w:rPr>
            </w:pPr>
            <w:r>
              <w:rPr>
                <w:rFonts w:ascii="Arial" w:hAnsi="Arial" w:cs="Arial"/>
              </w:rPr>
              <w:t>Habib Bank</w:t>
            </w:r>
          </w:p>
        </w:tc>
        <w:tc>
          <w:tcPr>
            <w:tcW w:w="2691" w:type="dxa"/>
          </w:tcPr>
          <w:p w14:paraId="458FE23C" w14:textId="571CC6F0" w:rsidR="008C3A29" w:rsidRPr="009D05E3" w:rsidRDefault="008C3A29" w:rsidP="008C3A29">
            <w:pPr>
              <w:spacing w:after="0" w:line="240" w:lineRule="auto"/>
              <w:rPr>
                <w:rFonts w:ascii="Arial" w:hAnsi="Arial" w:cs="Arial"/>
                <w:sz w:val="20"/>
                <w:szCs w:val="20"/>
                <w:lang w:val="en-GB"/>
              </w:rPr>
            </w:pPr>
            <w:r>
              <w:rPr>
                <w:rFonts w:ascii="Arial" w:hAnsi="Arial" w:cs="Arial"/>
                <w:sz w:val="20"/>
                <w:szCs w:val="20"/>
              </w:rPr>
              <w:t>-</w:t>
            </w:r>
          </w:p>
        </w:tc>
        <w:tc>
          <w:tcPr>
            <w:tcW w:w="7903" w:type="dxa"/>
          </w:tcPr>
          <w:p w14:paraId="13E4A866" w14:textId="0608C207" w:rsidR="008C3A29" w:rsidRPr="008D1C50" w:rsidRDefault="008C3A29" w:rsidP="008C3A29">
            <w:pPr>
              <w:spacing w:after="0" w:line="240" w:lineRule="auto"/>
              <w:rPr>
                <w:rFonts w:ascii="Arial" w:eastAsia="Times New Roman" w:hAnsi="Arial" w:cs="Arial"/>
                <w:lang w:val="en-GB"/>
              </w:rPr>
            </w:pPr>
            <w:r w:rsidRPr="008D1C50">
              <w:rPr>
                <w:rFonts w:ascii="Arial" w:hAnsi="Arial" w:cs="Arial"/>
                <w:lang w:val="en-GB"/>
              </w:rPr>
              <w:t>No comment</w:t>
            </w:r>
          </w:p>
        </w:tc>
        <w:tc>
          <w:tcPr>
            <w:tcW w:w="6416" w:type="dxa"/>
          </w:tcPr>
          <w:p w14:paraId="461D0248" w14:textId="19083C0B" w:rsidR="008C3A29" w:rsidRPr="00054DBB" w:rsidRDefault="008C3A29" w:rsidP="008C3A29">
            <w:pPr>
              <w:spacing w:after="0" w:line="240" w:lineRule="auto"/>
              <w:jc w:val="both"/>
              <w:rPr>
                <w:rFonts w:ascii="Arial" w:eastAsia="Times New Roman" w:hAnsi="Arial" w:cs="Arial"/>
                <w:lang w:val="en-GB"/>
              </w:rPr>
            </w:pPr>
            <w:r w:rsidRPr="00054DBB">
              <w:rPr>
                <w:rFonts w:ascii="Arial" w:eastAsia="Times New Roman" w:hAnsi="Arial" w:cs="Arial"/>
                <w:lang w:val="en-GB"/>
              </w:rPr>
              <w:t>Noted</w:t>
            </w:r>
          </w:p>
        </w:tc>
      </w:tr>
      <w:tr w:rsidR="008C3A29" w:rsidRPr="009D05E3" w14:paraId="6C5F5592" w14:textId="77777777" w:rsidTr="00FC2C40">
        <w:tc>
          <w:tcPr>
            <w:tcW w:w="1886" w:type="dxa"/>
            <w:vAlign w:val="bottom"/>
          </w:tcPr>
          <w:p w14:paraId="01402E47" w14:textId="151F14C5" w:rsidR="008C3A29" w:rsidRPr="009D05E3" w:rsidRDefault="00382628" w:rsidP="00BD573F">
            <w:pPr>
              <w:spacing w:after="0"/>
              <w:jc w:val="center"/>
              <w:rPr>
                <w:rFonts w:ascii="Arial" w:hAnsi="Arial" w:cs="Arial"/>
                <w:lang w:val="en-GB"/>
              </w:rPr>
            </w:pPr>
            <w:r>
              <w:rPr>
                <w:rFonts w:ascii="Arial" w:hAnsi="Arial" w:cs="Arial"/>
                <w:lang w:val="en-GB"/>
              </w:rPr>
              <w:t>120</w:t>
            </w:r>
          </w:p>
        </w:tc>
        <w:tc>
          <w:tcPr>
            <w:tcW w:w="2078" w:type="dxa"/>
          </w:tcPr>
          <w:p w14:paraId="163C17B0" w14:textId="405172F0" w:rsidR="008C3A29" w:rsidRPr="009D05E3" w:rsidRDefault="008C3A29" w:rsidP="008C3A29">
            <w:pPr>
              <w:spacing w:after="0" w:line="240" w:lineRule="auto"/>
              <w:rPr>
                <w:rFonts w:ascii="Arial" w:hAnsi="Arial" w:cs="Arial"/>
                <w:sz w:val="20"/>
                <w:szCs w:val="20"/>
                <w:lang w:val="en-GB"/>
              </w:rPr>
            </w:pPr>
            <w:r>
              <w:rPr>
                <w:rFonts w:ascii="Arial" w:hAnsi="Arial" w:cs="Arial"/>
              </w:rPr>
              <w:t>JSE</w:t>
            </w:r>
          </w:p>
        </w:tc>
        <w:tc>
          <w:tcPr>
            <w:tcW w:w="2691" w:type="dxa"/>
          </w:tcPr>
          <w:p w14:paraId="1A656FC4" w14:textId="1E3A945B" w:rsidR="008C3A29" w:rsidRPr="009D05E3" w:rsidRDefault="008C3A29" w:rsidP="008C3A29">
            <w:pPr>
              <w:spacing w:after="0" w:line="240" w:lineRule="auto"/>
              <w:rPr>
                <w:rFonts w:ascii="Arial" w:hAnsi="Arial" w:cs="Arial"/>
                <w:sz w:val="20"/>
                <w:szCs w:val="20"/>
              </w:rPr>
            </w:pPr>
            <w:r>
              <w:rPr>
                <w:rFonts w:ascii="Arial" w:hAnsi="Arial" w:cs="Arial"/>
                <w:sz w:val="20"/>
                <w:szCs w:val="20"/>
                <w:lang w:val="en-GB"/>
              </w:rPr>
              <w:t>-</w:t>
            </w:r>
          </w:p>
        </w:tc>
        <w:tc>
          <w:tcPr>
            <w:tcW w:w="7903" w:type="dxa"/>
          </w:tcPr>
          <w:p w14:paraId="407D735B" w14:textId="485A2F70" w:rsidR="008C3A29" w:rsidRPr="008D1C50" w:rsidRDefault="008C3A29" w:rsidP="008C3A29">
            <w:pPr>
              <w:spacing w:after="0" w:line="240" w:lineRule="auto"/>
              <w:rPr>
                <w:rFonts w:ascii="Arial" w:hAnsi="Arial" w:cs="Arial"/>
              </w:rPr>
            </w:pPr>
            <w:r w:rsidRPr="008D1C50">
              <w:rPr>
                <w:rFonts w:ascii="Arial" w:hAnsi="Arial" w:cs="Arial"/>
                <w:lang w:val="en-GB"/>
              </w:rPr>
              <w:t>No comment</w:t>
            </w:r>
          </w:p>
        </w:tc>
        <w:tc>
          <w:tcPr>
            <w:tcW w:w="6416" w:type="dxa"/>
          </w:tcPr>
          <w:p w14:paraId="27BF2E48" w14:textId="46DAC75C" w:rsidR="008C3A29" w:rsidRPr="00054DBB" w:rsidRDefault="008C3A29" w:rsidP="008C3A29">
            <w:pPr>
              <w:spacing w:after="0" w:line="240" w:lineRule="auto"/>
              <w:jc w:val="both"/>
              <w:rPr>
                <w:rFonts w:ascii="Arial" w:eastAsia="Times New Roman" w:hAnsi="Arial" w:cs="Arial"/>
                <w:lang w:val="en-GB"/>
              </w:rPr>
            </w:pPr>
            <w:r w:rsidRPr="00054DBB">
              <w:rPr>
                <w:rFonts w:ascii="Arial" w:eastAsia="Times New Roman" w:hAnsi="Arial" w:cs="Arial"/>
                <w:lang w:val="en-GB"/>
              </w:rPr>
              <w:t>Noted</w:t>
            </w:r>
          </w:p>
        </w:tc>
      </w:tr>
      <w:tr w:rsidR="008C3A29" w:rsidRPr="009D05E3" w14:paraId="56C4EE57" w14:textId="77777777" w:rsidTr="00FC2C40">
        <w:tc>
          <w:tcPr>
            <w:tcW w:w="1886" w:type="dxa"/>
            <w:vAlign w:val="bottom"/>
          </w:tcPr>
          <w:p w14:paraId="38E00BD8" w14:textId="4D75BEBF" w:rsidR="008C3A29" w:rsidRPr="009D05E3" w:rsidRDefault="00382628" w:rsidP="00BD573F">
            <w:pPr>
              <w:spacing w:after="0"/>
              <w:jc w:val="center"/>
              <w:rPr>
                <w:rFonts w:ascii="Arial" w:hAnsi="Arial" w:cs="Arial"/>
                <w:lang w:val="en-GB"/>
              </w:rPr>
            </w:pPr>
            <w:r>
              <w:rPr>
                <w:rFonts w:ascii="Arial" w:hAnsi="Arial" w:cs="Arial"/>
                <w:lang w:val="en-GB"/>
              </w:rPr>
              <w:t>120</w:t>
            </w:r>
          </w:p>
        </w:tc>
        <w:tc>
          <w:tcPr>
            <w:tcW w:w="2078" w:type="dxa"/>
          </w:tcPr>
          <w:p w14:paraId="06333643" w14:textId="0FB33D6D" w:rsidR="008C3A29" w:rsidRPr="009D05E3" w:rsidRDefault="008C3A29" w:rsidP="008C3A29">
            <w:pPr>
              <w:spacing w:after="0" w:line="240" w:lineRule="auto"/>
              <w:rPr>
                <w:rFonts w:ascii="Arial" w:hAnsi="Arial" w:cs="Arial"/>
                <w:sz w:val="20"/>
                <w:szCs w:val="20"/>
                <w:lang w:val="en-GB"/>
              </w:rPr>
            </w:pPr>
            <w:r>
              <w:rPr>
                <w:rFonts w:ascii="Arial" w:hAnsi="Arial" w:cs="Arial"/>
              </w:rPr>
              <w:t>MMH</w:t>
            </w:r>
          </w:p>
        </w:tc>
        <w:tc>
          <w:tcPr>
            <w:tcW w:w="2691" w:type="dxa"/>
          </w:tcPr>
          <w:p w14:paraId="75B5652E" w14:textId="2309CFB9" w:rsidR="008C3A29" w:rsidRPr="009D05E3" w:rsidRDefault="008C3A29" w:rsidP="008C3A29">
            <w:pPr>
              <w:spacing w:after="0" w:line="240" w:lineRule="auto"/>
              <w:rPr>
                <w:rFonts w:ascii="Arial" w:hAnsi="Arial" w:cs="Arial"/>
                <w:sz w:val="20"/>
                <w:szCs w:val="20"/>
              </w:rPr>
            </w:pPr>
            <w:r>
              <w:rPr>
                <w:rFonts w:ascii="Arial" w:hAnsi="Arial" w:cs="Arial"/>
                <w:sz w:val="20"/>
                <w:szCs w:val="20"/>
              </w:rPr>
              <w:t>-</w:t>
            </w:r>
          </w:p>
        </w:tc>
        <w:tc>
          <w:tcPr>
            <w:tcW w:w="7903" w:type="dxa"/>
          </w:tcPr>
          <w:p w14:paraId="1453A562" w14:textId="4A72BAE2" w:rsidR="008C3A29" w:rsidRPr="008D1C50" w:rsidRDefault="008C3A29" w:rsidP="008C3A29">
            <w:pPr>
              <w:spacing w:after="0" w:line="240" w:lineRule="auto"/>
              <w:rPr>
                <w:rFonts w:ascii="Arial" w:hAnsi="Arial" w:cs="Arial"/>
              </w:rPr>
            </w:pPr>
            <w:r w:rsidRPr="008D1C50">
              <w:rPr>
                <w:rFonts w:ascii="Arial" w:hAnsi="Arial" w:cs="Arial"/>
                <w:lang w:val="en-GB"/>
              </w:rPr>
              <w:t>No comment</w:t>
            </w:r>
          </w:p>
        </w:tc>
        <w:tc>
          <w:tcPr>
            <w:tcW w:w="6416" w:type="dxa"/>
          </w:tcPr>
          <w:p w14:paraId="67FC57E6" w14:textId="2E783F4D" w:rsidR="008C3A29" w:rsidRPr="00054DBB" w:rsidRDefault="008C3A29" w:rsidP="008C3A29">
            <w:pPr>
              <w:spacing w:after="0" w:line="240" w:lineRule="auto"/>
              <w:jc w:val="both"/>
              <w:rPr>
                <w:rFonts w:ascii="Arial" w:eastAsia="Times New Roman" w:hAnsi="Arial" w:cs="Arial"/>
                <w:lang w:val="en-GB"/>
              </w:rPr>
            </w:pPr>
            <w:r w:rsidRPr="00054DBB">
              <w:rPr>
                <w:rFonts w:ascii="Arial" w:eastAsia="Times New Roman" w:hAnsi="Arial" w:cs="Arial"/>
                <w:lang w:val="en-GB"/>
              </w:rPr>
              <w:t>Noted</w:t>
            </w:r>
          </w:p>
        </w:tc>
      </w:tr>
      <w:tr w:rsidR="008C3A29" w:rsidRPr="009D05E3" w14:paraId="2B51DE78" w14:textId="77777777" w:rsidTr="00FC2C40">
        <w:tc>
          <w:tcPr>
            <w:tcW w:w="1886" w:type="dxa"/>
            <w:vAlign w:val="bottom"/>
          </w:tcPr>
          <w:p w14:paraId="50E0346A" w14:textId="29828314" w:rsidR="008C3A29" w:rsidRPr="009D05E3" w:rsidRDefault="00382628" w:rsidP="00BD573F">
            <w:pPr>
              <w:spacing w:after="0"/>
              <w:jc w:val="center"/>
              <w:rPr>
                <w:rFonts w:ascii="Arial" w:hAnsi="Arial" w:cs="Arial"/>
                <w:lang w:val="en-GB"/>
              </w:rPr>
            </w:pPr>
            <w:r>
              <w:rPr>
                <w:rFonts w:ascii="Arial" w:hAnsi="Arial" w:cs="Arial"/>
                <w:lang w:val="en-GB"/>
              </w:rPr>
              <w:t>12</w:t>
            </w:r>
            <w:r w:rsidR="00C035BC">
              <w:rPr>
                <w:rFonts w:ascii="Arial" w:hAnsi="Arial" w:cs="Arial"/>
                <w:lang w:val="en-GB"/>
              </w:rPr>
              <w:t>1</w:t>
            </w:r>
          </w:p>
        </w:tc>
        <w:tc>
          <w:tcPr>
            <w:tcW w:w="2078" w:type="dxa"/>
          </w:tcPr>
          <w:p w14:paraId="4447AE95" w14:textId="6A484913" w:rsidR="008C3A29" w:rsidRPr="009D05E3" w:rsidRDefault="008C3A29" w:rsidP="008C3A29">
            <w:pPr>
              <w:spacing w:after="0" w:line="240" w:lineRule="auto"/>
              <w:rPr>
                <w:rFonts w:ascii="Arial" w:hAnsi="Arial" w:cs="Arial"/>
                <w:sz w:val="20"/>
                <w:szCs w:val="20"/>
                <w:lang w:val="en-GB"/>
              </w:rPr>
            </w:pPr>
            <w:r>
              <w:rPr>
                <w:rFonts w:ascii="Arial" w:hAnsi="Arial" w:cs="Arial"/>
              </w:rPr>
              <w:t>Nedbank</w:t>
            </w:r>
          </w:p>
        </w:tc>
        <w:tc>
          <w:tcPr>
            <w:tcW w:w="2691" w:type="dxa"/>
          </w:tcPr>
          <w:p w14:paraId="0D016F6F" w14:textId="5D86B697" w:rsidR="008C3A29" w:rsidRPr="009D05E3" w:rsidRDefault="008C3A29" w:rsidP="008C3A29">
            <w:pPr>
              <w:spacing w:after="0" w:line="240" w:lineRule="auto"/>
              <w:rPr>
                <w:rFonts w:ascii="Arial" w:hAnsi="Arial" w:cs="Arial"/>
                <w:sz w:val="20"/>
                <w:szCs w:val="20"/>
              </w:rPr>
            </w:pPr>
            <w:r>
              <w:rPr>
                <w:rFonts w:ascii="Arial" w:hAnsi="Arial" w:cs="Arial"/>
                <w:sz w:val="20"/>
                <w:szCs w:val="20"/>
              </w:rPr>
              <w:t>-</w:t>
            </w:r>
          </w:p>
        </w:tc>
        <w:tc>
          <w:tcPr>
            <w:tcW w:w="7903" w:type="dxa"/>
          </w:tcPr>
          <w:p w14:paraId="0B1CBEFB" w14:textId="1417B2B3" w:rsidR="008C3A29" w:rsidRPr="008D1C50" w:rsidRDefault="008C3A29" w:rsidP="008C3A29">
            <w:pPr>
              <w:spacing w:after="0" w:line="240" w:lineRule="auto"/>
              <w:rPr>
                <w:rFonts w:ascii="Arial" w:hAnsi="Arial" w:cs="Arial"/>
              </w:rPr>
            </w:pPr>
            <w:r w:rsidRPr="008D1C50">
              <w:rPr>
                <w:rFonts w:ascii="Arial" w:hAnsi="Arial" w:cs="Arial"/>
                <w:lang w:val="en-GB"/>
              </w:rPr>
              <w:t>No comment</w:t>
            </w:r>
          </w:p>
        </w:tc>
        <w:tc>
          <w:tcPr>
            <w:tcW w:w="6416" w:type="dxa"/>
          </w:tcPr>
          <w:p w14:paraId="68D76BDD" w14:textId="6C2F2975" w:rsidR="008C3A29" w:rsidRPr="00054DBB" w:rsidRDefault="008C3A29" w:rsidP="008C3A29">
            <w:pPr>
              <w:spacing w:after="0" w:line="240" w:lineRule="auto"/>
              <w:jc w:val="both"/>
              <w:rPr>
                <w:rFonts w:ascii="Arial" w:eastAsia="Times New Roman" w:hAnsi="Arial" w:cs="Arial"/>
                <w:lang w:val="en-GB"/>
              </w:rPr>
            </w:pPr>
            <w:r w:rsidRPr="00054DBB">
              <w:rPr>
                <w:rFonts w:ascii="Arial" w:eastAsia="Times New Roman" w:hAnsi="Arial" w:cs="Arial"/>
                <w:lang w:val="en-GB"/>
              </w:rPr>
              <w:t>Noted</w:t>
            </w:r>
          </w:p>
        </w:tc>
      </w:tr>
      <w:tr w:rsidR="008C3A29" w:rsidRPr="009D05E3" w14:paraId="603E2DB3" w14:textId="77777777" w:rsidTr="00515BD8">
        <w:trPr>
          <w:trHeight w:val="1165"/>
        </w:trPr>
        <w:tc>
          <w:tcPr>
            <w:tcW w:w="1886" w:type="dxa"/>
            <w:vAlign w:val="bottom"/>
          </w:tcPr>
          <w:p w14:paraId="74443EB8" w14:textId="3F229AB9" w:rsidR="008C3A29" w:rsidRPr="009D05E3" w:rsidRDefault="00C035BC" w:rsidP="00275AFE">
            <w:pPr>
              <w:spacing w:after="1080"/>
              <w:jc w:val="center"/>
              <w:rPr>
                <w:rFonts w:ascii="Arial" w:hAnsi="Arial" w:cs="Arial"/>
                <w:lang w:val="en-GB"/>
              </w:rPr>
            </w:pPr>
            <w:r>
              <w:rPr>
                <w:rFonts w:ascii="Arial" w:hAnsi="Arial" w:cs="Arial"/>
                <w:lang w:val="en-GB"/>
              </w:rPr>
              <w:t>122</w:t>
            </w:r>
          </w:p>
        </w:tc>
        <w:tc>
          <w:tcPr>
            <w:tcW w:w="2078" w:type="dxa"/>
          </w:tcPr>
          <w:p w14:paraId="7926FEAB" w14:textId="0DDA48E1" w:rsidR="008C3A29" w:rsidRPr="009D05E3" w:rsidRDefault="008C3A29" w:rsidP="008C3A29">
            <w:pPr>
              <w:spacing w:after="0" w:line="240" w:lineRule="auto"/>
              <w:rPr>
                <w:rFonts w:ascii="Arial" w:hAnsi="Arial" w:cs="Arial"/>
                <w:sz w:val="20"/>
                <w:szCs w:val="20"/>
                <w:lang w:val="en-GB"/>
              </w:rPr>
            </w:pPr>
            <w:r>
              <w:rPr>
                <w:rFonts w:ascii="Arial" w:hAnsi="Arial" w:cs="Arial"/>
                <w:sz w:val="20"/>
                <w:szCs w:val="20"/>
                <w:lang w:val="en-GB"/>
              </w:rPr>
              <w:t>BASA</w:t>
            </w:r>
          </w:p>
        </w:tc>
        <w:tc>
          <w:tcPr>
            <w:tcW w:w="2691" w:type="dxa"/>
          </w:tcPr>
          <w:p w14:paraId="6804E0A0" w14:textId="33524FC4" w:rsidR="008C3A29" w:rsidRPr="009D05E3" w:rsidRDefault="008C3A29" w:rsidP="008C3A29">
            <w:pPr>
              <w:spacing w:after="0" w:line="240" w:lineRule="auto"/>
              <w:rPr>
                <w:rFonts w:ascii="Arial" w:hAnsi="Arial" w:cs="Arial"/>
                <w:sz w:val="20"/>
                <w:szCs w:val="20"/>
                <w:lang w:val="en-GB"/>
              </w:rPr>
            </w:pPr>
            <w:r w:rsidRPr="006565B5">
              <w:rPr>
                <w:rFonts w:ascii="Arial" w:hAnsi="Arial" w:cs="Arial"/>
                <w:sz w:val="20"/>
                <w:szCs w:val="20"/>
              </w:rPr>
              <w:t>11</w:t>
            </w:r>
          </w:p>
        </w:tc>
        <w:tc>
          <w:tcPr>
            <w:tcW w:w="7903" w:type="dxa"/>
          </w:tcPr>
          <w:p w14:paraId="23511C1B" w14:textId="77777777" w:rsidR="008C3A29" w:rsidRPr="008D1C50" w:rsidRDefault="008C3A29" w:rsidP="008C3A29">
            <w:pPr>
              <w:spacing w:after="0" w:line="240" w:lineRule="auto"/>
              <w:rPr>
                <w:rFonts w:ascii="Arial" w:hAnsi="Arial" w:cs="Arial"/>
                <w:lang w:val="en-GB"/>
              </w:rPr>
            </w:pPr>
            <w:r w:rsidRPr="008D1C50">
              <w:rPr>
                <w:rFonts w:ascii="Arial" w:hAnsi="Arial" w:cs="Arial"/>
                <w:lang w:val="en-GB"/>
              </w:rPr>
              <w:t xml:space="preserve">The magnitude of the work is of great concern.  Banks would further need to define all our functions/services and ensure all governance processes/policies are updated to reflect this.  </w:t>
            </w:r>
          </w:p>
          <w:p w14:paraId="1E2A59BB" w14:textId="79AFF506" w:rsidR="008C3A29" w:rsidRPr="008D1C50" w:rsidRDefault="008C3A29" w:rsidP="008C3A29">
            <w:pPr>
              <w:spacing w:after="0" w:line="240" w:lineRule="auto"/>
              <w:rPr>
                <w:rFonts w:ascii="Arial" w:eastAsia="Times New Roman" w:hAnsi="Arial" w:cs="Arial"/>
                <w:lang w:val="en-GB"/>
              </w:rPr>
            </w:pPr>
            <w:r w:rsidRPr="008D1C50">
              <w:rPr>
                <w:rFonts w:ascii="Arial" w:hAnsi="Arial" w:cs="Arial"/>
                <w:b/>
                <w:bCs/>
                <w:lang w:val="en-GB"/>
              </w:rPr>
              <w:t>Clarify</w:t>
            </w:r>
            <w:r w:rsidRPr="008D1C50">
              <w:rPr>
                <w:rFonts w:ascii="Arial" w:hAnsi="Arial" w:cs="Arial"/>
                <w:lang w:val="en-GB"/>
              </w:rPr>
              <w:t xml:space="preserve"> if a review by External Audit be necessary to meet these requirements</w:t>
            </w:r>
          </w:p>
        </w:tc>
        <w:tc>
          <w:tcPr>
            <w:tcW w:w="6416" w:type="dxa"/>
            <w:shd w:val="clear" w:color="auto" w:fill="auto"/>
          </w:tcPr>
          <w:p w14:paraId="3BB8293C" w14:textId="0F4B6E86" w:rsidR="004F6CF1" w:rsidRPr="00054DBB" w:rsidRDefault="00031A9D" w:rsidP="008C3A29">
            <w:pPr>
              <w:spacing w:after="0" w:line="240" w:lineRule="auto"/>
              <w:jc w:val="both"/>
              <w:rPr>
                <w:rFonts w:ascii="Arial" w:eastAsia="Times New Roman" w:hAnsi="Arial" w:cs="Arial"/>
                <w:lang w:val="en-GB"/>
              </w:rPr>
            </w:pPr>
            <w:r w:rsidRPr="00054DBB">
              <w:rPr>
                <w:rFonts w:ascii="Arial" w:eastAsia="Times New Roman" w:hAnsi="Arial" w:cs="Arial"/>
                <w:lang w:val="en-GB"/>
              </w:rPr>
              <w:t xml:space="preserve">The Standard </w:t>
            </w:r>
            <w:r w:rsidR="00046420" w:rsidRPr="00054DBB">
              <w:rPr>
                <w:rFonts w:ascii="Arial" w:eastAsia="Times New Roman" w:hAnsi="Arial" w:cs="Arial"/>
                <w:lang w:val="en-GB"/>
              </w:rPr>
              <w:t xml:space="preserve">only deals with the requirements to </w:t>
            </w:r>
            <w:proofErr w:type="gramStart"/>
            <w:r w:rsidR="007B758C" w:rsidRPr="00054DBB">
              <w:rPr>
                <w:rFonts w:ascii="Arial" w:eastAsia="Times New Roman" w:hAnsi="Arial" w:cs="Arial"/>
                <w:lang w:val="en-GB"/>
              </w:rPr>
              <w:t>e</w:t>
            </w:r>
            <w:r w:rsidR="00966992" w:rsidRPr="00054DBB">
              <w:rPr>
                <w:rFonts w:ascii="Arial" w:eastAsia="Times New Roman" w:hAnsi="Arial" w:cs="Arial"/>
                <w:lang w:val="en-GB"/>
              </w:rPr>
              <w:t>ffect</w:t>
            </w:r>
            <w:proofErr w:type="gramEnd"/>
            <w:r w:rsidR="00046420" w:rsidRPr="00054DBB">
              <w:rPr>
                <w:rFonts w:ascii="Arial" w:eastAsia="Times New Roman" w:hAnsi="Arial" w:cs="Arial"/>
                <w:lang w:val="en-GB"/>
              </w:rPr>
              <w:t xml:space="preserve"> a </w:t>
            </w:r>
            <w:r w:rsidR="007B758C" w:rsidRPr="00054DBB">
              <w:rPr>
                <w:rFonts w:ascii="Arial" w:eastAsia="Times New Roman" w:hAnsi="Arial" w:cs="Arial"/>
                <w:lang w:val="en-GB"/>
              </w:rPr>
              <w:t xml:space="preserve">resolution </w:t>
            </w:r>
            <w:r w:rsidR="00046420" w:rsidRPr="00054DBB">
              <w:rPr>
                <w:rFonts w:ascii="Arial" w:eastAsia="Times New Roman" w:hAnsi="Arial" w:cs="Arial"/>
                <w:lang w:val="en-GB"/>
              </w:rPr>
              <w:t xml:space="preserve">transfer tool in a designated institution. </w:t>
            </w:r>
          </w:p>
          <w:p w14:paraId="315EE799" w14:textId="7FBA3984" w:rsidR="004F6CF1" w:rsidRPr="00054DBB" w:rsidRDefault="004F6CF1" w:rsidP="008C3A29">
            <w:pPr>
              <w:spacing w:after="0" w:line="240" w:lineRule="auto"/>
              <w:jc w:val="both"/>
              <w:rPr>
                <w:rFonts w:ascii="Arial" w:eastAsia="Times New Roman" w:hAnsi="Arial" w:cs="Arial"/>
                <w:lang w:val="en-GB"/>
              </w:rPr>
            </w:pPr>
            <w:r w:rsidRPr="00054DBB">
              <w:rPr>
                <w:rFonts w:ascii="Arial" w:eastAsia="Times New Roman" w:hAnsi="Arial" w:cs="Arial"/>
                <w:lang w:val="en-GB"/>
              </w:rPr>
              <w:t xml:space="preserve">Any resolution related </w:t>
            </w:r>
            <w:r w:rsidR="008A5D7D" w:rsidRPr="00054DBB">
              <w:rPr>
                <w:rFonts w:ascii="Arial" w:eastAsia="Times New Roman" w:hAnsi="Arial" w:cs="Arial"/>
                <w:lang w:val="en-GB"/>
              </w:rPr>
              <w:t>audit requirements (internal or external) will be dealt with</w:t>
            </w:r>
            <w:r w:rsidR="00046420" w:rsidRPr="00054DBB">
              <w:rPr>
                <w:rFonts w:ascii="Arial" w:eastAsia="Times New Roman" w:hAnsi="Arial" w:cs="Arial"/>
                <w:lang w:val="en-GB"/>
              </w:rPr>
              <w:t xml:space="preserve"> </w:t>
            </w:r>
            <w:r w:rsidR="00174C62" w:rsidRPr="00054DBB">
              <w:rPr>
                <w:rFonts w:ascii="Arial" w:eastAsia="Times New Roman" w:hAnsi="Arial" w:cs="Arial"/>
                <w:lang w:val="en-GB"/>
              </w:rPr>
              <w:t xml:space="preserve">separately and the </w:t>
            </w:r>
            <w:r w:rsidR="00DA560E" w:rsidRPr="00054DBB">
              <w:rPr>
                <w:rFonts w:ascii="Arial" w:eastAsia="Times New Roman" w:hAnsi="Arial" w:cs="Arial"/>
                <w:lang w:val="en-GB"/>
              </w:rPr>
              <w:t>Authorities</w:t>
            </w:r>
            <w:r w:rsidR="00174C62" w:rsidRPr="00054DBB">
              <w:rPr>
                <w:rFonts w:ascii="Arial" w:eastAsia="Times New Roman" w:hAnsi="Arial" w:cs="Arial"/>
                <w:lang w:val="en-GB"/>
              </w:rPr>
              <w:t xml:space="preserve"> will deal with th</w:t>
            </w:r>
            <w:r w:rsidR="00046420" w:rsidRPr="00054DBB">
              <w:rPr>
                <w:rFonts w:ascii="Arial" w:eastAsia="Times New Roman" w:hAnsi="Arial" w:cs="Arial"/>
                <w:lang w:val="en-GB"/>
              </w:rPr>
              <w:t>ose requirements</w:t>
            </w:r>
            <w:r w:rsidR="00966992" w:rsidRPr="00054DBB">
              <w:rPr>
                <w:rFonts w:ascii="Arial" w:eastAsia="Times New Roman" w:hAnsi="Arial" w:cs="Arial"/>
                <w:lang w:val="en-GB"/>
              </w:rPr>
              <w:t>, if any,</w:t>
            </w:r>
            <w:r w:rsidR="00046420" w:rsidRPr="00054DBB">
              <w:rPr>
                <w:rFonts w:ascii="Arial" w:eastAsia="Times New Roman" w:hAnsi="Arial" w:cs="Arial"/>
                <w:lang w:val="en-GB"/>
              </w:rPr>
              <w:t xml:space="preserve"> in due course.</w:t>
            </w:r>
          </w:p>
          <w:p w14:paraId="59C11B39" w14:textId="02DA1461" w:rsidR="008C3A29" w:rsidRPr="00054DBB" w:rsidRDefault="008C3A29" w:rsidP="008C3A29">
            <w:pPr>
              <w:spacing w:after="0" w:line="240" w:lineRule="auto"/>
              <w:jc w:val="both"/>
              <w:rPr>
                <w:rFonts w:ascii="Arial" w:eastAsia="Times New Roman" w:hAnsi="Arial" w:cs="Arial"/>
                <w:lang w:val="en-GB"/>
              </w:rPr>
            </w:pPr>
          </w:p>
        </w:tc>
      </w:tr>
      <w:tr w:rsidR="008C3A29" w:rsidRPr="009D05E3" w14:paraId="56054342" w14:textId="66F8AC4E" w:rsidTr="00532AB8">
        <w:tc>
          <w:tcPr>
            <w:tcW w:w="20974" w:type="dxa"/>
            <w:gridSpan w:val="5"/>
            <w:shd w:val="clear" w:color="auto" w:fill="D9D9D9" w:themeFill="background1" w:themeFillShade="D9"/>
          </w:tcPr>
          <w:p w14:paraId="6CF72711" w14:textId="10B4BC01" w:rsidR="008C3A29" w:rsidRPr="00532AB8" w:rsidRDefault="00532AB8" w:rsidP="00515BD8">
            <w:pPr>
              <w:spacing w:after="0"/>
              <w:jc w:val="center"/>
              <w:rPr>
                <w:rFonts w:ascii="Arial" w:hAnsi="Arial" w:cs="Arial"/>
                <w:b/>
                <w:sz w:val="28"/>
                <w:szCs w:val="28"/>
                <w:lang w:val="en-GB"/>
              </w:rPr>
            </w:pPr>
            <w:r>
              <w:rPr>
                <w:rFonts w:ascii="Arial" w:hAnsi="Arial" w:cs="Arial"/>
                <w:b/>
                <w:sz w:val="32"/>
                <w:szCs w:val="32"/>
                <w:lang w:val="en-GB"/>
              </w:rPr>
              <w:t>12.</w:t>
            </w:r>
            <w:r w:rsidR="008C3A29" w:rsidRPr="00532AB8">
              <w:rPr>
                <w:rFonts w:ascii="Arial" w:hAnsi="Arial" w:cs="Arial"/>
                <w:b/>
                <w:sz w:val="32"/>
                <w:szCs w:val="32"/>
                <w:lang w:val="en-GB"/>
              </w:rPr>
              <w:t>General compliance requirements</w:t>
            </w:r>
          </w:p>
        </w:tc>
      </w:tr>
      <w:tr w:rsidR="008C3A29" w:rsidRPr="009D05E3" w14:paraId="12362B32" w14:textId="77777777" w:rsidTr="00FC2C40">
        <w:tc>
          <w:tcPr>
            <w:tcW w:w="1886" w:type="dxa"/>
            <w:vAlign w:val="bottom"/>
          </w:tcPr>
          <w:p w14:paraId="71482AC1" w14:textId="236B37E0" w:rsidR="008C3A29" w:rsidRPr="009D05E3" w:rsidRDefault="00BD573F" w:rsidP="00BD573F">
            <w:pPr>
              <w:spacing w:after="0"/>
              <w:jc w:val="center"/>
              <w:rPr>
                <w:rFonts w:ascii="Arial" w:hAnsi="Arial" w:cs="Arial"/>
                <w:lang w:val="en-GB"/>
              </w:rPr>
            </w:pPr>
            <w:r>
              <w:rPr>
                <w:rFonts w:ascii="Arial" w:hAnsi="Arial" w:cs="Arial"/>
                <w:lang w:val="en-GB"/>
              </w:rPr>
              <w:t>123</w:t>
            </w:r>
          </w:p>
        </w:tc>
        <w:tc>
          <w:tcPr>
            <w:tcW w:w="2078" w:type="dxa"/>
          </w:tcPr>
          <w:p w14:paraId="789D209A" w14:textId="4B118E95" w:rsidR="008C3A29" w:rsidRPr="009D05E3" w:rsidRDefault="008C3A29" w:rsidP="008C3A29">
            <w:pPr>
              <w:spacing w:after="0" w:line="240" w:lineRule="auto"/>
              <w:rPr>
                <w:rFonts w:ascii="Arial" w:hAnsi="Arial" w:cs="Arial"/>
                <w:sz w:val="20"/>
                <w:szCs w:val="20"/>
                <w:lang w:val="en-GB"/>
              </w:rPr>
            </w:pPr>
            <w:r>
              <w:rPr>
                <w:rFonts w:ascii="Arial" w:hAnsi="Arial" w:cs="Arial"/>
              </w:rPr>
              <w:t>CLS</w:t>
            </w:r>
          </w:p>
        </w:tc>
        <w:tc>
          <w:tcPr>
            <w:tcW w:w="2691" w:type="dxa"/>
          </w:tcPr>
          <w:p w14:paraId="3EF8A2C4" w14:textId="1A3DC803" w:rsidR="008C3A29" w:rsidRPr="009D05E3" w:rsidRDefault="008C3A29" w:rsidP="008C3A29">
            <w:pPr>
              <w:spacing w:after="0" w:line="240" w:lineRule="auto"/>
              <w:rPr>
                <w:rFonts w:ascii="Arial" w:hAnsi="Arial" w:cs="Arial"/>
                <w:sz w:val="20"/>
                <w:szCs w:val="20"/>
                <w:lang w:val="en-GB"/>
              </w:rPr>
            </w:pPr>
            <w:r>
              <w:rPr>
                <w:rFonts w:ascii="Arial" w:hAnsi="Arial" w:cs="Arial"/>
                <w:sz w:val="20"/>
                <w:szCs w:val="20"/>
                <w:lang w:val="en-GB"/>
              </w:rPr>
              <w:t>-</w:t>
            </w:r>
          </w:p>
        </w:tc>
        <w:tc>
          <w:tcPr>
            <w:tcW w:w="7903" w:type="dxa"/>
          </w:tcPr>
          <w:p w14:paraId="6389058E" w14:textId="73D313A1" w:rsidR="008C3A29" w:rsidRPr="008D1C50" w:rsidRDefault="008C3A29" w:rsidP="008C3A29">
            <w:pPr>
              <w:spacing w:after="0" w:line="240" w:lineRule="auto"/>
              <w:rPr>
                <w:rFonts w:ascii="Arial" w:eastAsia="Times New Roman" w:hAnsi="Arial" w:cs="Arial"/>
                <w:lang w:val="en-GB"/>
              </w:rPr>
            </w:pPr>
            <w:r w:rsidRPr="008D1C50">
              <w:rPr>
                <w:rFonts w:ascii="Arial" w:eastAsia="Times New Roman" w:hAnsi="Arial" w:cs="Arial"/>
                <w:lang w:val="en-GB"/>
              </w:rPr>
              <w:t>No comments</w:t>
            </w:r>
          </w:p>
        </w:tc>
        <w:tc>
          <w:tcPr>
            <w:tcW w:w="6416" w:type="dxa"/>
          </w:tcPr>
          <w:p w14:paraId="1AA6F5F3" w14:textId="5BDAC1DF" w:rsidR="008C3A29" w:rsidRPr="008D1C50" w:rsidRDefault="008C3A29" w:rsidP="008C3A29">
            <w:pPr>
              <w:spacing w:after="0" w:line="240" w:lineRule="auto"/>
              <w:jc w:val="both"/>
              <w:rPr>
                <w:rFonts w:ascii="Arial" w:eastAsia="Times New Roman" w:hAnsi="Arial" w:cs="Arial"/>
                <w:lang w:val="en-GB"/>
              </w:rPr>
            </w:pPr>
            <w:r w:rsidRPr="008D1C50">
              <w:rPr>
                <w:rFonts w:ascii="Arial" w:eastAsia="Times New Roman" w:hAnsi="Arial" w:cs="Arial"/>
                <w:lang w:val="en-GB"/>
              </w:rPr>
              <w:t>Noted</w:t>
            </w:r>
          </w:p>
        </w:tc>
      </w:tr>
      <w:tr w:rsidR="008C3A29" w:rsidRPr="009D05E3" w14:paraId="57F455E6" w14:textId="77777777" w:rsidTr="00FC2C40">
        <w:tc>
          <w:tcPr>
            <w:tcW w:w="1886" w:type="dxa"/>
            <w:vAlign w:val="bottom"/>
          </w:tcPr>
          <w:p w14:paraId="3D45ECAB" w14:textId="5702C63B" w:rsidR="008C3A29" w:rsidRPr="009D05E3" w:rsidRDefault="00BD573F" w:rsidP="00BD573F">
            <w:pPr>
              <w:spacing w:after="0"/>
              <w:jc w:val="center"/>
              <w:rPr>
                <w:rFonts w:ascii="Arial" w:hAnsi="Arial" w:cs="Arial"/>
                <w:lang w:val="en-GB"/>
              </w:rPr>
            </w:pPr>
            <w:r>
              <w:rPr>
                <w:rFonts w:ascii="Arial" w:hAnsi="Arial" w:cs="Arial"/>
                <w:lang w:val="en-GB"/>
              </w:rPr>
              <w:t>124</w:t>
            </w:r>
          </w:p>
        </w:tc>
        <w:tc>
          <w:tcPr>
            <w:tcW w:w="2078" w:type="dxa"/>
          </w:tcPr>
          <w:p w14:paraId="3E952121" w14:textId="0A5F5A96" w:rsidR="008C3A29" w:rsidRPr="009D05E3" w:rsidRDefault="008C3A29" w:rsidP="008C3A29">
            <w:pPr>
              <w:spacing w:after="0" w:line="240" w:lineRule="auto"/>
              <w:rPr>
                <w:rFonts w:ascii="Arial" w:hAnsi="Arial" w:cs="Arial"/>
                <w:sz w:val="20"/>
                <w:szCs w:val="20"/>
                <w:lang w:val="en-GB"/>
              </w:rPr>
            </w:pPr>
            <w:r>
              <w:rPr>
                <w:rFonts w:ascii="Arial" w:hAnsi="Arial" w:cs="Arial"/>
              </w:rPr>
              <w:t>FirstRand</w:t>
            </w:r>
          </w:p>
        </w:tc>
        <w:tc>
          <w:tcPr>
            <w:tcW w:w="2691" w:type="dxa"/>
          </w:tcPr>
          <w:p w14:paraId="7A24D3FD" w14:textId="5E683205" w:rsidR="008C3A29" w:rsidRPr="009D05E3" w:rsidRDefault="008C3A29" w:rsidP="008C3A29">
            <w:pPr>
              <w:spacing w:after="0" w:line="240" w:lineRule="auto"/>
              <w:rPr>
                <w:rFonts w:ascii="Arial" w:hAnsi="Arial" w:cs="Arial"/>
                <w:sz w:val="20"/>
                <w:szCs w:val="20"/>
              </w:rPr>
            </w:pPr>
            <w:r>
              <w:rPr>
                <w:rFonts w:ascii="Arial" w:hAnsi="Arial" w:cs="Arial"/>
                <w:sz w:val="20"/>
                <w:szCs w:val="20"/>
              </w:rPr>
              <w:t>-</w:t>
            </w:r>
          </w:p>
        </w:tc>
        <w:tc>
          <w:tcPr>
            <w:tcW w:w="7903" w:type="dxa"/>
          </w:tcPr>
          <w:p w14:paraId="71E58B6A" w14:textId="4B10BDE8" w:rsidR="008C3A29" w:rsidRPr="008D1C50" w:rsidRDefault="008C3A29" w:rsidP="008C3A29">
            <w:pPr>
              <w:spacing w:after="0" w:line="240" w:lineRule="auto"/>
              <w:rPr>
                <w:rFonts w:ascii="Arial" w:hAnsi="Arial" w:cs="Arial"/>
              </w:rPr>
            </w:pPr>
            <w:r w:rsidRPr="008D1C50">
              <w:rPr>
                <w:rFonts w:ascii="Arial" w:hAnsi="Arial" w:cs="Arial"/>
              </w:rPr>
              <w:t>No comment</w:t>
            </w:r>
          </w:p>
        </w:tc>
        <w:tc>
          <w:tcPr>
            <w:tcW w:w="6416" w:type="dxa"/>
          </w:tcPr>
          <w:p w14:paraId="0E22611D" w14:textId="04CF8ABD" w:rsidR="008C3A29" w:rsidRPr="008D1C50" w:rsidRDefault="008C3A29" w:rsidP="008C3A29">
            <w:pPr>
              <w:spacing w:after="0" w:line="240" w:lineRule="auto"/>
              <w:jc w:val="both"/>
              <w:rPr>
                <w:rFonts w:ascii="Arial" w:eastAsia="Times New Roman" w:hAnsi="Arial" w:cs="Arial"/>
                <w:lang w:val="en-GB"/>
              </w:rPr>
            </w:pPr>
            <w:r w:rsidRPr="008D1C50">
              <w:rPr>
                <w:rFonts w:ascii="Arial" w:eastAsia="Times New Roman" w:hAnsi="Arial" w:cs="Arial"/>
                <w:lang w:val="en-GB"/>
              </w:rPr>
              <w:t>Noted</w:t>
            </w:r>
          </w:p>
        </w:tc>
      </w:tr>
      <w:tr w:rsidR="008C3A29" w:rsidRPr="009D05E3" w14:paraId="428393FA" w14:textId="77777777" w:rsidTr="00FC2C40">
        <w:trPr>
          <w:trHeight w:val="413"/>
        </w:trPr>
        <w:tc>
          <w:tcPr>
            <w:tcW w:w="1886" w:type="dxa"/>
            <w:vAlign w:val="bottom"/>
          </w:tcPr>
          <w:p w14:paraId="53903384" w14:textId="43C7922A" w:rsidR="008C3A29" w:rsidRPr="009D05E3" w:rsidRDefault="00BD573F" w:rsidP="00F21833">
            <w:pPr>
              <w:spacing w:after="120"/>
              <w:jc w:val="center"/>
              <w:rPr>
                <w:rFonts w:ascii="Arial" w:hAnsi="Arial" w:cs="Arial"/>
                <w:lang w:val="en-GB"/>
              </w:rPr>
            </w:pPr>
            <w:r>
              <w:rPr>
                <w:rFonts w:ascii="Arial" w:hAnsi="Arial" w:cs="Arial"/>
                <w:lang w:val="en-GB"/>
              </w:rPr>
              <w:t>12</w:t>
            </w:r>
            <w:r w:rsidR="0033064F">
              <w:rPr>
                <w:rFonts w:ascii="Arial" w:hAnsi="Arial" w:cs="Arial"/>
                <w:lang w:val="en-GB"/>
              </w:rPr>
              <w:t>5</w:t>
            </w:r>
          </w:p>
        </w:tc>
        <w:tc>
          <w:tcPr>
            <w:tcW w:w="2078" w:type="dxa"/>
          </w:tcPr>
          <w:p w14:paraId="5E153C6C" w14:textId="01DC4974" w:rsidR="008C3A29" w:rsidRPr="00F21833" w:rsidRDefault="004760D1" w:rsidP="00F21833">
            <w:pPr>
              <w:spacing w:after="120" w:line="240" w:lineRule="auto"/>
              <w:rPr>
                <w:rFonts w:ascii="Arial" w:hAnsi="Arial" w:cs="Arial"/>
                <w:lang w:val="en-GB"/>
              </w:rPr>
            </w:pPr>
            <w:r w:rsidRPr="00F21833">
              <w:rPr>
                <w:rFonts w:ascii="Arial" w:hAnsi="Arial" w:cs="Arial"/>
                <w:lang w:val="en-GB"/>
              </w:rPr>
              <w:t>Grindrod</w:t>
            </w:r>
          </w:p>
        </w:tc>
        <w:tc>
          <w:tcPr>
            <w:tcW w:w="2691" w:type="dxa"/>
          </w:tcPr>
          <w:p w14:paraId="6FBBE388" w14:textId="4F020322" w:rsidR="008C3A29" w:rsidRPr="00F21833" w:rsidRDefault="008C3A29" w:rsidP="00F21833">
            <w:pPr>
              <w:spacing w:after="120" w:line="240" w:lineRule="auto"/>
              <w:rPr>
                <w:rFonts w:ascii="Arial" w:hAnsi="Arial" w:cs="Arial"/>
                <w:lang w:val="en-GB"/>
              </w:rPr>
            </w:pPr>
            <w:r w:rsidRPr="00F21833">
              <w:rPr>
                <w:rFonts w:ascii="Arial" w:hAnsi="Arial" w:cs="Arial"/>
                <w:lang w:val="en-GB"/>
              </w:rPr>
              <w:t>-</w:t>
            </w:r>
          </w:p>
        </w:tc>
        <w:tc>
          <w:tcPr>
            <w:tcW w:w="7903" w:type="dxa"/>
          </w:tcPr>
          <w:p w14:paraId="1614D29E" w14:textId="1B3F0380" w:rsidR="008C3A29" w:rsidRPr="008D1C50" w:rsidRDefault="008C3A29" w:rsidP="00F21833">
            <w:pPr>
              <w:spacing w:after="120"/>
              <w:rPr>
                <w:rFonts w:ascii="Arial" w:hAnsi="Arial" w:cs="Arial"/>
                <w:lang w:val="en-GB"/>
              </w:rPr>
            </w:pPr>
            <w:r w:rsidRPr="008D1C50">
              <w:rPr>
                <w:rFonts w:ascii="Arial" w:hAnsi="Arial" w:cs="Arial"/>
                <w:lang w:val="en-GB"/>
              </w:rPr>
              <w:t>No comment</w:t>
            </w:r>
          </w:p>
        </w:tc>
        <w:tc>
          <w:tcPr>
            <w:tcW w:w="6416" w:type="dxa"/>
          </w:tcPr>
          <w:p w14:paraId="37E0B4C4" w14:textId="5B760F4E" w:rsidR="008C3A29" w:rsidRPr="008D1C50" w:rsidRDefault="008C3A29" w:rsidP="00F21833">
            <w:pPr>
              <w:spacing w:after="120" w:line="240" w:lineRule="auto"/>
              <w:jc w:val="both"/>
              <w:rPr>
                <w:rFonts w:ascii="Arial" w:hAnsi="Arial" w:cs="Arial"/>
                <w:lang w:val="en-GB"/>
              </w:rPr>
            </w:pPr>
            <w:r w:rsidRPr="008D1C50">
              <w:rPr>
                <w:rFonts w:ascii="Arial" w:hAnsi="Arial" w:cs="Arial"/>
                <w:lang w:val="en-GB"/>
              </w:rPr>
              <w:t>Noted</w:t>
            </w:r>
          </w:p>
        </w:tc>
      </w:tr>
      <w:tr w:rsidR="008C3A29" w:rsidRPr="009D05E3" w14:paraId="2F498280" w14:textId="77777777" w:rsidTr="00FC2C40">
        <w:tc>
          <w:tcPr>
            <w:tcW w:w="1886" w:type="dxa"/>
            <w:vAlign w:val="bottom"/>
          </w:tcPr>
          <w:p w14:paraId="4CD0B051" w14:textId="5575219F" w:rsidR="008C3A29" w:rsidRPr="009D05E3" w:rsidRDefault="00BD573F" w:rsidP="00BD573F">
            <w:pPr>
              <w:spacing w:after="0"/>
              <w:jc w:val="center"/>
              <w:rPr>
                <w:rFonts w:ascii="Arial" w:hAnsi="Arial" w:cs="Arial"/>
                <w:lang w:val="en-GB"/>
              </w:rPr>
            </w:pPr>
            <w:r>
              <w:rPr>
                <w:rFonts w:ascii="Arial" w:hAnsi="Arial" w:cs="Arial"/>
                <w:lang w:val="en-GB"/>
              </w:rPr>
              <w:t>126</w:t>
            </w:r>
          </w:p>
        </w:tc>
        <w:tc>
          <w:tcPr>
            <w:tcW w:w="2078" w:type="dxa"/>
          </w:tcPr>
          <w:p w14:paraId="7D08ECBD" w14:textId="4D55B14E" w:rsidR="008C3A29" w:rsidRPr="009D05E3" w:rsidRDefault="008C3A29" w:rsidP="008C3A29">
            <w:pPr>
              <w:spacing w:after="0" w:line="240" w:lineRule="auto"/>
              <w:rPr>
                <w:rFonts w:ascii="Arial" w:hAnsi="Arial" w:cs="Arial"/>
                <w:sz w:val="20"/>
                <w:szCs w:val="20"/>
                <w:lang w:val="en-GB"/>
              </w:rPr>
            </w:pPr>
            <w:r>
              <w:rPr>
                <w:rFonts w:ascii="Arial" w:hAnsi="Arial" w:cs="Arial"/>
              </w:rPr>
              <w:t>Habib Bank</w:t>
            </w:r>
          </w:p>
        </w:tc>
        <w:tc>
          <w:tcPr>
            <w:tcW w:w="2691" w:type="dxa"/>
            <w:shd w:val="clear" w:color="auto" w:fill="auto"/>
          </w:tcPr>
          <w:p w14:paraId="5A6EFC47" w14:textId="38B5E876" w:rsidR="008C3A29" w:rsidRPr="009D05E3" w:rsidRDefault="008C3A29" w:rsidP="008C3A29">
            <w:pPr>
              <w:spacing w:after="0" w:line="240" w:lineRule="auto"/>
              <w:rPr>
                <w:rFonts w:ascii="Arial" w:hAnsi="Arial" w:cs="Arial"/>
                <w:sz w:val="20"/>
                <w:szCs w:val="20"/>
              </w:rPr>
            </w:pPr>
            <w:r>
              <w:rPr>
                <w:rFonts w:ascii="Arial" w:hAnsi="Arial" w:cs="Arial"/>
                <w:sz w:val="20"/>
                <w:szCs w:val="20"/>
                <w:lang w:val="en-GB"/>
              </w:rPr>
              <w:t>-</w:t>
            </w:r>
          </w:p>
        </w:tc>
        <w:tc>
          <w:tcPr>
            <w:tcW w:w="7903" w:type="dxa"/>
            <w:shd w:val="clear" w:color="auto" w:fill="auto"/>
          </w:tcPr>
          <w:p w14:paraId="1C69DDF5" w14:textId="35A3C17F" w:rsidR="008C3A29" w:rsidRPr="008D1C50" w:rsidRDefault="008C3A29" w:rsidP="008C3A29">
            <w:pPr>
              <w:spacing w:after="0" w:line="240" w:lineRule="auto"/>
              <w:rPr>
                <w:rFonts w:ascii="Arial" w:hAnsi="Arial" w:cs="Arial"/>
              </w:rPr>
            </w:pPr>
            <w:r w:rsidRPr="008D1C50">
              <w:rPr>
                <w:rFonts w:ascii="Arial" w:hAnsi="Arial" w:cs="Arial"/>
                <w:lang w:val="en-GB"/>
              </w:rPr>
              <w:t>No comment</w:t>
            </w:r>
          </w:p>
        </w:tc>
        <w:tc>
          <w:tcPr>
            <w:tcW w:w="6416" w:type="dxa"/>
          </w:tcPr>
          <w:p w14:paraId="2474C8D6" w14:textId="6642FBAD" w:rsidR="008C3A29" w:rsidRPr="008D1C50" w:rsidRDefault="008C3A29" w:rsidP="008C3A29">
            <w:pPr>
              <w:spacing w:after="0" w:line="240" w:lineRule="auto"/>
              <w:jc w:val="both"/>
              <w:rPr>
                <w:rFonts w:ascii="Arial" w:eastAsia="Times New Roman" w:hAnsi="Arial" w:cs="Arial"/>
                <w:lang w:val="en-GB"/>
              </w:rPr>
            </w:pPr>
            <w:r w:rsidRPr="008D1C50">
              <w:rPr>
                <w:rFonts w:ascii="Arial" w:eastAsia="Times New Roman" w:hAnsi="Arial" w:cs="Arial"/>
                <w:lang w:val="en-GB"/>
              </w:rPr>
              <w:t>Noted</w:t>
            </w:r>
          </w:p>
        </w:tc>
      </w:tr>
      <w:tr w:rsidR="008C3A29" w:rsidRPr="009D05E3" w14:paraId="6A32F36D" w14:textId="77777777" w:rsidTr="00FC2C40">
        <w:tc>
          <w:tcPr>
            <w:tcW w:w="1886" w:type="dxa"/>
            <w:vAlign w:val="bottom"/>
          </w:tcPr>
          <w:p w14:paraId="32202A4A" w14:textId="682D15CC" w:rsidR="008C3A29" w:rsidRPr="009D05E3" w:rsidRDefault="00BD573F" w:rsidP="00BD573F">
            <w:pPr>
              <w:spacing w:after="0"/>
              <w:jc w:val="center"/>
              <w:rPr>
                <w:rFonts w:ascii="Arial" w:hAnsi="Arial" w:cs="Arial"/>
                <w:lang w:val="en-GB"/>
              </w:rPr>
            </w:pPr>
            <w:r>
              <w:rPr>
                <w:rFonts w:ascii="Arial" w:hAnsi="Arial" w:cs="Arial"/>
                <w:lang w:val="en-GB"/>
              </w:rPr>
              <w:t>127</w:t>
            </w:r>
          </w:p>
        </w:tc>
        <w:tc>
          <w:tcPr>
            <w:tcW w:w="2078" w:type="dxa"/>
          </w:tcPr>
          <w:p w14:paraId="17031ECB" w14:textId="23B65C47" w:rsidR="008C3A29" w:rsidRPr="009D05E3" w:rsidRDefault="008C3A29" w:rsidP="008C3A29">
            <w:pPr>
              <w:spacing w:after="0" w:line="240" w:lineRule="auto"/>
              <w:rPr>
                <w:rFonts w:ascii="Arial" w:hAnsi="Arial" w:cs="Arial"/>
                <w:sz w:val="20"/>
                <w:szCs w:val="20"/>
                <w:lang w:val="en-GB"/>
              </w:rPr>
            </w:pPr>
            <w:r>
              <w:rPr>
                <w:rFonts w:ascii="Arial" w:hAnsi="Arial" w:cs="Arial"/>
              </w:rPr>
              <w:t>JSE</w:t>
            </w:r>
          </w:p>
        </w:tc>
        <w:tc>
          <w:tcPr>
            <w:tcW w:w="2691" w:type="dxa"/>
          </w:tcPr>
          <w:p w14:paraId="6DC11747" w14:textId="103896A9" w:rsidR="008C3A29" w:rsidRPr="009D05E3" w:rsidRDefault="008C3A29" w:rsidP="008C3A29">
            <w:pPr>
              <w:spacing w:after="0" w:line="240" w:lineRule="auto"/>
              <w:rPr>
                <w:rFonts w:ascii="Arial" w:hAnsi="Arial" w:cs="Arial"/>
                <w:sz w:val="20"/>
                <w:szCs w:val="20"/>
                <w:lang w:val="en-GB"/>
              </w:rPr>
            </w:pPr>
            <w:r>
              <w:rPr>
                <w:rFonts w:ascii="Arial" w:hAnsi="Arial" w:cs="Arial"/>
                <w:sz w:val="20"/>
                <w:szCs w:val="20"/>
                <w:lang w:val="en-GB"/>
              </w:rPr>
              <w:t>-</w:t>
            </w:r>
          </w:p>
        </w:tc>
        <w:tc>
          <w:tcPr>
            <w:tcW w:w="7903" w:type="dxa"/>
          </w:tcPr>
          <w:p w14:paraId="5BDC3E73" w14:textId="65F89042" w:rsidR="008C3A29" w:rsidRPr="008D1C50" w:rsidRDefault="008C3A29" w:rsidP="008C3A29">
            <w:pPr>
              <w:spacing w:after="0" w:line="240" w:lineRule="auto"/>
              <w:rPr>
                <w:rFonts w:ascii="Arial" w:eastAsia="Times New Roman" w:hAnsi="Arial" w:cs="Arial"/>
                <w:lang w:val="en-GB"/>
              </w:rPr>
            </w:pPr>
            <w:r w:rsidRPr="008D1C50">
              <w:rPr>
                <w:rFonts w:ascii="Arial" w:hAnsi="Arial" w:cs="Arial"/>
                <w:lang w:val="en-GB"/>
              </w:rPr>
              <w:t>No comment</w:t>
            </w:r>
          </w:p>
        </w:tc>
        <w:tc>
          <w:tcPr>
            <w:tcW w:w="6416" w:type="dxa"/>
          </w:tcPr>
          <w:p w14:paraId="2B54AB0E" w14:textId="0BC31D08" w:rsidR="008C3A29" w:rsidRPr="008D1C50" w:rsidRDefault="008C3A29" w:rsidP="008C3A29">
            <w:pPr>
              <w:spacing w:after="0" w:line="240" w:lineRule="auto"/>
              <w:jc w:val="both"/>
              <w:rPr>
                <w:rFonts w:ascii="Arial" w:eastAsia="Times New Roman" w:hAnsi="Arial" w:cs="Arial"/>
                <w:lang w:val="en-GB"/>
              </w:rPr>
            </w:pPr>
            <w:r w:rsidRPr="008D1C50">
              <w:rPr>
                <w:rFonts w:ascii="Arial" w:eastAsia="Times New Roman" w:hAnsi="Arial" w:cs="Arial"/>
                <w:lang w:val="en-GB"/>
              </w:rPr>
              <w:t>Noted</w:t>
            </w:r>
          </w:p>
        </w:tc>
      </w:tr>
      <w:tr w:rsidR="008C3A29" w:rsidRPr="009D05E3" w14:paraId="51120B7C" w14:textId="77777777" w:rsidTr="00FC2C40">
        <w:tc>
          <w:tcPr>
            <w:tcW w:w="1886" w:type="dxa"/>
            <w:vAlign w:val="bottom"/>
          </w:tcPr>
          <w:p w14:paraId="65A0930A" w14:textId="14FCE5A0" w:rsidR="008C3A29" w:rsidRPr="009D05E3" w:rsidRDefault="00BD573F" w:rsidP="00BD573F">
            <w:pPr>
              <w:spacing w:after="0"/>
              <w:jc w:val="center"/>
              <w:rPr>
                <w:rFonts w:ascii="Arial" w:hAnsi="Arial" w:cs="Arial"/>
                <w:lang w:val="en-GB"/>
              </w:rPr>
            </w:pPr>
            <w:r>
              <w:rPr>
                <w:rFonts w:ascii="Arial" w:hAnsi="Arial" w:cs="Arial"/>
                <w:lang w:val="en-GB"/>
              </w:rPr>
              <w:t>128</w:t>
            </w:r>
          </w:p>
        </w:tc>
        <w:tc>
          <w:tcPr>
            <w:tcW w:w="2078" w:type="dxa"/>
          </w:tcPr>
          <w:p w14:paraId="5C35E1BD" w14:textId="3DDA4E98" w:rsidR="008C3A29" w:rsidRPr="009D05E3" w:rsidRDefault="008C3A29" w:rsidP="008C3A29">
            <w:pPr>
              <w:spacing w:after="0" w:line="240" w:lineRule="auto"/>
              <w:rPr>
                <w:rFonts w:ascii="Arial" w:hAnsi="Arial" w:cs="Arial"/>
                <w:sz w:val="20"/>
                <w:szCs w:val="20"/>
                <w:lang w:val="en-GB"/>
              </w:rPr>
            </w:pPr>
            <w:r>
              <w:rPr>
                <w:rFonts w:ascii="Arial" w:hAnsi="Arial" w:cs="Arial"/>
              </w:rPr>
              <w:t>MMH</w:t>
            </w:r>
          </w:p>
        </w:tc>
        <w:tc>
          <w:tcPr>
            <w:tcW w:w="2691" w:type="dxa"/>
            <w:shd w:val="clear" w:color="auto" w:fill="auto"/>
          </w:tcPr>
          <w:p w14:paraId="1A21FA36" w14:textId="647383C7" w:rsidR="008C3A29" w:rsidRPr="009D05E3" w:rsidRDefault="008C3A29" w:rsidP="008C3A29">
            <w:pPr>
              <w:spacing w:after="0" w:line="240" w:lineRule="auto"/>
              <w:rPr>
                <w:rFonts w:ascii="Arial" w:hAnsi="Arial" w:cs="Arial"/>
                <w:sz w:val="20"/>
                <w:szCs w:val="20"/>
              </w:rPr>
            </w:pPr>
            <w:r>
              <w:rPr>
                <w:rFonts w:ascii="Arial" w:hAnsi="Arial" w:cs="Arial"/>
                <w:sz w:val="20"/>
                <w:szCs w:val="20"/>
              </w:rPr>
              <w:t>-</w:t>
            </w:r>
          </w:p>
        </w:tc>
        <w:tc>
          <w:tcPr>
            <w:tcW w:w="7903" w:type="dxa"/>
            <w:shd w:val="clear" w:color="auto" w:fill="auto"/>
          </w:tcPr>
          <w:p w14:paraId="29AE9FFE" w14:textId="3E935F3B" w:rsidR="008C3A29" w:rsidRPr="008D1C50" w:rsidRDefault="008C3A29" w:rsidP="008C3A29">
            <w:pPr>
              <w:spacing w:after="0" w:line="240" w:lineRule="auto"/>
              <w:rPr>
                <w:rFonts w:ascii="Arial" w:hAnsi="Arial" w:cs="Arial"/>
              </w:rPr>
            </w:pPr>
            <w:r w:rsidRPr="008D1C50">
              <w:rPr>
                <w:rFonts w:ascii="Arial" w:hAnsi="Arial" w:cs="Arial"/>
                <w:lang w:val="en-GB"/>
              </w:rPr>
              <w:t>No comment</w:t>
            </w:r>
          </w:p>
        </w:tc>
        <w:tc>
          <w:tcPr>
            <w:tcW w:w="6416" w:type="dxa"/>
          </w:tcPr>
          <w:p w14:paraId="2B3CA852" w14:textId="36B93087" w:rsidR="008C3A29" w:rsidRPr="008D1C50" w:rsidRDefault="008C3A29" w:rsidP="008C3A29">
            <w:pPr>
              <w:spacing w:after="0" w:line="240" w:lineRule="auto"/>
              <w:jc w:val="both"/>
              <w:rPr>
                <w:rFonts w:ascii="Arial" w:eastAsia="Times New Roman" w:hAnsi="Arial" w:cs="Arial"/>
                <w:lang w:val="en-GB"/>
              </w:rPr>
            </w:pPr>
            <w:r w:rsidRPr="008D1C50">
              <w:rPr>
                <w:rFonts w:ascii="Arial" w:eastAsia="Times New Roman" w:hAnsi="Arial" w:cs="Arial"/>
                <w:lang w:val="en-GB"/>
              </w:rPr>
              <w:t>Noted</w:t>
            </w:r>
          </w:p>
        </w:tc>
      </w:tr>
      <w:tr w:rsidR="00614146" w:rsidRPr="009D05E3" w14:paraId="55F06DAC" w14:textId="77777777" w:rsidTr="00FC2C40">
        <w:tc>
          <w:tcPr>
            <w:tcW w:w="1886" w:type="dxa"/>
            <w:vAlign w:val="bottom"/>
          </w:tcPr>
          <w:p w14:paraId="4E7445EB" w14:textId="2DF1AD3B" w:rsidR="00614146" w:rsidRDefault="00614146" w:rsidP="00614146">
            <w:pPr>
              <w:spacing w:after="0"/>
              <w:jc w:val="center"/>
              <w:rPr>
                <w:rFonts w:ascii="Arial" w:hAnsi="Arial" w:cs="Arial"/>
                <w:lang w:val="en-GB"/>
              </w:rPr>
            </w:pPr>
            <w:r>
              <w:rPr>
                <w:rFonts w:ascii="Arial" w:hAnsi="Arial" w:cs="Arial"/>
                <w:lang w:val="en-GB"/>
              </w:rPr>
              <w:t>129</w:t>
            </w:r>
          </w:p>
        </w:tc>
        <w:tc>
          <w:tcPr>
            <w:tcW w:w="2078" w:type="dxa"/>
          </w:tcPr>
          <w:p w14:paraId="5DAB364A" w14:textId="5C0899ED" w:rsidR="00614146" w:rsidRDefault="00614146" w:rsidP="00614146">
            <w:pPr>
              <w:spacing w:after="0" w:line="240" w:lineRule="auto"/>
              <w:rPr>
                <w:rFonts w:ascii="Arial" w:hAnsi="Arial" w:cs="Arial"/>
              </w:rPr>
            </w:pPr>
            <w:r w:rsidRPr="00E32506">
              <w:rPr>
                <w:rFonts w:ascii="Arial" w:hAnsi="Arial" w:cs="Arial"/>
                <w:lang w:val="en-GB"/>
              </w:rPr>
              <w:t>Nedbank</w:t>
            </w:r>
          </w:p>
        </w:tc>
        <w:tc>
          <w:tcPr>
            <w:tcW w:w="2691" w:type="dxa"/>
            <w:shd w:val="clear" w:color="auto" w:fill="auto"/>
          </w:tcPr>
          <w:p w14:paraId="0C4EA0A2" w14:textId="510602D2" w:rsidR="00614146" w:rsidRDefault="00614146" w:rsidP="00614146">
            <w:pPr>
              <w:spacing w:after="0" w:line="240" w:lineRule="auto"/>
              <w:rPr>
                <w:rFonts w:ascii="Arial" w:hAnsi="Arial" w:cs="Arial"/>
                <w:sz w:val="20"/>
                <w:szCs w:val="20"/>
              </w:rPr>
            </w:pPr>
            <w:r w:rsidRPr="00E32506">
              <w:rPr>
                <w:rFonts w:ascii="Arial" w:hAnsi="Arial" w:cs="Arial"/>
                <w:lang w:val="en-GB"/>
              </w:rPr>
              <w:t>-</w:t>
            </w:r>
          </w:p>
        </w:tc>
        <w:tc>
          <w:tcPr>
            <w:tcW w:w="7903" w:type="dxa"/>
            <w:shd w:val="clear" w:color="auto" w:fill="auto"/>
          </w:tcPr>
          <w:p w14:paraId="3F7521F8" w14:textId="6EA71771" w:rsidR="00614146" w:rsidRPr="008D1C50" w:rsidRDefault="00614146" w:rsidP="00614146">
            <w:pPr>
              <w:spacing w:after="0" w:line="240" w:lineRule="auto"/>
              <w:rPr>
                <w:rFonts w:ascii="Arial" w:hAnsi="Arial" w:cs="Arial"/>
                <w:lang w:val="en-GB"/>
              </w:rPr>
            </w:pPr>
            <w:r w:rsidRPr="008D1C50">
              <w:rPr>
                <w:rFonts w:ascii="Arial" w:hAnsi="Arial" w:cs="Arial"/>
                <w:lang w:val="en-GB"/>
              </w:rPr>
              <w:t>No comment</w:t>
            </w:r>
          </w:p>
        </w:tc>
        <w:tc>
          <w:tcPr>
            <w:tcW w:w="6416" w:type="dxa"/>
          </w:tcPr>
          <w:p w14:paraId="0BA50D00" w14:textId="273EDA16" w:rsidR="00614146" w:rsidRPr="008D1C50" w:rsidRDefault="00614146" w:rsidP="00614146">
            <w:pPr>
              <w:spacing w:after="0" w:line="240" w:lineRule="auto"/>
              <w:jc w:val="both"/>
              <w:rPr>
                <w:rFonts w:ascii="Arial" w:eastAsia="Times New Roman" w:hAnsi="Arial" w:cs="Arial"/>
                <w:lang w:val="en-GB"/>
              </w:rPr>
            </w:pPr>
            <w:r w:rsidRPr="008D1C50">
              <w:rPr>
                <w:rFonts w:ascii="Arial" w:eastAsia="Times New Roman" w:hAnsi="Arial" w:cs="Arial"/>
                <w:lang w:val="en-GB"/>
              </w:rPr>
              <w:t>Noted</w:t>
            </w:r>
          </w:p>
        </w:tc>
      </w:tr>
      <w:tr w:rsidR="00614146" w:rsidRPr="009D05E3" w14:paraId="4F87EA5C" w14:textId="77777777" w:rsidTr="00515BD8">
        <w:tc>
          <w:tcPr>
            <w:tcW w:w="1886" w:type="dxa"/>
            <w:vAlign w:val="bottom"/>
          </w:tcPr>
          <w:p w14:paraId="062C52F2" w14:textId="705204B8" w:rsidR="00614146" w:rsidRPr="009D05E3" w:rsidRDefault="00614146" w:rsidP="00224537">
            <w:pPr>
              <w:spacing w:after="1440"/>
              <w:jc w:val="center"/>
              <w:rPr>
                <w:rFonts w:ascii="Arial" w:hAnsi="Arial" w:cs="Arial"/>
                <w:lang w:val="en-GB"/>
              </w:rPr>
            </w:pPr>
            <w:r>
              <w:rPr>
                <w:rFonts w:ascii="Arial" w:hAnsi="Arial" w:cs="Arial"/>
                <w:lang w:val="en-GB"/>
              </w:rPr>
              <w:t>130</w:t>
            </w:r>
          </w:p>
        </w:tc>
        <w:tc>
          <w:tcPr>
            <w:tcW w:w="2078" w:type="dxa"/>
          </w:tcPr>
          <w:p w14:paraId="6D76CCED" w14:textId="7FC22D3F" w:rsidR="00614146" w:rsidRPr="009D05E3" w:rsidRDefault="00614146" w:rsidP="00614146">
            <w:pPr>
              <w:spacing w:after="0" w:line="240" w:lineRule="auto"/>
              <w:rPr>
                <w:rFonts w:ascii="Arial" w:hAnsi="Arial" w:cs="Arial"/>
                <w:sz w:val="20"/>
                <w:szCs w:val="20"/>
                <w:lang w:val="en-GB"/>
              </w:rPr>
            </w:pPr>
            <w:r>
              <w:rPr>
                <w:rFonts w:ascii="Arial" w:hAnsi="Arial" w:cs="Arial"/>
                <w:sz w:val="20"/>
                <w:szCs w:val="20"/>
                <w:lang w:val="en-GB"/>
              </w:rPr>
              <w:t>BASA</w:t>
            </w:r>
          </w:p>
        </w:tc>
        <w:tc>
          <w:tcPr>
            <w:tcW w:w="2691" w:type="dxa"/>
          </w:tcPr>
          <w:p w14:paraId="01A09717" w14:textId="548AB7BF" w:rsidR="00614146" w:rsidRPr="009D05E3" w:rsidRDefault="00614146" w:rsidP="00614146">
            <w:pPr>
              <w:spacing w:after="0" w:line="240" w:lineRule="auto"/>
              <w:rPr>
                <w:rFonts w:ascii="Arial" w:hAnsi="Arial" w:cs="Arial"/>
                <w:sz w:val="20"/>
                <w:szCs w:val="20"/>
                <w:lang w:val="en-GB"/>
              </w:rPr>
            </w:pPr>
            <w:r>
              <w:rPr>
                <w:rFonts w:ascii="Arial" w:hAnsi="Arial" w:cs="Arial"/>
                <w:sz w:val="20"/>
                <w:szCs w:val="20"/>
                <w:lang w:val="en-GB"/>
              </w:rPr>
              <w:t>12</w:t>
            </w:r>
          </w:p>
        </w:tc>
        <w:tc>
          <w:tcPr>
            <w:tcW w:w="7903" w:type="dxa"/>
          </w:tcPr>
          <w:p w14:paraId="0AD3996F" w14:textId="77777777" w:rsidR="00614146" w:rsidRPr="008D1C50" w:rsidRDefault="00614146" w:rsidP="00614146">
            <w:pPr>
              <w:spacing w:after="0" w:line="240" w:lineRule="auto"/>
              <w:rPr>
                <w:rFonts w:ascii="Arial" w:hAnsi="Arial" w:cs="Arial"/>
                <w:lang w:val="en-GB"/>
              </w:rPr>
            </w:pPr>
            <w:r w:rsidRPr="008D1C50">
              <w:rPr>
                <w:rFonts w:ascii="Arial" w:hAnsi="Arial" w:cs="Arial"/>
                <w:lang w:val="en-GB"/>
              </w:rPr>
              <w:t xml:space="preserve">Ongoing monitoring.   The directive also states monitoring on an ongoing basis which would entail additional resources to deliver on these tasks.  </w:t>
            </w:r>
          </w:p>
          <w:p w14:paraId="72B1E0AF" w14:textId="77777777" w:rsidR="00614146" w:rsidRPr="008D1C50" w:rsidRDefault="00614146" w:rsidP="00614146">
            <w:pPr>
              <w:spacing w:after="0" w:line="240" w:lineRule="auto"/>
              <w:rPr>
                <w:rFonts w:ascii="Arial" w:hAnsi="Arial" w:cs="Arial"/>
                <w:lang w:val="en-GB"/>
              </w:rPr>
            </w:pPr>
            <w:r w:rsidRPr="008D1C50">
              <w:rPr>
                <w:rFonts w:ascii="Arial" w:hAnsi="Arial" w:cs="Arial"/>
                <w:b/>
                <w:bCs/>
                <w:lang w:val="en-GB"/>
              </w:rPr>
              <w:t>Clarify</w:t>
            </w:r>
            <w:r w:rsidRPr="008D1C50">
              <w:rPr>
                <w:rFonts w:ascii="Arial" w:hAnsi="Arial" w:cs="Arial"/>
                <w:lang w:val="en-GB"/>
              </w:rPr>
              <w:t xml:space="preserve"> would this be a monthly requirement and when would the PA issue the format to show how information should be submitted.  </w:t>
            </w:r>
          </w:p>
          <w:p w14:paraId="51E961C8" w14:textId="2D057D9B" w:rsidR="00614146" w:rsidRPr="008D1C50" w:rsidRDefault="00614146" w:rsidP="00614146">
            <w:pPr>
              <w:spacing w:after="0" w:line="240" w:lineRule="auto"/>
              <w:rPr>
                <w:rFonts w:ascii="Arial" w:eastAsia="Times New Roman" w:hAnsi="Arial" w:cs="Arial"/>
                <w:lang w:val="en-GB"/>
              </w:rPr>
            </w:pPr>
            <w:r w:rsidRPr="008D1C50">
              <w:rPr>
                <w:rFonts w:ascii="Arial" w:hAnsi="Arial" w:cs="Arial"/>
                <w:lang w:val="en-GB"/>
              </w:rPr>
              <w:t>Additional reporting would require system enhancements and IT development.</w:t>
            </w:r>
          </w:p>
        </w:tc>
        <w:tc>
          <w:tcPr>
            <w:tcW w:w="6416" w:type="dxa"/>
            <w:shd w:val="clear" w:color="auto" w:fill="auto"/>
          </w:tcPr>
          <w:p w14:paraId="1FDA21D6" w14:textId="64A2F3B7" w:rsidR="00614146" w:rsidRDefault="003F1A3B" w:rsidP="00614146">
            <w:pPr>
              <w:spacing w:after="0" w:line="240" w:lineRule="auto"/>
              <w:jc w:val="both"/>
              <w:rPr>
                <w:rFonts w:ascii="Arial" w:eastAsia="Times New Roman" w:hAnsi="Arial" w:cs="Arial"/>
                <w:lang w:val="en-GB"/>
              </w:rPr>
            </w:pPr>
            <w:r>
              <w:rPr>
                <w:rFonts w:ascii="Arial" w:eastAsia="Times New Roman" w:hAnsi="Arial" w:cs="Arial"/>
                <w:lang w:val="en-GB"/>
              </w:rPr>
              <w:t xml:space="preserve">Section 13.2 of the Standard </w:t>
            </w:r>
            <w:r w:rsidR="00386222">
              <w:rPr>
                <w:rFonts w:ascii="Arial" w:eastAsia="Times New Roman" w:hAnsi="Arial" w:cs="Arial"/>
                <w:lang w:val="en-GB"/>
              </w:rPr>
              <w:t>states that</w:t>
            </w:r>
            <w:r w:rsidR="00E937B2">
              <w:rPr>
                <w:rFonts w:ascii="Arial" w:eastAsia="Times New Roman" w:hAnsi="Arial" w:cs="Arial"/>
                <w:lang w:val="en-GB"/>
              </w:rPr>
              <w:t xml:space="preserve"> </w:t>
            </w:r>
            <w:r w:rsidR="00AC4DFD">
              <w:rPr>
                <w:rFonts w:ascii="Arial" w:eastAsia="Times New Roman" w:hAnsi="Arial" w:cs="Arial"/>
                <w:lang w:val="en-GB"/>
              </w:rPr>
              <w:t>the</w:t>
            </w:r>
            <w:r w:rsidR="00C64B9E">
              <w:rPr>
                <w:rFonts w:ascii="Arial" w:eastAsia="Times New Roman" w:hAnsi="Arial" w:cs="Arial"/>
                <w:lang w:val="en-GB"/>
              </w:rPr>
              <w:t xml:space="preserve"> form, </w:t>
            </w:r>
            <w:proofErr w:type="gramStart"/>
            <w:r w:rsidR="00C64B9E">
              <w:rPr>
                <w:rFonts w:ascii="Arial" w:eastAsia="Times New Roman" w:hAnsi="Arial" w:cs="Arial"/>
                <w:lang w:val="en-GB"/>
              </w:rPr>
              <w:t>manner</w:t>
            </w:r>
            <w:proofErr w:type="gramEnd"/>
            <w:r w:rsidR="00C64B9E">
              <w:rPr>
                <w:rFonts w:ascii="Arial" w:eastAsia="Times New Roman" w:hAnsi="Arial" w:cs="Arial"/>
                <w:lang w:val="en-GB"/>
              </w:rPr>
              <w:t xml:space="preserve"> and </w:t>
            </w:r>
            <w:r w:rsidR="00C64B9E" w:rsidRPr="00C64B9E">
              <w:rPr>
                <w:rFonts w:ascii="Arial" w:eastAsia="Times New Roman" w:hAnsi="Arial" w:cs="Arial"/>
                <w:b/>
                <w:bCs/>
                <w:lang w:val="en-GB"/>
              </w:rPr>
              <w:t>period</w:t>
            </w:r>
            <w:r w:rsidR="00C64B9E">
              <w:rPr>
                <w:rFonts w:ascii="Arial" w:eastAsia="Times New Roman" w:hAnsi="Arial" w:cs="Arial"/>
                <w:lang w:val="en-GB"/>
              </w:rPr>
              <w:t xml:space="preserve"> for regulatory reporting on this Standard will be determined by the </w:t>
            </w:r>
            <w:r w:rsidR="00DA560E">
              <w:rPr>
                <w:rFonts w:ascii="Arial" w:eastAsia="Times New Roman" w:hAnsi="Arial" w:cs="Arial"/>
                <w:lang w:val="en-GB"/>
              </w:rPr>
              <w:t>Authorities</w:t>
            </w:r>
            <w:r w:rsidR="00C64B9E">
              <w:rPr>
                <w:rFonts w:ascii="Arial" w:eastAsia="Times New Roman" w:hAnsi="Arial" w:cs="Arial"/>
                <w:lang w:val="en-GB"/>
              </w:rPr>
              <w:t xml:space="preserve"> and </w:t>
            </w:r>
            <w:r w:rsidR="00E937B2">
              <w:rPr>
                <w:rFonts w:ascii="Arial" w:eastAsia="Times New Roman" w:hAnsi="Arial" w:cs="Arial"/>
                <w:lang w:val="en-GB"/>
              </w:rPr>
              <w:t xml:space="preserve">be </w:t>
            </w:r>
            <w:r w:rsidR="00C64B9E">
              <w:rPr>
                <w:rFonts w:ascii="Arial" w:eastAsia="Times New Roman" w:hAnsi="Arial" w:cs="Arial"/>
                <w:lang w:val="en-GB"/>
              </w:rPr>
              <w:t xml:space="preserve">published on the </w:t>
            </w:r>
            <w:r w:rsidR="00E937B2">
              <w:rPr>
                <w:rFonts w:ascii="Arial" w:eastAsia="Times New Roman" w:hAnsi="Arial" w:cs="Arial"/>
                <w:lang w:val="en-GB"/>
              </w:rPr>
              <w:t>Prudential Authority’s</w:t>
            </w:r>
            <w:r w:rsidR="00C64B9E">
              <w:rPr>
                <w:rFonts w:ascii="Arial" w:eastAsia="Times New Roman" w:hAnsi="Arial" w:cs="Arial"/>
                <w:lang w:val="en-GB"/>
              </w:rPr>
              <w:t xml:space="preserve"> website.</w:t>
            </w:r>
            <w:r w:rsidR="00386222">
              <w:rPr>
                <w:rFonts w:ascii="Arial" w:eastAsia="Times New Roman" w:hAnsi="Arial" w:cs="Arial"/>
                <w:lang w:val="en-GB"/>
              </w:rPr>
              <w:t xml:space="preserve"> </w:t>
            </w:r>
            <w:r w:rsidR="00147D12">
              <w:rPr>
                <w:rFonts w:ascii="Arial" w:eastAsia="Times New Roman" w:hAnsi="Arial" w:cs="Arial"/>
                <w:lang w:val="en-GB"/>
              </w:rPr>
              <w:t>Therefore,</w:t>
            </w:r>
            <w:r w:rsidR="00386222">
              <w:rPr>
                <w:rFonts w:ascii="Arial" w:eastAsia="Times New Roman" w:hAnsi="Arial" w:cs="Arial"/>
                <w:lang w:val="en-GB"/>
              </w:rPr>
              <w:t xml:space="preserve"> this information will be communicated in</w:t>
            </w:r>
            <w:r w:rsidR="00235B0E">
              <w:rPr>
                <w:rFonts w:ascii="Arial" w:eastAsia="Times New Roman" w:hAnsi="Arial" w:cs="Arial"/>
                <w:lang w:val="en-GB"/>
              </w:rPr>
              <w:t xml:space="preserve"> </w:t>
            </w:r>
            <w:r w:rsidR="00386222">
              <w:rPr>
                <w:rFonts w:ascii="Arial" w:eastAsia="Times New Roman" w:hAnsi="Arial" w:cs="Arial"/>
                <w:lang w:val="en-GB"/>
              </w:rPr>
              <w:t>due course.</w:t>
            </w:r>
          </w:p>
          <w:p w14:paraId="4F3701FA" w14:textId="77777777" w:rsidR="00BB0EFF" w:rsidRDefault="00BB0EFF" w:rsidP="00614146">
            <w:pPr>
              <w:spacing w:after="0" w:line="240" w:lineRule="auto"/>
              <w:jc w:val="both"/>
              <w:rPr>
                <w:rFonts w:ascii="Arial" w:eastAsia="Times New Roman" w:hAnsi="Arial" w:cs="Arial"/>
                <w:lang w:val="en-GB"/>
              </w:rPr>
            </w:pPr>
          </w:p>
          <w:p w14:paraId="015907AB" w14:textId="4534D5A1" w:rsidR="00BB0EFF" w:rsidRPr="008D1C50" w:rsidRDefault="00BB0EFF" w:rsidP="00614146">
            <w:pPr>
              <w:spacing w:after="0" w:line="240" w:lineRule="auto"/>
              <w:jc w:val="both"/>
              <w:rPr>
                <w:rFonts w:ascii="Arial" w:eastAsia="Times New Roman" w:hAnsi="Arial" w:cs="Arial"/>
                <w:lang w:val="en-GB"/>
              </w:rPr>
            </w:pPr>
            <w:r>
              <w:rPr>
                <w:rFonts w:ascii="Arial" w:eastAsia="Times New Roman" w:hAnsi="Arial" w:cs="Arial"/>
                <w:lang w:val="en-GB"/>
              </w:rPr>
              <w:t>The monitoring, should be ongoing (and not periodic) as per section 12 of the Standard.</w:t>
            </w:r>
          </w:p>
        </w:tc>
      </w:tr>
      <w:tr w:rsidR="00614146" w:rsidRPr="009D05E3" w14:paraId="59C95A79" w14:textId="3057CC2B" w:rsidTr="00532AB8">
        <w:tc>
          <w:tcPr>
            <w:tcW w:w="20974" w:type="dxa"/>
            <w:gridSpan w:val="5"/>
            <w:shd w:val="clear" w:color="auto" w:fill="D9D9D9" w:themeFill="background1" w:themeFillShade="D9"/>
          </w:tcPr>
          <w:p w14:paraId="334061FE" w14:textId="4ACDA6B8" w:rsidR="00614146" w:rsidRPr="00532AB8" w:rsidRDefault="00532AB8" w:rsidP="00515BD8">
            <w:pPr>
              <w:spacing w:after="0"/>
              <w:jc w:val="center"/>
              <w:rPr>
                <w:rFonts w:ascii="Arial" w:hAnsi="Arial" w:cs="Arial"/>
                <w:b/>
                <w:sz w:val="32"/>
                <w:szCs w:val="32"/>
                <w:lang w:val="en-GB"/>
              </w:rPr>
            </w:pPr>
            <w:r>
              <w:rPr>
                <w:rFonts w:ascii="Arial" w:hAnsi="Arial" w:cs="Arial"/>
                <w:b/>
                <w:sz w:val="32"/>
                <w:szCs w:val="32"/>
                <w:lang w:val="en-GB"/>
              </w:rPr>
              <w:t>13.</w:t>
            </w:r>
            <w:r w:rsidR="00614146" w:rsidRPr="00532AB8">
              <w:rPr>
                <w:rFonts w:ascii="Arial" w:hAnsi="Arial" w:cs="Arial"/>
                <w:b/>
                <w:sz w:val="32"/>
                <w:szCs w:val="32"/>
                <w:lang w:val="en-GB"/>
              </w:rPr>
              <w:t>Reporting requirements</w:t>
            </w:r>
          </w:p>
        </w:tc>
      </w:tr>
      <w:tr w:rsidR="00614146" w:rsidRPr="009D05E3" w14:paraId="1C0D0A68" w14:textId="77777777" w:rsidTr="00FC2C40">
        <w:tc>
          <w:tcPr>
            <w:tcW w:w="1886" w:type="dxa"/>
            <w:vAlign w:val="bottom"/>
          </w:tcPr>
          <w:p w14:paraId="608D4ABC" w14:textId="40A00575" w:rsidR="00614146" w:rsidRPr="009D05E3" w:rsidRDefault="00614146" w:rsidP="00614146">
            <w:pPr>
              <w:spacing w:after="0"/>
              <w:jc w:val="center"/>
              <w:rPr>
                <w:rFonts w:ascii="Arial" w:hAnsi="Arial" w:cs="Arial"/>
                <w:lang w:val="en-GB"/>
              </w:rPr>
            </w:pPr>
            <w:r>
              <w:rPr>
                <w:rFonts w:ascii="Arial" w:hAnsi="Arial" w:cs="Arial"/>
                <w:lang w:val="en-GB"/>
              </w:rPr>
              <w:t>131</w:t>
            </w:r>
          </w:p>
        </w:tc>
        <w:tc>
          <w:tcPr>
            <w:tcW w:w="2078" w:type="dxa"/>
          </w:tcPr>
          <w:p w14:paraId="2779073C" w14:textId="2CB11B4E" w:rsidR="00614146" w:rsidRPr="00F21833" w:rsidRDefault="00614146" w:rsidP="00614146">
            <w:pPr>
              <w:spacing w:after="0" w:line="240" w:lineRule="auto"/>
              <w:rPr>
                <w:rFonts w:ascii="Arial" w:hAnsi="Arial" w:cs="Arial"/>
                <w:lang w:val="en-GB"/>
              </w:rPr>
            </w:pPr>
            <w:r w:rsidRPr="00F21833">
              <w:rPr>
                <w:rFonts w:ascii="Arial" w:hAnsi="Arial" w:cs="Arial"/>
                <w:lang w:val="en-GB"/>
              </w:rPr>
              <w:t>CLS</w:t>
            </w:r>
          </w:p>
        </w:tc>
        <w:tc>
          <w:tcPr>
            <w:tcW w:w="2691" w:type="dxa"/>
          </w:tcPr>
          <w:p w14:paraId="691742B7" w14:textId="1BA0C661" w:rsidR="00614146" w:rsidRPr="00F21833" w:rsidRDefault="00614146" w:rsidP="00614146">
            <w:pPr>
              <w:spacing w:after="0" w:line="240" w:lineRule="auto"/>
              <w:rPr>
                <w:rFonts w:ascii="Arial" w:hAnsi="Arial" w:cs="Arial"/>
                <w:lang w:val="en-GB"/>
              </w:rPr>
            </w:pPr>
            <w:r w:rsidRPr="00F21833">
              <w:rPr>
                <w:rFonts w:ascii="Arial" w:hAnsi="Arial" w:cs="Arial"/>
                <w:lang w:val="en-GB"/>
              </w:rPr>
              <w:t>-</w:t>
            </w:r>
          </w:p>
        </w:tc>
        <w:tc>
          <w:tcPr>
            <w:tcW w:w="7903" w:type="dxa"/>
          </w:tcPr>
          <w:p w14:paraId="3C674FFB" w14:textId="1E472147"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 comment</w:t>
            </w:r>
          </w:p>
        </w:tc>
        <w:tc>
          <w:tcPr>
            <w:tcW w:w="6416" w:type="dxa"/>
          </w:tcPr>
          <w:p w14:paraId="6274206E" w14:textId="5405A174"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Noted</w:t>
            </w:r>
          </w:p>
        </w:tc>
      </w:tr>
      <w:tr w:rsidR="00614146" w:rsidRPr="009D05E3" w14:paraId="04315C14" w14:textId="77777777" w:rsidTr="00FC2C40">
        <w:tc>
          <w:tcPr>
            <w:tcW w:w="1886" w:type="dxa"/>
            <w:vAlign w:val="bottom"/>
          </w:tcPr>
          <w:p w14:paraId="3B550795" w14:textId="1AA868BD" w:rsidR="00614146" w:rsidRPr="009D05E3" w:rsidRDefault="00614146" w:rsidP="00614146">
            <w:pPr>
              <w:spacing w:after="0"/>
              <w:jc w:val="center"/>
              <w:rPr>
                <w:rFonts w:ascii="Arial" w:hAnsi="Arial" w:cs="Arial"/>
                <w:lang w:val="en-GB"/>
              </w:rPr>
            </w:pPr>
            <w:r>
              <w:rPr>
                <w:rFonts w:ascii="Arial" w:hAnsi="Arial" w:cs="Arial"/>
                <w:lang w:val="en-GB"/>
              </w:rPr>
              <w:t>132</w:t>
            </w:r>
          </w:p>
        </w:tc>
        <w:tc>
          <w:tcPr>
            <w:tcW w:w="2078" w:type="dxa"/>
          </w:tcPr>
          <w:p w14:paraId="4810A3C3" w14:textId="21713E34" w:rsidR="00614146" w:rsidRPr="00F21833" w:rsidRDefault="00614146" w:rsidP="00614146">
            <w:pPr>
              <w:spacing w:after="0" w:line="240" w:lineRule="auto"/>
              <w:rPr>
                <w:rFonts w:ascii="Arial" w:hAnsi="Arial" w:cs="Arial"/>
                <w:lang w:val="en-GB"/>
              </w:rPr>
            </w:pPr>
            <w:r w:rsidRPr="00F21833">
              <w:rPr>
                <w:rFonts w:ascii="Arial" w:hAnsi="Arial" w:cs="Arial"/>
                <w:lang w:val="en-GB"/>
              </w:rPr>
              <w:t>FirstRand</w:t>
            </w:r>
          </w:p>
        </w:tc>
        <w:tc>
          <w:tcPr>
            <w:tcW w:w="2691" w:type="dxa"/>
          </w:tcPr>
          <w:p w14:paraId="4167585D" w14:textId="290A1F4C" w:rsidR="00614146" w:rsidRPr="00F21833" w:rsidRDefault="00614146" w:rsidP="00614146">
            <w:pPr>
              <w:spacing w:after="0" w:line="240" w:lineRule="auto"/>
              <w:rPr>
                <w:rFonts w:ascii="Arial" w:hAnsi="Arial" w:cs="Arial"/>
                <w:lang w:val="en-GB"/>
              </w:rPr>
            </w:pPr>
            <w:r w:rsidRPr="00F21833">
              <w:rPr>
                <w:rFonts w:ascii="Arial" w:hAnsi="Arial" w:cs="Arial"/>
                <w:lang w:val="en-GB"/>
              </w:rPr>
              <w:t>-</w:t>
            </w:r>
          </w:p>
        </w:tc>
        <w:tc>
          <w:tcPr>
            <w:tcW w:w="7903" w:type="dxa"/>
          </w:tcPr>
          <w:p w14:paraId="3E0DEF10" w14:textId="7A93A71E"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 comment</w:t>
            </w:r>
          </w:p>
        </w:tc>
        <w:tc>
          <w:tcPr>
            <w:tcW w:w="6416" w:type="dxa"/>
          </w:tcPr>
          <w:p w14:paraId="379903BE" w14:textId="691A3A4E"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Noted</w:t>
            </w:r>
          </w:p>
        </w:tc>
      </w:tr>
      <w:tr w:rsidR="00614146" w:rsidRPr="009D05E3" w14:paraId="63604FF0" w14:textId="04C2921B" w:rsidTr="00FC2C40">
        <w:tc>
          <w:tcPr>
            <w:tcW w:w="1886" w:type="dxa"/>
            <w:vAlign w:val="bottom"/>
          </w:tcPr>
          <w:p w14:paraId="75935B2D" w14:textId="03FB0325" w:rsidR="00614146" w:rsidRPr="009D05E3" w:rsidRDefault="00614146" w:rsidP="00614146">
            <w:pPr>
              <w:spacing w:after="0"/>
              <w:jc w:val="center"/>
              <w:rPr>
                <w:rFonts w:ascii="Arial" w:hAnsi="Arial" w:cs="Arial"/>
                <w:lang w:val="en-GB"/>
              </w:rPr>
            </w:pPr>
            <w:r>
              <w:rPr>
                <w:rFonts w:ascii="Arial" w:hAnsi="Arial" w:cs="Arial"/>
                <w:lang w:val="en-GB"/>
              </w:rPr>
              <w:t>133</w:t>
            </w:r>
          </w:p>
        </w:tc>
        <w:tc>
          <w:tcPr>
            <w:tcW w:w="2078" w:type="dxa"/>
          </w:tcPr>
          <w:p w14:paraId="59BF75B2" w14:textId="5ADEEA38" w:rsidR="00614146" w:rsidRPr="00F21833" w:rsidRDefault="004760D1" w:rsidP="00614146">
            <w:pPr>
              <w:spacing w:after="0" w:line="240" w:lineRule="auto"/>
              <w:rPr>
                <w:rFonts w:ascii="Arial" w:hAnsi="Arial" w:cs="Arial"/>
                <w:lang w:val="en-GB"/>
              </w:rPr>
            </w:pPr>
            <w:r w:rsidRPr="00F21833">
              <w:rPr>
                <w:rFonts w:ascii="Arial" w:hAnsi="Arial" w:cs="Arial"/>
                <w:lang w:val="en-GB"/>
              </w:rPr>
              <w:t>Grindrod</w:t>
            </w:r>
          </w:p>
        </w:tc>
        <w:tc>
          <w:tcPr>
            <w:tcW w:w="2691" w:type="dxa"/>
          </w:tcPr>
          <w:p w14:paraId="311DB32D" w14:textId="035C91EE" w:rsidR="00614146" w:rsidRPr="00F21833" w:rsidRDefault="00614146" w:rsidP="00614146">
            <w:pPr>
              <w:spacing w:after="0" w:line="240" w:lineRule="auto"/>
              <w:rPr>
                <w:rFonts w:ascii="Arial" w:hAnsi="Arial" w:cs="Arial"/>
                <w:lang w:val="en-GB"/>
              </w:rPr>
            </w:pPr>
            <w:r w:rsidRPr="00F21833">
              <w:rPr>
                <w:rFonts w:ascii="Arial" w:hAnsi="Arial" w:cs="Arial"/>
                <w:lang w:val="en-GB"/>
              </w:rPr>
              <w:t>-</w:t>
            </w:r>
          </w:p>
        </w:tc>
        <w:tc>
          <w:tcPr>
            <w:tcW w:w="7903" w:type="dxa"/>
          </w:tcPr>
          <w:p w14:paraId="5B6F997E" w14:textId="11571701" w:rsidR="00614146" w:rsidRPr="008D1C50" w:rsidRDefault="00614146" w:rsidP="00614146">
            <w:pPr>
              <w:spacing w:after="0" w:line="240" w:lineRule="auto"/>
              <w:rPr>
                <w:rFonts w:ascii="Arial" w:hAnsi="Arial" w:cs="Arial"/>
                <w:lang w:val="en-GB"/>
              </w:rPr>
            </w:pPr>
            <w:r w:rsidRPr="008D1C50">
              <w:rPr>
                <w:rFonts w:ascii="Arial" w:hAnsi="Arial" w:cs="Arial"/>
                <w:lang w:val="en-GB"/>
              </w:rPr>
              <w:t>No comment</w:t>
            </w:r>
          </w:p>
        </w:tc>
        <w:tc>
          <w:tcPr>
            <w:tcW w:w="6416" w:type="dxa"/>
          </w:tcPr>
          <w:p w14:paraId="376BD619" w14:textId="551A3609"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Noted</w:t>
            </w:r>
          </w:p>
        </w:tc>
      </w:tr>
      <w:tr w:rsidR="00614146" w:rsidRPr="009D05E3" w14:paraId="137D7715" w14:textId="77777777" w:rsidTr="00FC2C40">
        <w:tc>
          <w:tcPr>
            <w:tcW w:w="1886" w:type="dxa"/>
            <w:vAlign w:val="bottom"/>
          </w:tcPr>
          <w:p w14:paraId="752E2EFE" w14:textId="5AC8E322" w:rsidR="00614146" w:rsidRPr="009D05E3" w:rsidRDefault="00614146" w:rsidP="00614146">
            <w:pPr>
              <w:spacing w:after="0"/>
              <w:jc w:val="center"/>
              <w:rPr>
                <w:rFonts w:ascii="Arial" w:hAnsi="Arial" w:cs="Arial"/>
                <w:lang w:val="en-GB"/>
              </w:rPr>
            </w:pPr>
            <w:r>
              <w:rPr>
                <w:rFonts w:ascii="Arial" w:hAnsi="Arial" w:cs="Arial"/>
                <w:lang w:val="en-GB"/>
              </w:rPr>
              <w:t>134</w:t>
            </w:r>
          </w:p>
        </w:tc>
        <w:tc>
          <w:tcPr>
            <w:tcW w:w="2078" w:type="dxa"/>
          </w:tcPr>
          <w:p w14:paraId="07CDC475" w14:textId="1D37E192" w:rsidR="00614146" w:rsidRPr="00F21833" w:rsidRDefault="00614146" w:rsidP="00614146">
            <w:pPr>
              <w:spacing w:after="0" w:line="240" w:lineRule="auto"/>
              <w:rPr>
                <w:rFonts w:ascii="Arial" w:hAnsi="Arial" w:cs="Arial"/>
                <w:lang w:val="en-GB"/>
              </w:rPr>
            </w:pPr>
            <w:r w:rsidRPr="00F21833">
              <w:rPr>
                <w:rFonts w:ascii="Arial" w:hAnsi="Arial" w:cs="Arial"/>
                <w:lang w:val="en-GB"/>
              </w:rPr>
              <w:t>Habib Bank</w:t>
            </w:r>
          </w:p>
        </w:tc>
        <w:tc>
          <w:tcPr>
            <w:tcW w:w="2691" w:type="dxa"/>
          </w:tcPr>
          <w:p w14:paraId="7BF66B7B" w14:textId="2E999780" w:rsidR="00614146" w:rsidRPr="00F21833" w:rsidRDefault="00614146" w:rsidP="00614146">
            <w:pPr>
              <w:spacing w:after="0" w:line="240" w:lineRule="auto"/>
              <w:rPr>
                <w:rFonts w:ascii="Arial" w:hAnsi="Arial" w:cs="Arial"/>
                <w:lang w:val="en-GB"/>
              </w:rPr>
            </w:pPr>
            <w:r w:rsidRPr="00F21833">
              <w:rPr>
                <w:rFonts w:ascii="Arial" w:hAnsi="Arial" w:cs="Arial"/>
                <w:lang w:val="en-GB"/>
              </w:rPr>
              <w:t>-</w:t>
            </w:r>
          </w:p>
        </w:tc>
        <w:tc>
          <w:tcPr>
            <w:tcW w:w="7903" w:type="dxa"/>
          </w:tcPr>
          <w:p w14:paraId="3786499E" w14:textId="5555D2C7"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 comment</w:t>
            </w:r>
          </w:p>
        </w:tc>
        <w:tc>
          <w:tcPr>
            <w:tcW w:w="6416" w:type="dxa"/>
          </w:tcPr>
          <w:p w14:paraId="35C2F6A9" w14:textId="58840EDB"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Noted</w:t>
            </w:r>
          </w:p>
        </w:tc>
      </w:tr>
      <w:tr w:rsidR="00614146" w:rsidRPr="009D05E3" w14:paraId="3EF158EE" w14:textId="77777777" w:rsidTr="00FC2C40">
        <w:tc>
          <w:tcPr>
            <w:tcW w:w="1886" w:type="dxa"/>
            <w:vAlign w:val="bottom"/>
          </w:tcPr>
          <w:p w14:paraId="4A36D6C4" w14:textId="20BDE510" w:rsidR="00614146" w:rsidRPr="009D05E3" w:rsidRDefault="00614146" w:rsidP="00614146">
            <w:pPr>
              <w:spacing w:after="0"/>
              <w:jc w:val="center"/>
              <w:rPr>
                <w:rFonts w:ascii="Arial" w:hAnsi="Arial" w:cs="Arial"/>
                <w:lang w:val="en-GB"/>
              </w:rPr>
            </w:pPr>
            <w:r>
              <w:rPr>
                <w:rFonts w:ascii="Arial" w:hAnsi="Arial" w:cs="Arial"/>
                <w:lang w:val="en-GB"/>
              </w:rPr>
              <w:t>135</w:t>
            </w:r>
          </w:p>
        </w:tc>
        <w:tc>
          <w:tcPr>
            <w:tcW w:w="2078" w:type="dxa"/>
          </w:tcPr>
          <w:p w14:paraId="34D9F40C" w14:textId="03D5587D" w:rsidR="00614146" w:rsidRPr="00F21833" w:rsidRDefault="00614146" w:rsidP="00614146">
            <w:pPr>
              <w:spacing w:after="0" w:line="240" w:lineRule="auto"/>
              <w:rPr>
                <w:rFonts w:ascii="Arial" w:hAnsi="Arial" w:cs="Arial"/>
                <w:lang w:val="en-GB"/>
              </w:rPr>
            </w:pPr>
            <w:r w:rsidRPr="00F21833">
              <w:rPr>
                <w:rFonts w:ascii="Arial" w:hAnsi="Arial" w:cs="Arial"/>
                <w:lang w:val="en-GB"/>
              </w:rPr>
              <w:t>JSE</w:t>
            </w:r>
          </w:p>
        </w:tc>
        <w:tc>
          <w:tcPr>
            <w:tcW w:w="2691" w:type="dxa"/>
          </w:tcPr>
          <w:p w14:paraId="2874463B" w14:textId="20F32620" w:rsidR="00614146" w:rsidRPr="00F21833" w:rsidRDefault="00614146" w:rsidP="00614146">
            <w:pPr>
              <w:spacing w:after="0" w:line="240" w:lineRule="auto"/>
              <w:rPr>
                <w:rFonts w:ascii="Arial" w:hAnsi="Arial" w:cs="Arial"/>
                <w:lang w:val="en-GB"/>
              </w:rPr>
            </w:pPr>
            <w:r w:rsidRPr="00F21833">
              <w:rPr>
                <w:rFonts w:ascii="Arial" w:hAnsi="Arial" w:cs="Arial"/>
                <w:lang w:val="en-GB"/>
              </w:rPr>
              <w:t>-</w:t>
            </w:r>
          </w:p>
        </w:tc>
        <w:tc>
          <w:tcPr>
            <w:tcW w:w="7903" w:type="dxa"/>
          </w:tcPr>
          <w:p w14:paraId="39B2D0DA" w14:textId="2B0A6A40" w:rsidR="00614146" w:rsidRPr="008D1C50" w:rsidRDefault="00614146" w:rsidP="00614146">
            <w:pPr>
              <w:spacing w:after="0" w:line="240" w:lineRule="auto"/>
              <w:rPr>
                <w:rFonts w:ascii="Arial" w:hAnsi="Arial" w:cs="Arial"/>
                <w:lang w:val="en-GB"/>
              </w:rPr>
            </w:pPr>
            <w:r w:rsidRPr="008D1C50">
              <w:rPr>
                <w:rFonts w:ascii="Arial" w:hAnsi="Arial" w:cs="Arial"/>
                <w:lang w:val="en-GB"/>
              </w:rPr>
              <w:t>No comment</w:t>
            </w:r>
          </w:p>
        </w:tc>
        <w:tc>
          <w:tcPr>
            <w:tcW w:w="6416" w:type="dxa"/>
          </w:tcPr>
          <w:p w14:paraId="1C03200D" w14:textId="499ADDCF"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Noted</w:t>
            </w:r>
          </w:p>
        </w:tc>
      </w:tr>
      <w:tr w:rsidR="00614146" w:rsidRPr="009D05E3" w14:paraId="45D13C06" w14:textId="77777777" w:rsidTr="00FC2C40">
        <w:tc>
          <w:tcPr>
            <w:tcW w:w="1886" w:type="dxa"/>
            <w:vAlign w:val="bottom"/>
          </w:tcPr>
          <w:p w14:paraId="2C61A17E" w14:textId="04D7B875" w:rsidR="00614146" w:rsidRPr="009D05E3" w:rsidRDefault="00614146" w:rsidP="00614146">
            <w:pPr>
              <w:spacing w:after="0"/>
              <w:jc w:val="center"/>
              <w:rPr>
                <w:rFonts w:ascii="Arial" w:hAnsi="Arial" w:cs="Arial"/>
                <w:lang w:val="en-GB"/>
              </w:rPr>
            </w:pPr>
            <w:r>
              <w:rPr>
                <w:rFonts w:ascii="Arial" w:hAnsi="Arial" w:cs="Arial"/>
                <w:lang w:val="en-GB"/>
              </w:rPr>
              <w:t>136</w:t>
            </w:r>
          </w:p>
        </w:tc>
        <w:tc>
          <w:tcPr>
            <w:tcW w:w="2078" w:type="dxa"/>
          </w:tcPr>
          <w:p w14:paraId="387D3278" w14:textId="2AB05A99" w:rsidR="00614146" w:rsidRPr="00F21833" w:rsidRDefault="00614146" w:rsidP="00614146">
            <w:pPr>
              <w:spacing w:after="0" w:line="240" w:lineRule="auto"/>
              <w:rPr>
                <w:rFonts w:ascii="Arial" w:hAnsi="Arial" w:cs="Arial"/>
                <w:lang w:val="en-GB"/>
              </w:rPr>
            </w:pPr>
            <w:r w:rsidRPr="00F21833">
              <w:rPr>
                <w:rFonts w:ascii="Arial" w:hAnsi="Arial" w:cs="Arial"/>
                <w:lang w:val="en-GB"/>
              </w:rPr>
              <w:t>MMH</w:t>
            </w:r>
          </w:p>
        </w:tc>
        <w:tc>
          <w:tcPr>
            <w:tcW w:w="2691" w:type="dxa"/>
          </w:tcPr>
          <w:p w14:paraId="3605FB50" w14:textId="7F2B40E2" w:rsidR="00614146" w:rsidRPr="00F21833" w:rsidRDefault="00614146" w:rsidP="00614146">
            <w:pPr>
              <w:spacing w:after="0" w:line="240" w:lineRule="auto"/>
              <w:rPr>
                <w:rFonts w:ascii="Arial" w:hAnsi="Arial" w:cs="Arial"/>
                <w:lang w:val="en-GB"/>
              </w:rPr>
            </w:pPr>
            <w:r w:rsidRPr="00F21833">
              <w:rPr>
                <w:rFonts w:ascii="Arial" w:hAnsi="Arial" w:cs="Arial"/>
                <w:lang w:val="en-GB"/>
              </w:rPr>
              <w:t>-</w:t>
            </w:r>
          </w:p>
        </w:tc>
        <w:tc>
          <w:tcPr>
            <w:tcW w:w="7903" w:type="dxa"/>
          </w:tcPr>
          <w:p w14:paraId="3BCF4E0A" w14:textId="39652340"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 comment</w:t>
            </w:r>
          </w:p>
        </w:tc>
        <w:tc>
          <w:tcPr>
            <w:tcW w:w="6416" w:type="dxa"/>
          </w:tcPr>
          <w:p w14:paraId="1AF1B59E" w14:textId="78061F8B"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Noted</w:t>
            </w:r>
          </w:p>
        </w:tc>
      </w:tr>
      <w:tr w:rsidR="00614146" w:rsidRPr="009D05E3" w14:paraId="732BF052" w14:textId="77777777" w:rsidTr="00FC2C40">
        <w:tc>
          <w:tcPr>
            <w:tcW w:w="1886" w:type="dxa"/>
            <w:vAlign w:val="bottom"/>
          </w:tcPr>
          <w:p w14:paraId="4D5E4DE0" w14:textId="21605422" w:rsidR="00614146" w:rsidRPr="009D05E3" w:rsidRDefault="00614146" w:rsidP="00614146">
            <w:pPr>
              <w:spacing w:after="0"/>
              <w:jc w:val="center"/>
              <w:rPr>
                <w:rFonts w:ascii="Arial" w:hAnsi="Arial" w:cs="Arial"/>
                <w:lang w:val="en-GB"/>
              </w:rPr>
            </w:pPr>
            <w:r>
              <w:rPr>
                <w:rFonts w:ascii="Arial" w:hAnsi="Arial" w:cs="Arial"/>
                <w:lang w:val="en-GB"/>
              </w:rPr>
              <w:t>137</w:t>
            </w:r>
          </w:p>
        </w:tc>
        <w:tc>
          <w:tcPr>
            <w:tcW w:w="2078" w:type="dxa"/>
          </w:tcPr>
          <w:p w14:paraId="35DE773F" w14:textId="4A907959" w:rsidR="00614146" w:rsidRPr="00F21833" w:rsidRDefault="00614146" w:rsidP="00614146">
            <w:pPr>
              <w:spacing w:after="0" w:line="240" w:lineRule="auto"/>
              <w:rPr>
                <w:rFonts w:ascii="Arial" w:hAnsi="Arial" w:cs="Arial"/>
                <w:lang w:val="en-GB"/>
              </w:rPr>
            </w:pPr>
            <w:r w:rsidRPr="00F21833">
              <w:rPr>
                <w:rFonts w:ascii="Arial" w:hAnsi="Arial" w:cs="Arial"/>
                <w:lang w:val="en-GB"/>
              </w:rPr>
              <w:t>Nedbank</w:t>
            </w:r>
          </w:p>
        </w:tc>
        <w:tc>
          <w:tcPr>
            <w:tcW w:w="2691" w:type="dxa"/>
          </w:tcPr>
          <w:p w14:paraId="329182CE" w14:textId="4BB7CFC8" w:rsidR="00614146" w:rsidRPr="00F21833" w:rsidRDefault="00614146" w:rsidP="00614146">
            <w:pPr>
              <w:spacing w:after="0" w:line="240" w:lineRule="auto"/>
              <w:rPr>
                <w:rFonts w:ascii="Arial" w:hAnsi="Arial" w:cs="Arial"/>
                <w:lang w:val="en-GB"/>
              </w:rPr>
            </w:pPr>
            <w:r w:rsidRPr="00F21833">
              <w:rPr>
                <w:rFonts w:ascii="Arial" w:hAnsi="Arial" w:cs="Arial"/>
                <w:lang w:val="en-GB"/>
              </w:rPr>
              <w:t>-</w:t>
            </w:r>
          </w:p>
        </w:tc>
        <w:tc>
          <w:tcPr>
            <w:tcW w:w="7903" w:type="dxa"/>
          </w:tcPr>
          <w:p w14:paraId="1353E74A" w14:textId="65AB0F02" w:rsidR="00614146" w:rsidRPr="008D1C50" w:rsidRDefault="00614146" w:rsidP="00614146">
            <w:pPr>
              <w:spacing w:after="0" w:line="240" w:lineRule="auto"/>
              <w:rPr>
                <w:rFonts w:ascii="Arial" w:hAnsi="Arial" w:cs="Arial"/>
                <w:lang w:val="en-GB"/>
              </w:rPr>
            </w:pPr>
            <w:r w:rsidRPr="008D1C50">
              <w:rPr>
                <w:rFonts w:ascii="Arial" w:hAnsi="Arial" w:cs="Arial"/>
                <w:lang w:val="en-GB"/>
              </w:rPr>
              <w:t>No comment</w:t>
            </w:r>
          </w:p>
        </w:tc>
        <w:tc>
          <w:tcPr>
            <w:tcW w:w="6416" w:type="dxa"/>
          </w:tcPr>
          <w:p w14:paraId="14DCBC2E" w14:textId="6E6BBA62" w:rsidR="00614146" w:rsidRPr="008D1C50" w:rsidRDefault="00614146" w:rsidP="00614146">
            <w:pPr>
              <w:spacing w:after="0" w:line="240" w:lineRule="auto"/>
              <w:jc w:val="both"/>
              <w:rPr>
                <w:rFonts w:ascii="Arial" w:hAnsi="Arial" w:cs="Arial"/>
                <w:lang w:val="en-GB"/>
              </w:rPr>
            </w:pPr>
            <w:r w:rsidRPr="008D1C50">
              <w:rPr>
                <w:rFonts w:ascii="Arial" w:hAnsi="Arial" w:cs="Arial"/>
                <w:lang w:val="en-GB"/>
              </w:rPr>
              <w:t>Noted</w:t>
            </w:r>
          </w:p>
        </w:tc>
      </w:tr>
      <w:tr w:rsidR="00614146" w:rsidRPr="009D05E3" w14:paraId="2EB8E4BE" w14:textId="77777777" w:rsidTr="00515BD8">
        <w:tc>
          <w:tcPr>
            <w:tcW w:w="1886" w:type="dxa"/>
            <w:vAlign w:val="bottom"/>
          </w:tcPr>
          <w:p w14:paraId="4D6729FE" w14:textId="27721A39" w:rsidR="00614146" w:rsidRPr="009D05E3" w:rsidRDefault="00614146" w:rsidP="00FA7D9B">
            <w:pPr>
              <w:spacing w:after="1800"/>
              <w:jc w:val="center"/>
              <w:rPr>
                <w:rFonts w:ascii="Arial" w:hAnsi="Arial" w:cs="Arial"/>
                <w:lang w:val="en-GB"/>
              </w:rPr>
            </w:pPr>
            <w:r>
              <w:rPr>
                <w:rFonts w:ascii="Arial" w:hAnsi="Arial" w:cs="Arial"/>
                <w:lang w:val="en-GB"/>
              </w:rPr>
              <w:t>138</w:t>
            </w:r>
          </w:p>
        </w:tc>
        <w:tc>
          <w:tcPr>
            <w:tcW w:w="2078" w:type="dxa"/>
          </w:tcPr>
          <w:p w14:paraId="09C2E37F" w14:textId="238C160A" w:rsidR="00614146" w:rsidRPr="009D05E3" w:rsidRDefault="00614146" w:rsidP="00614146">
            <w:pPr>
              <w:spacing w:after="0" w:line="240" w:lineRule="auto"/>
              <w:rPr>
                <w:rFonts w:ascii="Arial" w:hAnsi="Arial" w:cs="Arial"/>
                <w:sz w:val="20"/>
                <w:szCs w:val="20"/>
                <w:lang w:val="en-GB"/>
              </w:rPr>
            </w:pPr>
            <w:r>
              <w:rPr>
                <w:rFonts w:ascii="Arial" w:hAnsi="Arial" w:cs="Arial"/>
                <w:sz w:val="20"/>
                <w:szCs w:val="20"/>
                <w:lang w:val="en-GB"/>
              </w:rPr>
              <w:t>BASA</w:t>
            </w:r>
          </w:p>
        </w:tc>
        <w:tc>
          <w:tcPr>
            <w:tcW w:w="2691" w:type="dxa"/>
          </w:tcPr>
          <w:p w14:paraId="149E3A09" w14:textId="0BB04DF0" w:rsidR="00614146" w:rsidRPr="009D05E3" w:rsidRDefault="00614146" w:rsidP="00614146">
            <w:pPr>
              <w:spacing w:after="0" w:line="240" w:lineRule="auto"/>
              <w:rPr>
                <w:rFonts w:ascii="Arial" w:hAnsi="Arial" w:cs="Arial"/>
                <w:sz w:val="20"/>
                <w:szCs w:val="20"/>
              </w:rPr>
            </w:pPr>
            <w:r>
              <w:rPr>
                <w:rFonts w:ascii="Arial" w:hAnsi="Arial" w:cs="Arial"/>
                <w:sz w:val="20"/>
                <w:szCs w:val="20"/>
              </w:rPr>
              <w:t>13.2</w:t>
            </w:r>
          </w:p>
        </w:tc>
        <w:tc>
          <w:tcPr>
            <w:tcW w:w="7903" w:type="dxa"/>
          </w:tcPr>
          <w:p w14:paraId="152515E8" w14:textId="1CF9C4D0" w:rsidR="00614146" w:rsidRPr="008D1C50" w:rsidRDefault="00614146" w:rsidP="00614146">
            <w:pPr>
              <w:spacing w:after="0" w:line="240" w:lineRule="auto"/>
              <w:rPr>
                <w:rFonts w:ascii="Arial" w:hAnsi="Arial" w:cs="Arial"/>
              </w:rPr>
            </w:pPr>
            <w:r w:rsidRPr="008D1C50">
              <w:rPr>
                <w:rFonts w:ascii="Arial" w:hAnsi="Arial" w:cs="Arial"/>
                <w:b/>
                <w:bCs/>
                <w:lang w:val="en-GB"/>
              </w:rPr>
              <w:t>Request</w:t>
            </w:r>
            <w:r w:rsidRPr="008D1C50">
              <w:rPr>
                <w:rFonts w:ascii="Arial" w:hAnsi="Arial" w:cs="Arial"/>
                <w:lang w:val="en-GB"/>
              </w:rPr>
              <w:t xml:space="preserve"> the PA to consider publication of the prescribed format for industry consultation prior to its finalisation and publication of the reporting requirements on the PA’s website.</w:t>
            </w:r>
            <w:r w:rsidRPr="008D1C50">
              <w:rPr>
                <w:rFonts w:ascii="Arial" w:hAnsi="Arial" w:cs="Arial"/>
                <w:bCs/>
              </w:rPr>
              <w:t xml:space="preserve">  </w:t>
            </w:r>
          </w:p>
        </w:tc>
        <w:tc>
          <w:tcPr>
            <w:tcW w:w="6416" w:type="dxa"/>
            <w:shd w:val="clear" w:color="auto" w:fill="auto"/>
          </w:tcPr>
          <w:p w14:paraId="7B345B25" w14:textId="3577CD2D" w:rsidR="00FA7D9B" w:rsidRDefault="00D51264" w:rsidP="00614146">
            <w:pPr>
              <w:spacing w:after="0" w:line="240" w:lineRule="auto"/>
              <w:jc w:val="both"/>
              <w:rPr>
                <w:rFonts w:ascii="Arial" w:eastAsia="Times New Roman" w:hAnsi="Arial" w:cs="Arial"/>
                <w:lang w:val="en-GB"/>
              </w:rPr>
            </w:pPr>
            <w:r>
              <w:rPr>
                <w:rFonts w:ascii="Arial" w:eastAsia="Times New Roman" w:hAnsi="Arial" w:cs="Arial"/>
                <w:lang w:val="en-GB"/>
              </w:rPr>
              <w:t xml:space="preserve">Noted. The </w:t>
            </w:r>
            <w:r w:rsidR="00DA560E">
              <w:rPr>
                <w:rFonts w:ascii="Arial" w:eastAsia="Times New Roman" w:hAnsi="Arial" w:cs="Arial"/>
                <w:lang w:val="en-GB"/>
              </w:rPr>
              <w:t>Authorities</w:t>
            </w:r>
            <w:r>
              <w:rPr>
                <w:rFonts w:ascii="Arial" w:eastAsia="Times New Roman" w:hAnsi="Arial" w:cs="Arial"/>
                <w:lang w:val="en-GB"/>
              </w:rPr>
              <w:t xml:space="preserve"> will consider the </w:t>
            </w:r>
            <w:r w:rsidR="004255B0">
              <w:rPr>
                <w:rFonts w:ascii="Arial" w:eastAsia="Times New Roman" w:hAnsi="Arial" w:cs="Arial"/>
                <w:lang w:val="en-GB"/>
              </w:rPr>
              <w:t xml:space="preserve">respondents’ </w:t>
            </w:r>
            <w:r>
              <w:rPr>
                <w:rFonts w:ascii="Arial" w:eastAsia="Times New Roman" w:hAnsi="Arial" w:cs="Arial"/>
                <w:lang w:val="en-GB"/>
              </w:rPr>
              <w:t xml:space="preserve">request to </w:t>
            </w:r>
            <w:r w:rsidR="004255B0">
              <w:rPr>
                <w:rFonts w:ascii="Arial" w:eastAsia="Times New Roman" w:hAnsi="Arial" w:cs="Arial"/>
                <w:lang w:val="en-GB"/>
              </w:rPr>
              <w:t>have a consultation process</w:t>
            </w:r>
            <w:r w:rsidR="00DA0244">
              <w:rPr>
                <w:rFonts w:ascii="Arial" w:eastAsia="Times New Roman" w:hAnsi="Arial" w:cs="Arial"/>
                <w:lang w:val="en-GB"/>
              </w:rPr>
              <w:t xml:space="preserve"> on the </w:t>
            </w:r>
            <w:r w:rsidR="00FA7D9B">
              <w:rPr>
                <w:rFonts w:ascii="Arial" w:eastAsia="Times New Roman" w:hAnsi="Arial" w:cs="Arial"/>
                <w:lang w:val="en-GB"/>
              </w:rPr>
              <w:t>prescribed reporting requirements before finalisation.</w:t>
            </w:r>
          </w:p>
          <w:p w14:paraId="132DC061" w14:textId="77777777" w:rsidR="00FA7D9B" w:rsidRDefault="00FA7D9B" w:rsidP="00FA7D9B">
            <w:pPr>
              <w:spacing w:after="0" w:line="240" w:lineRule="auto"/>
              <w:jc w:val="both"/>
              <w:rPr>
                <w:rFonts w:ascii="Arial" w:eastAsia="Times New Roman" w:hAnsi="Arial" w:cs="Arial"/>
                <w:lang w:val="en-GB"/>
              </w:rPr>
            </w:pPr>
          </w:p>
          <w:p w14:paraId="4AC62652" w14:textId="3C42A58C" w:rsidR="00614146" w:rsidRPr="008D1C50" w:rsidRDefault="004255B0" w:rsidP="00FA7D9B">
            <w:pPr>
              <w:spacing w:after="0" w:line="240" w:lineRule="auto"/>
              <w:jc w:val="both"/>
              <w:rPr>
                <w:rFonts w:ascii="Arial" w:eastAsia="Times New Roman" w:hAnsi="Arial" w:cs="Arial"/>
                <w:lang w:val="en-GB"/>
              </w:rPr>
            </w:pPr>
            <w:r>
              <w:rPr>
                <w:rFonts w:ascii="Arial" w:eastAsia="Times New Roman" w:hAnsi="Arial" w:cs="Arial"/>
                <w:lang w:val="en-GB"/>
              </w:rPr>
              <w:t xml:space="preserve">The form, manner and period for regulatory reporting will be published </w:t>
            </w:r>
            <w:r w:rsidR="00FA7D9B">
              <w:rPr>
                <w:rFonts w:ascii="Arial" w:eastAsia="Times New Roman" w:hAnsi="Arial" w:cs="Arial"/>
                <w:lang w:val="en-GB"/>
              </w:rPr>
              <w:t>o</w:t>
            </w:r>
            <w:r>
              <w:rPr>
                <w:rFonts w:ascii="Arial" w:eastAsia="Times New Roman" w:hAnsi="Arial" w:cs="Arial"/>
                <w:lang w:val="en-GB"/>
              </w:rPr>
              <w:t xml:space="preserve">n the </w:t>
            </w:r>
            <w:r w:rsidR="00E937B2">
              <w:rPr>
                <w:rFonts w:ascii="Arial" w:eastAsia="Times New Roman" w:hAnsi="Arial" w:cs="Arial"/>
                <w:lang w:val="en-GB"/>
              </w:rPr>
              <w:t>Prudential Authority’s</w:t>
            </w:r>
            <w:r>
              <w:rPr>
                <w:rFonts w:ascii="Arial" w:eastAsia="Times New Roman" w:hAnsi="Arial" w:cs="Arial"/>
                <w:lang w:val="en-GB"/>
              </w:rPr>
              <w:t xml:space="preserve"> website, as stated</w:t>
            </w:r>
            <w:r w:rsidR="00C048C5">
              <w:rPr>
                <w:rFonts w:ascii="Arial" w:eastAsia="Times New Roman" w:hAnsi="Arial" w:cs="Arial"/>
                <w:lang w:val="en-GB"/>
              </w:rPr>
              <w:t xml:space="preserve"> under 13</w:t>
            </w:r>
            <w:r>
              <w:rPr>
                <w:rFonts w:ascii="Arial" w:eastAsia="Times New Roman" w:hAnsi="Arial" w:cs="Arial"/>
                <w:lang w:val="en-GB"/>
              </w:rPr>
              <w:t>.2</w:t>
            </w:r>
            <w:r w:rsidR="005F042D">
              <w:rPr>
                <w:rFonts w:ascii="Arial" w:eastAsia="Times New Roman" w:hAnsi="Arial" w:cs="Arial"/>
                <w:lang w:val="en-GB"/>
              </w:rPr>
              <w:t xml:space="preserve"> (now section 12.2) </w:t>
            </w:r>
            <w:r w:rsidR="00C048C5">
              <w:rPr>
                <w:rFonts w:ascii="Arial" w:eastAsia="Times New Roman" w:hAnsi="Arial" w:cs="Arial"/>
                <w:lang w:val="en-GB"/>
              </w:rPr>
              <w:t>of the Standard.</w:t>
            </w:r>
          </w:p>
        </w:tc>
      </w:tr>
      <w:tr w:rsidR="00AA1BCB" w:rsidRPr="009D05E3" w14:paraId="241E16E4" w14:textId="65197BAD" w:rsidTr="00532AB8">
        <w:tc>
          <w:tcPr>
            <w:tcW w:w="20974" w:type="dxa"/>
            <w:gridSpan w:val="5"/>
            <w:shd w:val="clear" w:color="auto" w:fill="D9D9D9" w:themeFill="background1" w:themeFillShade="D9"/>
          </w:tcPr>
          <w:p w14:paraId="1DAA7EE8" w14:textId="2F084821" w:rsidR="00AA1BCB" w:rsidRPr="009D05E3" w:rsidRDefault="00515BD8" w:rsidP="00AA1BCB">
            <w:pPr>
              <w:pStyle w:val="Heading2"/>
              <w:spacing w:before="0" w:line="240" w:lineRule="auto"/>
              <w:jc w:val="center"/>
              <w:outlineLvl w:val="1"/>
              <w:rPr>
                <w:rFonts w:ascii="Arial" w:hAnsi="Arial" w:cs="Arial"/>
                <w:color w:val="auto"/>
                <w:sz w:val="36"/>
                <w:szCs w:val="36"/>
                <w:lang w:val="en-GB"/>
              </w:rPr>
            </w:pPr>
            <w:r>
              <w:rPr>
                <w:rFonts w:ascii="Arial" w:hAnsi="Arial" w:cs="Arial"/>
                <w:color w:val="auto"/>
                <w:sz w:val="36"/>
                <w:szCs w:val="36"/>
                <w:lang w:val="en-GB"/>
              </w:rPr>
              <w:lastRenderedPageBreak/>
              <w:t>G</w:t>
            </w:r>
            <w:r w:rsidR="00AA1BCB" w:rsidRPr="009D05E3">
              <w:rPr>
                <w:rFonts w:ascii="Arial" w:hAnsi="Arial" w:cs="Arial"/>
                <w:color w:val="auto"/>
                <w:sz w:val="36"/>
                <w:szCs w:val="36"/>
                <w:lang w:val="en-GB"/>
              </w:rPr>
              <w:t>ENERAL COMMENTS</w:t>
            </w:r>
          </w:p>
        </w:tc>
      </w:tr>
      <w:tr w:rsidR="00614146" w:rsidRPr="009D05E3" w14:paraId="50C57C9D" w14:textId="30D342B4" w:rsidTr="00515BD8">
        <w:tc>
          <w:tcPr>
            <w:tcW w:w="1886" w:type="dxa"/>
            <w:shd w:val="clear" w:color="auto" w:fill="auto"/>
            <w:vAlign w:val="bottom"/>
          </w:tcPr>
          <w:p w14:paraId="3160F3C2" w14:textId="2AED731E" w:rsidR="00614146" w:rsidRPr="008F4722" w:rsidRDefault="00614146" w:rsidP="00224537">
            <w:pPr>
              <w:spacing w:after="12000"/>
              <w:jc w:val="center"/>
              <w:rPr>
                <w:rFonts w:ascii="Arial" w:hAnsi="Arial" w:cs="Arial"/>
                <w:lang w:val="en-GB"/>
              </w:rPr>
            </w:pPr>
            <w:r>
              <w:rPr>
                <w:rFonts w:ascii="Arial" w:hAnsi="Arial" w:cs="Arial"/>
                <w:lang w:val="en-GB"/>
              </w:rPr>
              <w:t>139</w:t>
            </w:r>
          </w:p>
        </w:tc>
        <w:tc>
          <w:tcPr>
            <w:tcW w:w="2078" w:type="dxa"/>
          </w:tcPr>
          <w:p w14:paraId="76601EF8" w14:textId="0BD4DEAD" w:rsidR="00614146" w:rsidRPr="009D05E3" w:rsidRDefault="00614146" w:rsidP="00614146">
            <w:pPr>
              <w:spacing w:after="0" w:line="240" w:lineRule="auto"/>
              <w:jc w:val="both"/>
              <w:rPr>
                <w:rFonts w:ascii="Arial" w:hAnsi="Arial" w:cs="Arial"/>
                <w:sz w:val="20"/>
                <w:szCs w:val="20"/>
                <w:lang w:val="en-GB"/>
              </w:rPr>
            </w:pPr>
            <w:r>
              <w:rPr>
                <w:rFonts w:ascii="Arial" w:hAnsi="Arial" w:cs="Arial"/>
              </w:rPr>
              <w:t>CLS</w:t>
            </w:r>
          </w:p>
        </w:tc>
        <w:tc>
          <w:tcPr>
            <w:tcW w:w="2691" w:type="dxa"/>
          </w:tcPr>
          <w:p w14:paraId="6F742587" w14:textId="1F7456CC" w:rsidR="00614146" w:rsidRPr="009D05E3" w:rsidRDefault="00614146" w:rsidP="00614146">
            <w:pPr>
              <w:spacing w:after="0" w:line="240" w:lineRule="auto"/>
              <w:jc w:val="both"/>
              <w:rPr>
                <w:rFonts w:ascii="Arial" w:hAnsi="Arial" w:cs="Arial"/>
                <w:sz w:val="20"/>
                <w:szCs w:val="20"/>
                <w:lang w:val="en-GB"/>
              </w:rPr>
            </w:pPr>
          </w:p>
        </w:tc>
        <w:tc>
          <w:tcPr>
            <w:tcW w:w="7903" w:type="dxa"/>
          </w:tcPr>
          <w:p w14:paraId="55AB8608" w14:textId="63D5C3AC" w:rsidR="00614146" w:rsidRPr="00224537" w:rsidRDefault="00614146" w:rsidP="00614146">
            <w:pPr>
              <w:spacing w:after="120"/>
              <w:rPr>
                <w:rFonts w:ascii="Arial" w:hAnsi="Arial" w:cs="Arial"/>
                <w:bCs/>
                <w:sz w:val="24"/>
                <w:szCs w:val="24"/>
                <w:lang w:val="en-US"/>
              </w:rPr>
            </w:pPr>
            <w:r w:rsidRPr="00224537">
              <w:rPr>
                <w:rFonts w:ascii="Arial" w:hAnsi="Arial" w:cs="Arial"/>
                <w:bCs/>
                <w:sz w:val="24"/>
                <w:szCs w:val="24"/>
                <w:lang w:val="en-US"/>
              </w:rPr>
              <w:t xml:space="preserve">CLS welcomes the opportunity to comment on the draft Prudential Standard RA02 – “Transfers of assets and liabilities of designated institution in resolution” published by the South African </w:t>
            </w:r>
            <w:r w:rsidR="00DA560E" w:rsidRPr="00224537">
              <w:rPr>
                <w:rFonts w:ascii="Arial" w:hAnsi="Arial" w:cs="Arial"/>
                <w:bCs/>
                <w:sz w:val="24"/>
                <w:szCs w:val="24"/>
                <w:lang w:val="en-US"/>
              </w:rPr>
              <w:t>Authorities</w:t>
            </w:r>
            <w:r w:rsidRPr="00224537">
              <w:rPr>
                <w:rFonts w:ascii="Arial" w:hAnsi="Arial" w:cs="Arial"/>
                <w:bCs/>
                <w:sz w:val="24"/>
                <w:szCs w:val="24"/>
                <w:lang w:val="en-US"/>
              </w:rPr>
              <w:t xml:space="preserve">. </w:t>
            </w:r>
          </w:p>
          <w:p w14:paraId="3041C9A8" w14:textId="77777777" w:rsidR="00614146" w:rsidRPr="00224537" w:rsidRDefault="00614146" w:rsidP="00614146">
            <w:pPr>
              <w:spacing w:after="120"/>
              <w:rPr>
                <w:rFonts w:ascii="Arial" w:hAnsi="Arial" w:cs="Arial"/>
                <w:bCs/>
                <w:color w:val="000000" w:themeColor="text1"/>
                <w:sz w:val="24"/>
                <w:szCs w:val="24"/>
                <w:lang w:val="en-US"/>
              </w:rPr>
            </w:pPr>
            <w:r w:rsidRPr="00224537">
              <w:rPr>
                <w:rFonts w:ascii="Arial" w:hAnsi="Arial" w:cs="Arial"/>
                <w:bCs/>
                <w:sz w:val="24"/>
                <w:szCs w:val="24"/>
                <w:lang w:val="en-US"/>
              </w:rPr>
              <w:t xml:space="preserve">CLS understands that the South African Reserve Bank’s (SARB) approach to ensuring access to critical infrastructures is aligned to the standards and guidance issued by the FSB, including the FSB’s Guidance on Continuity of Access to Financial Market Infrastructures for a Firm in Resolution, published in July 2017. As previously indicated by the SARB, maintaining access to critical financial market infrastructures (FMIs) is essential to </w:t>
            </w:r>
            <w:r w:rsidRPr="00224537">
              <w:rPr>
                <w:rFonts w:ascii="Arial" w:hAnsi="Arial" w:cs="Arial"/>
                <w:bCs/>
                <w:color w:val="000000" w:themeColor="text1"/>
                <w:sz w:val="24"/>
                <w:szCs w:val="24"/>
                <w:lang w:val="en-US"/>
              </w:rPr>
              <w:t xml:space="preserve">ensure that a bank’s critical functions can be maintained during resolution. CLS fully supports this goal and recognizes that designated institutions will need to assess their FMI services, map their activities and instruments to different FMIs, and put in place arrangements with the operators of these infrastructures to ensure they continue to meet the requirements during resolution. CLS is mindful of the important role it plays as the operator of a systemically important financial market infrastructure (i.e., the CLS System) with respect to the operations and activities of its members, as well as within the broader financial </w:t>
            </w:r>
            <w:proofErr w:type="gramStart"/>
            <w:r w:rsidRPr="00224537">
              <w:rPr>
                <w:rFonts w:ascii="Arial" w:hAnsi="Arial" w:cs="Arial"/>
                <w:bCs/>
                <w:color w:val="000000" w:themeColor="text1"/>
                <w:sz w:val="24"/>
                <w:szCs w:val="24"/>
                <w:lang w:val="en-US"/>
              </w:rPr>
              <w:t>system</w:t>
            </w:r>
            <w:proofErr w:type="gramEnd"/>
          </w:p>
          <w:p w14:paraId="66E20952" w14:textId="08490377" w:rsidR="00614146" w:rsidRPr="00224537" w:rsidRDefault="00614146" w:rsidP="00614146">
            <w:pPr>
              <w:spacing w:after="120"/>
              <w:rPr>
                <w:rFonts w:ascii="Arial" w:hAnsi="Arial" w:cs="Arial"/>
                <w:bCs/>
                <w:color w:val="000000" w:themeColor="text1"/>
                <w:sz w:val="24"/>
                <w:szCs w:val="24"/>
                <w:lang w:val="en-US"/>
              </w:rPr>
            </w:pPr>
            <w:r w:rsidRPr="00224537">
              <w:rPr>
                <w:rFonts w:ascii="Arial" w:hAnsi="Arial" w:cs="Arial"/>
                <w:bCs/>
                <w:color w:val="000000" w:themeColor="text1"/>
                <w:sz w:val="24"/>
                <w:szCs w:val="24"/>
                <w:lang w:val="en-US"/>
              </w:rPr>
              <w:t xml:space="preserve">On this basis, CLS notes that the draft Prudential Standard only relates to the resolution tool of transfer in connection with participation in financial market </w:t>
            </w:r>
            <w:r w:rsidR="00B11BB9" w:rsidRPr="00224537">
              <w:rPr>
                <w:rFonts w:ascii="Arial" w:hAnsi="Arial" w:cs="Arial"/>
                <w:bCs/>
                <w:color w:val="000000" w:themeColor="text1"/>
                <w:sz w:val="24"/>
                <w:szCs w:val="24"/>
                <w:lang w:val="en-US"/>
              </w:rPr>
              <w:t>infrastructures and</w:t>
            </w:r>
            <w:r w:rsidRPr="00224537">
              <w:rPr>
                <w:rFonts w:ascii="Arial" w:hAnsi="Arial" w:cs="Arial"/>
                <w:bCs/>
                <w:color w:val="000000" w:themeColor="text1"/>
                <w:sz w:val="24"/>
                <w:szCs w:val="24"/>
                <w:lang w:val="en-US"/>
              </w:rPr>
              <w:t xml:space="preserve"> does not address participation in settlement systems (including designated settlement systems). Accordingly, CLS has proposed certain amendments, reflected above, to bring these systems within scope of the draft Prudential Standard, so that designated institutions will plan for continued participation in these systems in a resolution scenario. </w:t>
            </w:r>
          </w:p>
          <w:p w14:paraId="088C8016" w14:textId="77777777" w:rsidR="00614146" w:rsidRPr="00224537" w:rsidRDefault="00614146" w:rsidP="00614146">
            <w:pPr>
              <w:spacing w:after="120"/>
              <w:rPr>
                <w:rFonts w:ascii="Arial" w:hAnsi="Arial" w:cs="Arial"/>
                <w:bCs/>
                <w:color w:val="000000" w:themeColor="text1"/>
                <w:sz w:val="24"/>
                <w:szCs w:val="24"/>
                <w:lang w:val="en-US"/>
              </w:rPr>
            </w:pPr>
            <w:r w:rsidRPr="00224537">
              <w:rPr>
                <w:rFonts w:ascii="Arial" w:hAnsi="Arial" w:cs="Arial"/>
                <w:bCs/>
                <w:color w:val="000000" w:themeColor="text1"/>
                <w:sz w:val="24"/>
                <w:szCs w:val="24"/>
                <w:lang w:val="en-US"/>
              </w:rPr>
              <w:t xml:space="preserve">In addition, CLS notes that in addition to the transfer of assets and liabilities, the FSR Act contemplates other 'resolution tools' including bail-in, amalgamation, </w:t>
            </w:r>
            <w:proofErr w:type="gramStart"/>
            <w:r w:rsidRPr="00224537">
              <w:rPr>
                <w:rFonts w:ascii="Arial" w:hAnsi="Arial" w:cs="Arial"/>
                <w:bCs/>
                <w:color w:val="000000" w:themeColor="text1"/>
                <w:sz w:val="24"/>
                <w:szCs w:val="24"/>
                <w:lang w:val="en-US"/>
              </w:rPr>
              <w:t>merger</w:t>
            </w:r>
            <w:proofErr w:type="gramEnd"/>
            <w:r w:rsidRPr="00224537">
              <w:rPr>
                <w:rFonts w:ascii="Arial" w:hAnsi="Arial" w:cs="Arial"/>
                <w:bCs/>
                <w:color w:val="000000" w:themeColor="text1"/>
                <w:sz w:val="24"/>
                <w:szCs w:val="24"/>
                <w:lang w:val="en-US"/>
              </w:rPr>
              <w:t xml:space="preserve"> or a scheme of arrangement. CLS believes that it would be helpful to ensure that appropriate safeguards are likewise extended with respect to the participation of designated institutions in settlement systems. </w:t>
            </w:r>
          </w:p>
          <w:p w14:paraId="2269D2B7" w14:textId="111A71AF" w:rsidR="00614146" w:rsidRPr="00224537" w:rsidRDefault="00614146" w:rsidP="009C2BC7">
            <w:pPr>
              <w:spacing w:after="120"/>
              <w:rPr>
                <w:rFonts w:ascii="Arial" w:hAnsi="Arial" w:cs="Arial"/>
                <w:sz w:val="24"/>
                <w:szCs w:val="24"/>
                <w:lang w:val="en-GB"/>
              </w:rPr>
            </w:pPr>
            <w:r w:rsidRPr="00224537">
              <w:rPr>
                <w:rFonts w:ascii="Arial" w:hAnsi="Arial" w:cs="Arial"/>
                <w:bCs/>
                <w:color w:val="000000" w:themeColor="text1"/>
                <w:sz w:val="24"/>
                <w:szCs w:val="24"/>
                <w:lang w:val="en-US"/>
              </w:rPr>
              <w:t xml:space="preserve">Accordingly, CLS suggests that to the extent that the SARB proposes to publish separate prudential standards relating to other resolution tools, the position of designated settlement systems is </w:t>
            </w:r>
            <w:proofErr w:type="gramStart"/>
            <w:r w:rsidRPr="00224537">
              <w:rPr>
                <w:rFonts w:ascii="Arial" w:hAnsi="Arial" w:cs="Arial"/>
                <w:bCs/>
                <w:color w:val="000000" w:themeColor="text1"/>
                <w:sz w:val="24"/>
                <w:szCs w:val="24"/>
                <w:lang w:val="en-US"/>
              </w:rPr>
              <w:t>taken into account</w:t>
            </w:r>
            <w:proofErr w:type="gramEnd"/>
            <w:r w:rsidRPr="00224537">
              <w:rPr>
                <w:rFonts w:ascii="Arial" w:hAnsi="Arial" w:cs="Arial"/>
                <w:bCs/>
                <w:color w:val="000000" w:themeColor="text1"/>
                <w:sz w:val="24"/>
                <w:szCs w:val="24"/>
                <w:lang w:val="en-US"/>
              </w:rPr>
              <w:t xml:space="preserve"> for each of these relevant prudential standards</w:t>
            </w:r>
            <w:r w:rsidRPr="00224537">
              <w:rPr>
                <w:rFonts w:ascii="Arial" w:hAnsi="Arial" w:cs="Arial"/>
                <w:bCs/>
                <w:sz w:val="24"/>
                <w:szCs w:val="24"/>
                <w:lang w:val="en-US"/>
              </w:rPr>
              <w:t>.</w:t>
            </w:r>
            <w:r w:rsidRPr="00224537">
              <w:rPr>
                <w:rFonts w:ascii="Arial" w:hAnsi="Arial" w:cs="Arial"/>
                <w:bCs/>
                <w:sz w:val="24"/>
                <w:szCs w:val="24"/>
              </w:rPr>
              <w:t xml:space="preserve">  </w:t>
            </w:r>
          </w:p>
        </w:tc>
        <w:tc>
          <w:tcPr>
            <w:tcW w:w="6416" w:type="dxa"/>
            <w:shd w:val="clear" w:color="auto" w:fill="auto"/>
          </w:tcPr>
          <w:p w14:paraId="03E20B1A" w14:textId="54F5F2CF" w:rsidR="0046301D" w:rsidRPr="00224537" w:rsidRDefault="009E07E8" w:rsidP="00614146">
            <w:pPr>
              <w:jc w:val="both"/>
              <w:rPr>
                <w:rFonts w:ascii="Arial" w:hAnsi="Arial" w:cs="Arial"/>
                <w:lang w:val="en-GB"/>
              </w:rPr>
            </w:pPr>
            <w:r w:rsidRPr="00224537">
              <w:rPr>
                <w:rFonts w:ascii="Arial" w:hAnsi="Arial" w:cs="Arial"/>
                <w:lang w:val="en-GB"/>
              </w:rPr>
              <w:t>Th</w:t>
            </w:r>
            <w:r w:rsidR="00B07EFE" w:rsidRPr="00224537">
              <w:rPr>
                <w:rFonts w:ascii="Arial" w:hAnsi="Arial" w:cs="Arial"/>
                <w:lang w:val="en-GB"/>
              </w:rPr>
              <w:t>e</w:t>
            </w:r>
            <w:r w:rsidRPr="00224537">
              <w:rPr>
                <w:rFonts w:ascii="Arial" w:hAnsi="Arial" w:cs="Arial"/>
                <w:lang w:val="en-GB"/>
              </w:rPr>
              <w:t xml:space="preserve"> </w:t>
            </w:r>
            <w:r w:rsidR="00DA560E" w:rsidRPr="00224537">
              <w:rPr>
                <w:rFonts w:ascii="Arial" w:hAnsi="Arial" w:cs="Arial"/>
                <w:lang w:val="en-GB"/>
              </w:rPr>
              <w:t>Authorities</w:t>
            </w:r>
            <w:r w:rsidRPr="00224537">
              <w:rPr>
                <w:rFonts w:ascii="Arial" w:hAnsi="Arial" w:cs="Arial"/>
                <w:lang w:val="en-GB"/>
              </w:rPr>
              <w:t xml:space="preserve"> agree</w:t>
            </w:r>
            <w:r w:rsidR="00DA6740" w:rsidRPr="00224537">
              <w:rPr>
                <w:rFonts w:ascii="Arial" w:hAnsi="Arial" w:cs="Arial"/>
                <w:lang w:val="en-GB"/>
              </w:rPr>
              <w:t xml:space="preserve"> that </w:t>
            </w:r>
            <w:r w:rsidR="00D00988" w:rsidRPr="00224537">
              <w:rPr>
                <w:rFonts w:ascii="Arial" w:hAnsi="Arial" w:cs="Arial"/>
                <w:lang w:val="en-GB"/>
              </w:rPr>
              <w:t>the Standard should also cover interconnections that the Tr</w:t>
            </w:r>
            <w:r w:rsidR="00E14613" w:rsidRPr="00224537">
              <w:rPr>
                <w:rFonts w:ascii="Arial" w:hAnsi="Arial" w:cs="Arial"/>
                <w:lang w:val="en-GB"/>
              </w:rPr>
              <w:t>ansfer</w:t>
            </w:r>
            <w:r w:rsidR="00D00988" w:rsidRPr="00224537">
              <w:rPr>
                <w:rFonts w:ascii="Arial" w:hAnsi="Arial" w:cs="Arial"/>
                <w:lang w:val="en-GB"/>
              </w:rPr>
              <w:t xml:space="preserve"> Perimeter might have </w:t>
            </w:r>
            <w:r w:rsidR="00E155FD">
              <w:rPr>
                <w:rFonts w:ascii="Arial" w:hAnsi="Arial" w:cs="Arial"/>
                <w:lang w:val="en-GB"/>
              </w:rPr>
              <w:t>with</w:t>
            </w:r>
            <w:r w:rsidR="00D00988" w:rsidRPr="00224537">
              <w:rPr>
                <w:rFonts w:ascii="Arial" w:hAnsi="Arial" w:cs="Arial"/>
                <w:lang w:val="en-GB"/>
              </w:rPr>
              <w:t xml:space="preserve"> settlement systems</w:t>
            </w:r>
            <w:r w:rsidR="00A72E99" w:rsidRPr="00224537">
              <w:rPr>
                <w:rFonts w:ascii="Arial" w:hAnsi="Arial" w:cs="Arial"/>
                <w:lang w:val="en-GB"/>
              </w:rPr>
              <w:t xml:space="preserve"> </w:t>
            </w:r>
            <w:r w:rsidR="00B93EE8">
              <w:rPr>
                <w:rFonts w:ascii="Arial" w:hAnsi="Arial" w:cs="Arial"/>
                <w:lang w:val="en-GB"/>
              </w:rPr>
              <w:t xml:space="preserve">(including </w:t>
            </w:r>
            <w:r w:rsidR="00A72E99" w:rsidRPr="00224537">
              <w:rPr>
                <w:rFonts w:ascii="Arial" w:hAnsi="Arial" w:cs="Arial"/>
                <w:lang w:val="en-GB"/>
              </w:rPr>
              <w:t>designated settlement systems</w:t>
            </w:r>
            <w:r w:rsidR="00B93EE8">
              <w:rPr>
                <w:rFonts w:ascii="Arial" w:hAnsi="Arial" w:cs="Arial"/>
                <w:lang w:val="en-GB"/>
              </w:rPr>
              <w:t>)</w:t>
            </w:r>
            <w:r w:rsidR="00D00988" w:rsidRPr="00224537">
              <w:rPr>
                <w:rFonts w:ascii="Arial" w:hAnsi="Arial" w:cs="Arial"/>
                <w:lang w:val="en-GB"/>
              </w:rPr>
              <w:t xml:space="preserve"> and</w:t>
            </w:r>
            <w:r w:rsidR="0046301D" w:rsidRPr="00224537">
              <w:rPr>
                <w:rFonts w:ascii="Arial" w:hAnsi="Arial" w:cs="Arial"/>
                <w:lang w:val="en-GB"/>
              </w:rPr>
              <w:t xml:space="preserve"> not only market infrastructures.</w:t>
            </w:r>
          </w:p>
          <w:p w14:paraId="474AC333" w14:textId="2EB35645" w:rsidR="00614146" w:rsidRPr="00224537" w:rsidRDefault="009D604B" w:rsidP="00614146">
            <w:pPr>
              <w:jc w:val="both"/>
              <w:rPr>
                <w:rFonts w:ascii="Arial" w:hAnsi="Arial" w:cs="Arial"/>
                <w:lang w:val="en-GB"/>
              </w:rPr>
            </w:pPr>
            <w:r w:rsidRPr="00224537">
              <w:rPr>
                <w:rFonts w:ascii="Arial" w:hAnsi="Arial" w:cs="Arial"/>
                <w:lang w:val="en-GB"/>
              </w:rPr>
              <w:t>Therefore,</w:t>
            </w:r>
            <w:r w:rsidR="0046301D" w:rsidRPr="00224537">
              <w:rPr>
                <w:rFonts w:ascii="Arial" w:hAnsi="Arial" w:cs="Arial"/>
                <w:lang w:val="en-GB"/>
              </w:rPr>
              <w:t xml:space="preserve"> the following sections of the Standard have been amended to capture the recommendations:</w:t>
            </w:r>
          </w:p>
          <w:p w14:paraId="4AA05117" w14:textId="183F91E4" w:rsidR="00DA6740" w:rsidRPr="00224537" w:rsidRDefault="00DA6740" w:rsidP="00A07481">
            <w:pPr>
              <w:pStyle w:val="ListParagraph"/>
              <w:numPr>
                <w:ilvl w:val="0"/>
                <w:numId w:val="27"/>
              </w:numPr>
              <w:ind w:left="357"/>
              <w:jc w:val="both"/>
              <w:rPr>
                <w:rFonts w:ascii="Arial" w:hAnsi="Arial" w:cs="Arial"/>
                <w:lang w:val="en-GB"/>
              </w:rPr>
            </w:pPr>
            <w:r w:rsidRPr="00224537">
              <w:rPr>
                <w:rFonts w:ascii="Arial" w:hAnsi="Arial" w:cs="Arial"/>
                <w:lang w:val="en-GB"/>
              </w:rPr>
              <w:t>Definitions;</w:t>
            </w:r>
          </w:p>
          <w:p w14:paraId="59CC99B0" w14:textId="5132E189" w:rsidR="00DA6740" w:rsidRPr="00224537" w:rsidRDefault="00DA6740" w:rsidP="00A07481">
            <w:pPr>
              <w:pStyle w:val="ListParagraph"/>
              <w:numPr>
                <w:ilvl w:val="0"/>
                <w:numId w:val="27"/>
              </w:numPr>
              <w:ind w:left="357"/>
              <w:jc w:val="both"/>
              <w:rPr>
                <w:rFonts w:ascii="Arial" w:hAnsi="Arial" w:cs="Arial"/>
                <w:lang w:val="en-GB"/>
              </w:rPr>
            </w:pPr>
            <w:r w:rsidRPr="00224537">
              <w:rPr>
                <w:rFonts w:ascii="Arial" w:hAnsi="Arial" w:cs="Arial"/>
                <w:lang w:val="en-GB"/>
              </w:rPr>
              <w:t xml:space="preserve">Protected arrangements; and </w:t>
            </w:r>
          </w:p>
          <w:p w14:paraId="367A92D4" w14:textId="1EAEC3B9" w:rsidR="00DA6740" w:rsidRPr="00224537" w:rsidRDefault="00DA6740" w:rsidP="00A07481">
            <w:pPr>
              <w:pStyle w:val="ListParagraph"/>
              <w:numPr>
                <w:ilvl w:val="0"/>
                <w:numId w:val="27"/>
              </w:numPr>
              <w:ind w:left="357"/>
              <w:jc w:val="both"/>
              <w:rPr>
                <w:rFonts w:ascii="Arial" w:hAnsi="Arial" w:cs="Arial"/>
                <w:lang w:val="en-GB"/>
              </w:rPr>
            </w:pPr>
            <w:r w:rsidRPr="00224537">
              <w:rPr>
                <w:rFonts w:ascii="Arial" w:hAnsi="Arial" w:cs="Arial"/>
                <w:lang w:val="en-GB"/>
              </w:rPr>
              <w:t>Requirements for Financial Interconnections.</w:t>
            </w:r>
          </w:p>
          <w:p w14:paraId="33B2C49D" w14:textId="61C7C12D" w:rsidR="00B07EFE" w:rsidRPr="00224537" w:rsidRDefault="00B07EFE" w:rsidP="00614146">
            <w:pPr>
              <w:jc w:val="both"/>
              <w:rPr>
                <w:rFonts w:ascii="Arial" w:hAnsi="Arial" w:cs="Arial"/>
                <w:lang w:val="en-GB"/>
              </w:rPr>
            </w:pPr>
          </w:p>
        </w:tc>
      </w:tr>
      <w:tr w:rsidR="00614146" w:rsidRPr="009D05E3" w14:paraId="22B2DD99" w14:textId="6C2D90FA" w:rsidTr="00FC2C40">
        <w:tc>
          <w:tcPr>
            <w:tcW w:w="1886" w:type="dxa"/>
            <w:vAlign w:val="bottom"/>
          </w:tcPr>
          <w:p w14:paraId="434A6D79" w14:textId="2E0404E9" w:rsidR="00614146" w:rsidRPr="009D05E3" w:rsidRDefault="00614146" w:rsidP="00614146">
            <w:pPr>
              <w:spacing w:after="0"/>
              <w:jc w:val="center"/>
              <w:rPr>
                <w:rFonts w:ascii="Arial" w:hAnsi="Arial" w:cs="Arial"/>
                <w:lang w:val="en-GB"/>
              </w:rPr>
            </w:pPr>
            <w:r>
              <w:rPr>
                <w:rFonts w:ascii="Arial" w:hAnsi="Arial" w:cs="Arial"/>
                <w:lang w:val="en-GB"/>
              </w:rPr>
              <w:t>140</w:t>
            </w:r>
          </w:p>
        </w:tc>
        <w:tc>
          <w:tcPr>
            <w:tcW w:w="2078" w:type="dxa"/>
          </w:tcPr>
          <w:p w14:paraId="38C35E6D" w14:textId="006F37A4" w:rsidR="00614146" w:rsidRPr="009D05E3" w:rsidRDefault="00614146" w:rsidP="00614146">
            <w:pPr>
              <w:spacing w:after="0" w:line="240" w:lineRule="auto"/>
              <w:jc w:val="both"/>
              <w:rPr>
                <w:rFonts w:ascii="Arial" w:hAnsi="Arial" w:cs="Arial"/>
                <w:sz w:val="20"/>
                <w:szCs w:val="20"/>
                <w:lang w:val="en-GB"/>
              </w:rPr>
            </w:pPr>
            <w:r>
              <w:rPr>
                <w:rFonts w:ascii="Arial" w:hAnsi="Arial" w:cs="Arial"/>
              </w:rPr>
              <w:t>FirstRand</w:t>
            </w:r>
          </w:p>
        </w:tc>
        <w:tc>
          <w:tcPr>
            <w:tcW w:w="2691" w:type="dxa"/>
          </w:tcPr>
          <w:p w14:paraId="19569E04" w14:textId="2E3BAAB6" w:rsidR="00614146" w:rsidRPr="009D05E3" w:rsidRDefault="00614146" w:rsidP="00614146">
            <w:pPr>
              <w:spacing w:after="0" w:line="240" w:lineRule="auto"/>
              <w:jc w:val="both"/>
              <w:rPr>
                <w:rFonts w:ascii="Arial" w:hAnsi="Arial" w:cs="Arial"/>
                <w:sz w:val="20"/>
                <w:szCs w:val="20"/>
                <w:lang w:val="en-GB"/>
              </w:rPr>
            </w:pPr>
            <w:r>
              <w:rPr>
                <w:rFonts w:ascii="Arial" w:hAnsi="Arial" w:cs="Arial"/>
                <w:sz w:val="20"/>
                <w:szCs w:val="20"/>
                <w:lang w:val="en-GB"/>
              </w:rPr>
              <w:t>-</w:t>
            </w:r>
          </w:p>
        </w:tc>
        <w:tc>
          <w:tcPr>
            <w:tcW w:w="7903" w:type="dxa"/>
          </w:tcPr>
          <w:p w14:paraId="2AF8B7E0" w14:textId="02F6837E" w:rsidR="00614146" w:rsidRPr="00774278" w:rsidRDefault="00614146" w:rsidP="00614146">
            <w:pPr>
              <w:spacing w:after="0" w:line="240" w:lineRule="auto"/>
              <w:rPr>
                <w:rFonts w:ascii="Arial" w:hAnsi="Arial" w:cs="Arial"/>
                <w:lang w:val="en-GB"/>
              </w:rPr>
            </w:pPr>
            <w:r w:rsidRPr="00774278">
              <w:rPr>
                <w:rFonts w:ascii="Arial" w:hAnsi="Arial" w:cs="Arial"/>
                <w:lang w:val="en-GB"/>
              </w:rPr>
              <w:t>No comment</w:t>
            </w:r>
          </w:p>
        </w:tc>
        <w:tc>
          <w:tcPr>
            <w:tcW w:w="6416" w:type="dxa"/>
            <w:shd w:val="clear" w:color="auto" w:fill="auto"/>
          </w:tcPr>
          <w:p w14:paraId="2B1FADC6" w14:textId="42E2E5D7" w:rsidR="00614146" w:rsidRPr="00224537" w:rsidRDefault="00614146" w:rsidP="00614146">
            <w:pPr>
              <w:spacing w:after="0" w:line="240" w:lineRule="auto"/>
              <w:jc w:val="both"/>
              <w:rPr>
                <w:rFonts w:ascii="Arial" w:hAnsi="Arial" w:cs="Arial"/>
                <w:lang w:val="en-GB"/>
              </w:rPr>
            </w:pPr>
            <w:r w:rsidRPr="00224537">
              <w:rPr>
                <w:rFonts w:ascii="Arial" w:hAnsi="Arial" w:cs="Arial"/>
                <w:lang w:val="en-GB"/>
              </w:rPr>
              <w:t>Noted</w:t>
            </w:r>
          </w:p>
        </w:tc>
      </w:tr>
      <w:tr w:rsidR="00614146" w:rsidRPr="009D05E3" w14:paraId="7F21A33D" w14:textId="795A4E95" w:rsidTr="00FC2C40">
        <w:tc>
          <w:tcPr>
            <w:tcW w:w="1886" w:type="dxa"/>
            <w:shd w:val="clear" w:color="auto" w:fill="FFFFFF" w:themeFill="background1"/>
            <w:vAlign w:val="bottom"/>
          </w:tcPr>
          <w:p w14:paraId="42EC0C86" w14:textId="055636FB" w:rsidR="00614146" w:rsidRPr="008F4722" w:rsidRDefault="00614146" w:rsidP="00614146">
            <w:pPr>
              <w:spacing w:after="0"/>
              <w:jc w:val="center"/>
              <w:rPr>
                <w:rFonts w:ascii="Arial" w:hAnsi="Arial" w:cs="Arial"/>
                <w:lang w:val="en-GB"/>
              </w:rPr>
            </w:pPr>
            <w:r>
              <w:rPr>
                <w:rFonts w:ascii="Arial" w:hAnsi="Arial" w:cs="Arial"/>
                <w:lang w:val="en-GB"/>
              </w:rPr>
              <w:t>141</w:t>
            </w:r>
          </w:p>
        </w:tc>
        <w:tc>
          <w:tcPr>
            <w:tcW w:w="2078" w:type="dxa"/>
            <w:shd w:val="clear" w:color="auto" w:fill="FFFFFF" w:themeFill="background1"/>
          </w:tcPr>
          <w:p w14:paraId="3B2E87D5" w14:textId="18760FC9" w:rsidR="00614146" w:rsidRPr="009D05E3" w:rsidRDefault="004760D1" w:rsidP="00614146">
            <w:pPr>
              <w:spacing w:after="0" w:line="240" w:lineRule="auto"/>
              <w:rPr>
                <w:rFonts w:ascii="Arial" w:hAnsi="Arial" w:cs="Arial"/>
                <w:sz w:val="20"/>
                <w:szCs w:val="20"/>
                <w:lang w:val="en-GB"/>
              </w:rPr>
            </w:pPr>
            <w:r>
              <w:rPr>
                <w:rFonts w:ascii="Arial" w:hAnsi="Arial" w:cs="Arial"/>
              </w:rPr>
              <w:t>Grindrod</w:t>
            </w:r>
          </w:p>
        </w:tc>
        <w:tc>
          <w:tcPr>
            <w:tcW w:w="2691" w:type="dxa"/>
            <w:shd w:val="clear" w:color="auto" w:fill="FFFFFF" w:themeFill="background1"/>
          </w:tcPr>
          <w:p w14:paraId="74A957A1" w14:textId="62A3444D" w:rsidR="00614146" w:rsidRPr="009D05E3" w:rsidRDefault="00614146" w:rsidP="00614146">
            <w:pPr>
              <w:spacing w:after="0" w:line="240" w:lineRule="auto"/>
              <w:rPr>
                <w:rFonts w:ascii="Arial" w:hAnsi="Arial" w:cs="Arial"/>
                <w:sz w:val="20"/>
                <w:szCs w:val="20"/>
                <w:lang w:val="en-GB"/>
              </w:rPr>
            </w:pPr>
            <w:r>
              <w:rPr>
                <w:rFonts w:ascii="Arial" w:hAnsi="Arial" w:cs="Arial"/>
                <w:sz w:val="20"/>
                <w:szCs w:val="20"/>
                <w:lang w:val="en-GB"/>
              </w:rPr>
              <w:t>-</w:t>
            </w:r>
          </w:p>
        </w:tc>
        <w:tc>
          <w:tcPr>
            <w:tcW w:w="7903" w:type="dxa"/>
            <w:shd w:val="clear" w:color="auto" w:fill="FFFFFF" w:themeFill="background1"/>
          </w:tcPr>
          <w:p w14:paraId="1F93AB5C" w14:textId="2C8031BD" w:rsidR="00614146" w:rsidRPr="00774278" w:rsidRDefault="00614146" w:rsidP="00614146">
            <w:pPr>
              <w:spacing w:after="0" w:line="240" w:lineRule="auto"/>
              <w:rPr>
                <w:rFonts w:ascii="Arial" w:hAnsi="Arial" w:cs="Arial"/>
                <w:lang w:val="en-GB"/>
              </w:rPr>
            </w:pPr>
            <w:r w:rsidRPr="00774278">
              <w:rPr>
                <w:rFonts w:ascii="Arial" w:hAnsi="Arial" w:cs="Arial"/>
                <w:lang w:val="en-GB"/>
              </w:rPr>
              <w:t>No comment</w:t>
            </w:r>
          </w:p>
        </w:tc>
        <w:tc>
          <w:tcPr>
            <w:tcW w:w="6416" w:type="dxa"/>
            <w:shd w:val="clear" w:color="auto" w:fill="auto"/>
          </w:tcPr>
          <w:p w14:paraId="1885992D" w14:textId="4D00EB7D" w:rsidR="00614146" w:rsidRPr="00224537" w:rsidRDefault="00614146" w:rsidP="00614146">
            <w:pPr>
              <w:spacing w:after="0" w:line="240" w:lineRule="auto"/>
              <w:jc w:val="both"/>
              <w:rPr>
                <w:rFonts w:ascii="Arial" w:eastAsia="Times New Roman" w:hAnsi="Arial" w:cs="Arial"/>
                <w:lang w:val="en-GB"/>
              </w:rPr>
            </w:pPr>
            <w:r w:rsidRPr="00224537">
              <w:rPr>
                <w:rFonts w:ascii="Arial" w:eastAsia="Times New Roman" w:hAnsi="Arial" w:cs="Arial"/>
                <w:lang w:val="en-GB"/>
              </w:rPr>
              <w:t>Noted</w:t>
            </w:r>
          </w:p>
        </w:tc>
      </w:tr>
      <w:tr w:rsidR="00614146" w:rsidRPr="009D05E3" w14:paraId="79D091C8" w14:textId="58520E51" w:rsidTr="00FC2C40">
        <w:tc>
          <w:tcPr>
            <w:tcW w:w="1886" w:type="dxa"/>
            <w:vAlign w:val="bottom"/>
          </w:tcPr>
          <w:p w14:paraId="48804B8D" w14:textId="3DBAAEB6" w:rsidR="00614146" w:rsidRPr="009D05E3" w:rsidRDefault="00614146" w:rsidP="00614146">
            <w:pPr>
              <w:spacing w:after="0"/>
              <w:jc w:val="center"/>
              <w:rPr>
                <w:rFonts w:ascii="Arial" w:hAnsi="Arial" w:cs="Arial"/>
                <w:lang w:val="en-GB"/>
              </w:rPr>
            </w:pPr>
            <w:r>
              <w:rPr>
                <w:rFonts w:ascii="Arial" w:hAnsi="Arial" w:cs="Arial"/>
                <w:lang w:val="en-GB"/>
              </w:rPr>
              <w:lastRenderedPageBreak/>
              <w:t>142</w:t>
            </w:r>
          </w:p>
        </w:tc>
        <w:tc>
          <w:tcPr>
            <w:tcW w:w="2078" w:type="dxa"/>
          </w:tcPr>
          <w:p w14:paraId="2873B568" w14:textId="7D21F878" w:rsidR="00614146" w:rsidRPr="009D05E3" w:rsidRDefault="00614146" w:rsidP="00614146">
            <w:pPr>
              <w:spacing w:after="0" w:line="240" w:lineRule="auto"/>
              <w:rPr>
                <w:rFonts w:ascii="Arial" w:hAnsi="Arial" w:cs="Arial"/>
                <w:sz w:val="20"/>
                <w:szCs w:val="20"/>
                <w:lang w:val="en-GB"/>
              </w:rPr>
            </w:pPr>
            <w:r>
              <w:rPr>
                <w:rFonts w:ascii="Arial" w:hAnsi="Arial" w:cs="Arial"/>
              </w:rPr>
              <w:t>Habib Bank</w:t>
            </w:r>
          </w:p>
        </w:tc>
        <w:tc>
          <w:tcPr>
            <w:tcW w:w="2691" w:type="dxa"/>
          </w:tcPr>
          <w:p w14:paraId="7CDF4BBE" w14:textId="312DFEB0" w:rsidR="00614146" w:rsidRPr="009D05E3" w:rsidRDefault="00614146" w:rsidP="00614146">
            <w:pPr>
              <w:spacing w:after="0" w:line="240" w:lineRule="auto"/>
              <w:rPr>
                <w:rFonts w:ascii="Arial" w:hAnsi="Arial" w:cs="Arial"/>
                <w:sz w:val="20"/>
                <w:szCs w:val="20"/>
                <w:lang w:val="en-GB"/>
              </w:rPr>
            </w:pPr>
            <w:r>
              <w:rPr>
                <w:rFonts w:ascii="Arial" w:hAnsi="Arial" w:cs="Arial"/>
                <w:sz w:val="20"/>
                <w:szCs w:val="20"/>
              </w:rPr>
              <w:t>-</w:t>
            </w:r>
          </w:p>
        </w:tc>
        <w:tc>
          <w:tcPr>
            <w:tcW w:w="7903" w:type="dxa"/>
          </w:tcPr>
          <w:p w14:paraId="1D69AAF7" w14:textId="4C9066FA" w:rsidR="00614146" w:rsidRPr="00774278" w:rsidRDefault="00614146" w:rsidP="00614146">
            <w:pPr>
              <w:spacing w:after="0" w:line="240" w:lineRule="auto"/>
              <w:rPr>
                <w:rFonts w:ascii="Arial" w:hAnsi="Arial" w:cs="Arial"/>
                <w:lang w:val="en-GB"/>
              </w:rPr>
            </w:pPr>
            <w:r w:rsidRPr="00774278">
              <w:rPr>
                <w:rFonts w:ascii="Arial" w:hAnsi="Arial" w:cs="Arial"/>
                <w:lang w:val="en-GB"/>
              </w:rPr>
              <w:t>No comment</w:t>
            </w:r>
          </w:p>
        </w:tc>
        <w:tc>
          <w:tcPr>
            <w:tcW w:w="6416" w:type="dxa"/>
          </w:tcPr>
          <w:p w14:paraId="5EFC1164" w14:textId="5ACB51C5" w:rsidR="00614146" w:rsidRPr="00224537" w:rsidRDefault="00614146" w:rsidP="00614146">
            <w:pPr>
              <w:spacing w:after="0" w:line="240" w:lineRule="auto"/>
              <w:jc w:val="both"/>
              <w:rPr>
                <w:rFonts w:ascii="Arial" w:eastAsia="Times New Roman" w:hAnsi="Arial" w:cs="Arial"/>
                <w:lang w:val="en-GB"/>
              </w:rPr>
            </w:pPr>
            <w:r w:rsidRPr="00224537">
              <w:rPr>
                <w:rFonts w:ascii="Arial" w:eastAsia="Times New Roman" w:hAnsi="Arial" w:cs="Arial"/>
                <w:lang w:val="en-GB"/>
              </w:rPr>
              <w:t>Noted</w:t>
            </w:r>
          </w:p>
        </w:tc>
      </w:tr>
      <w:tr w:rsidR="00614146" w:rsidRPr="009D05E3" w14:paraId="310705C5" w14:textId="77777777" w:rsidTr="00473E16">
        <w:tc>
          <w:tcPr>
            <w:tcW w:w="1886" w:type="dxa"/>
            <w:shd w:val="clear" w:color="auto" w:fill="FFFFFF" w:themeFill="background1"/>
            <w:vAlign w:val="bottom"/>
          </w:tcPr>
          <w:p w14:paraId="7573DF99" w14:textId="5B41E8E5" w:rsidR="00614146" w:rsidRPr="009D05E3" w:rsidRDefault="00614146" w:rsidP="00224537">
            <w:pPr>
              <w:spacing w:after="1080"/>
              <w:jc w:val="center"/>
              <w:rPr>
                <w:rFonts w:ascii="Arial" w:hAnsi="Arial" w:cs="Arial"/>
                <w:lang w:val="en-GB"/>
              </w:rPr>
            </w:pPr>
            <w:r>
              <w:rPr>
                <w:rFonts w:ascii="Arial" w:hAnsi="Arial" w:cs="Arial"/>
                <w:lang w:val="en-GB"/>
              </w:rPr>
              <w:t>143</w:t>
            </w:r>
          </w:p>
        </w:tc>
        <w:tc>
          <w:tcPr>
            <w:tcW w:w="2078" w:type="dxa"/>
            <w:shd w:val="clear" w:color="auto" w:fill="FFFFFF" w:themeFill="background1"/>
          </w:tcPr>
          <w:p w14:paraId="7955E431" w14:textId="49EBC38E" w:rsidR="00614146" w:rsidRDefault="00614146" w:rsidP="00614146">
            <w:pPr>
              <w:spacing w:after="0" w:line="240" w:lineRule="auto"/>
              <w:rPr>
                <w:rFonts w:ascii="Arial" w:hAnsi="Arial" w:cs="Arial"/>
              </w:rPr>
            </w:pPr>
            <w:r>
              <w:rPr>
                <w:rFonts w:ascii="Arial" w:hAnsi="Arial" w:cs="Arial"/>
              </w:rPr>
              <w:t>JSE</w:t>
            </w:r>
          </w:p>
        </w:tc>
        <w:tc>
          <w:tcPr>
            <w:tcW w:w="2691" w:type="dxa"/>
            <w:shd w:val="clear" w:color="auto" w:fill="FFFFFF" w:themeFill="background1"/>
          </w:tcPr>
          <w:p w14:paraId="6F20367E" w14:textId="02B0E3B3" w:rsidR="00614146" w:rsidRDefault="00614146" w:rsidP="00614146">
            <w:pPr>
              <w:spacing w:after="0" w:line="240" w:lineRule="auto"/>
              <w:rPr>
                <w:rFonts w:ascii="Arial" w:hAnsi="Arial" w:cs="Arial"/>
                <w:sz w:val="20"/>
                <w:szCs w:val="20"/>
                <w:lang w:val="en-GB"/>
              </w:rPr>
            </w:pPr>
            <w:r>
              <w:rPr>
                <w:rFonts w:ascii="Arial" w:hAnsi="Arial" w:cs="Arial"/>
                <w:sz w:val="20"/>
                <w:szCs w:val="20"/>
                <w:lang w:val="en-GB"/>
              </w:rPr>
              <w:t>general</w:t>
            </w:r>
          </w:p>
        </w:tc>
        <w:tc>
          <w:tcPr>
            <w:tcW w:w="7903" w:type="dxa"/>
            <w:shd w:val="clear" w:color="auto" w:fill="FFFFFF" w:themeFill="background1"/>
          </w:tcPr>
          <w:p w14:paraId="41D76201" w14:textId="76D8A60B" w:rsidR="00614146" w:rsidRPr="00774278" w:rsidRDefault="00614146" w:rsidP="00614146">
            <w:pPr>
              <w:spacing w:after="120"/>
              <w:rPr>
                <w:rFonts w:ascii="Arial" w:hAnsi="Arial" w:cs="Arial"/>
                <w:bCs/>
              </w:rPr>
            </w:pPr>
            <w:r w:rsidRPr="00774278">
              <w:rPr>
                <w:rFonts w:ascii="Arial" w:hAnsi="Arial" w:cs="Arial"/>
                <w:bCs/>
              </w:rPr>
              <w:t>We appreciate that the Standard gives effect to the requirements of the FSR Act, as amended by the FSLA Act, and we are supportive of requirements set out in the Standard to ensure that the SARB is provided with the necessary tools, to undertake an orderly resolution of designated institutions.</w:t>
            </w:r>
          </w:p>
        </w:tc>
        <w:tc>
          <w:tcPr>
            <w:tcW w:w="6416" w:type="dxa"/>
            <w:shd w:val="clear" w:color="auto" w:fill="auto"/>
          </w:tcPr>
          <w:p w14:paraId="7ED79F4B" w14:textId="19430AE5" w:rsidR="00614146" w:rsidRPr="00224537" w:rsidRDefault="008C4AFA" w:rsidP="00614146">
            <w:pPr>
              <w:spacing w:after="0" w:line="240" w:lineRule="auto"/>
              <w:jc w:val="both"/>
              <w:rPr>
                <w:rFonts w:ascii="Arial" w:eastAsia="Times New Roman" w:hAnsi="Arial" w:cs="Arial"/>
                <w:lang w:val="en-GB"/>
              </w:rPr>
            </w:pPr>
            <w:r w:rsidRPr="00224537">
              <w:rPr>
                <w:rFonts w:ascii="Arial" w:eastAsia="Times New Roman" w:hAnsi="Arial" w:cs="Arial"/>
                <w:lang w:val="en-GB"/>
              </w:rPr>
              <w:t>Noted</w:t>
            </w:r>
          </w:p>
        </w:tc>
      </w:tr>
      <w:tr w:rsidR="00614146" w:rsidRPr="009D05E3" w14:paraId="0F6BACE3" w14:textId="77777777" w:rsidTr="00515BD8">
        <w:tc>
          <w:tcPr>
            <w:tcW w:w="1886" w:type="dxa"/>
            <w:shd w:val="clear" w:color="auto" w:fill="auto"/>
            <w:vAlign w:val="bottom"/>
          </w:tcPr>
          <w:p w14:paraId="290CDFCB" w14:textId="025C030C" w:rsidR="00614146" w:rsidRPr="009D05E3" w:rsidRDefault="00614146" w:rsidP="00224537">
            <w:pPr>
              <w:spacing w:after="7200"/>
              <w:jc w:val="center"/>
              <w:rPr>
                <w:rFonts w:ascii="Arial" w:hAnsi="Arial" w:cs="Arial"/>
                <w:lang w:val="en-GB"/>
              </w:rPr>
            </w:pPr>
            <w:r>
              <w:rPr>
                <w:rFonts w:ascii="Arial" w:hAnsi="Arial" w:cs="Arial"/>
                <w:lang w:val="en-GB"/>
              </w:rPr>
              <w:t>144</w:t>
            </w:r>
          </w:p>
        </w:tc>
        <w:tc>
          <w:tcPr>
            <w:tcW w:w="2078" w:type="dxa"/>
            <w:shd w:val="clear" w:color="auto" w:fill="FFFFFF" w:themeFill="background1"/>
          </w:tcPr>
          <w:p w14:paraId="6DF22810" w14:textId="1B4616F2" w:rsidR="00614146" w:rsidRPr="009D05E3" w:rsidRDefault="00614146" w:rsidP="00614146">
            <w:pPr>
              <w:spacing w:after="0" w:line="240" w:lineRule="auto"/>
              <w:rPr>
                <w:rFonts w:ascii="Arial" w:hAnsi="Arial" w:cs="Arial"/>
                <w:sz w:val="20"/>
                <w:szCs w:val="20"/>
                <w:lang w:val="en-GB"/>
              </w:rPr>
            </w:pPr>
            <w:r>
              <w:rPr>
                <w:rFonts w:ascii="Arial" w:hAnsi="Arial" w:cs="Arial"/>
              </w:rPr>
              <w:t>JSE</w:t>
            </w:r>
          </w:p>
        </w:tc>
        <w:tc>
          <w:tcPr>
            <w:tcW w:w="2691" w:type="dxa"/>
            <w:shd w:val="clear" w:color="auto" w:fill="FFFFFF" w:themeFill="background1"/>
          </w:tcPr>
          <w:p w14:paraId="7DF7EC4A" w14:textId="724E7BF2" w:rsidR="00614146" w:rsidRPr="009D05E3" w:rsidRDefault="00614146" w:rsidP="00614146">
            <w:pPr>
              <w:spacing w:after="0" w:line="240" w:lineRule="auto"/>
              <w:rPr>
                <w:rFonts w:ascii="Arial" w:hAnsi="Arial" w:cs="Arial"/>
                <w:sz w:val="20"/>
                <w:szCs w:val="20"/>
                <w:lang w:val="en-GB"/>
              </w:rPr>
            </w:pPr>
            <w:r>
              <w:rPr>
                <w:rFonts w:ascii="Arial" w:hAnsi="Arial" w:cs="Arial"/>
                <w:sz w:val="20"/>
                <w:szCs w:val="20"/>
                <w:lang w:val="en-GB"/>
              </w:rPr>
              <w:t>13</w:t>
            </w:r>
          </w:p>
        </w:tc>
        <w:tc>
          <w:tcPr>
            <w:tcW w:w="7903" w:type="dxa"/>
            <w:shd w:val="clear" w:color="auto" w:fill="FFFFFF" w:themeFill="background1"/>
          </w:tcPr>
          <w:p w14:paraId="691A1989" w14:textId="77777777" w:rsidR="00614146" w:rsidRPr="00774278" w:rsidRDefault="00614146" w:rsidP="00614146">
            <w:pPr>
              <w:spacing w:after="120"/>
              <w:rPr>
                <w:rFonts w:ascii="Arial" w:hAnsi="Arial" w:cs="Arial"/>
                <w:bCs/>
              </w:rPr>
            </w:pPr>
            <w:r w:rsidRPr="00774278">
              <w:rPr>
                <w:rFonts w:ascii="Arial" w:hAnsi="Arial" w:cs="Arial"/>
                <w:bCs/>
              </w:rPr>
              <w:t xml:space="preserve">Market infrastructures have a regulatory interest in the recovery and orderly resolution of designated institutions that are authorised users, clearing members, and or central security depository participants (‘users/members/participants’).  We believe that it essential that a market infrastructure is provided with the Separability Analysis and Transfer Playbooks (or appropriate sections thereof) developed by the designated institutions that are users/members/participants of that market infrastructure.  </w:t>
            </w:r>
          </w:p>
          <w:p w14:paraId="2952910F" w14:textId="518E3AA7" w:rsidR="00614146" w:rsidRPr="00774278" w:rsidRDefault="00614146" w:rsidP="00614146">
            <w:pPr>
              <w:spacing w:after="120"/>
              <w:rPr>
                <w:rFonts w:ascii="Arial" w:hAnsi="Arial" w:cs="Arial"/>
                <w:bCs/>
              </w:rPr>
            </w:pPr>
            <w:r w:rsidRPr="00774278">
              <w:rPr>
                <w:rFonts w:ascii="Arial" w:hAnsi="Arial" w:cs="Arial"/>
                <w:bCs/>
              </w:rPr>
              <w:t>This can be achieved through –</w:t>
            </w:r>
          </w:p>
          <w:p w14:paraId="5F93C2B1" w14:textId="77777777" w:rsidR="00614146" w:rsidRPr="00774278" w:rsidRDefault="00614146" w:rsidP="00614146">
            <w:pPr>
              <w:pStyle w:val="ListParagraph"/>
              <w:numPr>
                <w:ilvl w:val="0"/>
                <w:numId w:val="11"/>
              </w:numPr>
              <w:spacing w:after="120"/>
              <w:rPr>
                <w:rFonts w:ascii="Arial" w:hAnsi="Arial" w:cs="Arial"/>
                <w:bCs/>
              </w:rPr>
            </w:pPr>
            <w:r w:rsidRPr="00774278">
              <w:rPr>
                <w:rFonts w:ascii="Arial" w:hAnsi="Arial" w:cs="Arial"/>
                <w:bCs/>
              </w:rPr>
              <w:t xml:space="preserve">the reporting requirements as provided for in paragraph 13.2 of the Draft </w:t>
            </w:r>
            <w:proofErr w:type="gramStart"/>
            <w:r w:rsidRPr="00774278">
              <w:rPr>
                <w:rFonts w:ascii="Arial" w:hAnsi="Arial" w:cs="Arial"/>
                <w:bCs/>
              </w:rPr>
              <w:t>Standard;</w:t>
            </w:r>
            <w:proofErr w:type="gramEnd"/>
            <w:r w:rsidRPr="00774278">
              <w:rPr>
                <w:rFonts w:ascii="Arial" w:hAnsi="Arial" w:cs="Arial"/>
                <w:bCs/>
              </w:rPr>
              <w:t xml:space="preserve"> </w:t>
            </w:r>
          </w:p>
          <w:p w14:paraId="42A0DCC3" w14:textId="77777777" w:rsidR="00614146" w:rsidRPr="00774278" w:rsidRDefault="00614146" w:rsidP="00614146">
            <w:pPr>
              <w:pStyle w:val="ListParagraph"/>
              <w:numPr>
                <w:ilvl w:val="0"/>
                <w:numId w:val="11"/>
              </w:numPr>
              <w:spacing w:after="120"/>
              <w:rPr>
                <w:rFonts w:ascii="Arial" w:hAnsi="Arial" w:cs="Arial"/>
                <w:bCs/>
              </w:rPr>
            </w:pPr>
            <w:r w:rsidRPr="00774278">
              <w:rPr>
                <w:rFonts w:ascii="Arial" w:hAnsi="Arial" w:cs="Arial"/>
                <w:bCs/>
              </w:rPr>
              <w:t xml:space="preserve">market infrastructure rules; or </w:t>
            </w:r>
          </w:p>
          <w:p w14:paraId="3042043A" w14:textId="7B23828D" w:rsidR="00614146" w:rsidRPr="00774278" w:rsidRDefault="00614146" w:rsidP="00614146">
            <w:pPr>
              <w:pStyle w:val="ListParagraph"/>
              <w:numPr>
                <w:ilvl w:val="0"/>
                <w:numId w:val="11"/>
              </w:numPr>
              <w:spacing w:after="120"/>
              <w:rPr>
                <w:rFonts w:ascii="Arial" w:hAnsi="Arial" w:cs="Arial"/>
                <w:bCs/>
              </w:rPr>
            </w:pPr>
            <w:r w:rsidRPr="00774278">
              <w:rPr>
                <w:rFonts w:ascii="Arial" w:hAnsi="Arial" w:cs="Arial"/>
                <w:bCs/>
              </w:rPr>
              <w:t>though sharing of relevant information between the SARB/</w:t>
            </w:r>
            <w:r w:rsidR="005E1357">
              <w:rPr>
                <w:rFonts w:ascii="Arial" w:hAnsi="Arial" w:cs="Arial"/>
                <w:bCs/>
              </w:rPr>
              <w:t>Prudential Authority</w:t>
            </w:r>
            <w:r w:rsidRPr="00774278">
              <w:rPr>
                <w:rFonts w:ascii="Arial" w:hAnsi="Arial" w:cs="Arial"/>
                <w:bCs/>
              </w:rPr>
              <w:t xml:space="preserve"> and the market infrastructures provided for in the Standard or under a MoU.</w:t>
            </w:r>
          </w:p>
          <w:p w14:paraId="6FA8E14F" w14:textId="1C546551" w:rsidR="00614146" w:rsidRPr="00774278" w:rsidRDefault="00614146" w:rsidP="00614146">
            <w:pPr>
              <w:spacing w:after="120"/>
              <w:rPr>
                <w:rFonts w:ascii="Arial" w:hAnsi="Arial" w:cs="Arial"/>
                <w:bCs/>
              </w:rPr>
            </w:pPr>
            <w:r w:rsidRPr="00774278">
              <w:rPr>
                <w:rFonts w:ascii="Arial" w:hAnsi="Arial" w:cs="Arial"/>
                <w:bCs/>
              </w:rPr>
              <w:t xml:space="preserve">Our preference would be (a) above, in which the </w:t>
            </w:r>
            <w:r w:rsidR="005E1357">
              <w:rPr>
                <w:rFonts w:ascii="Arial" w:hAnsi="Arial" w:cs="Arial"/>
                <w:bCs/>
              </w:rPr>
              <w:t>Prudential Authority</w:t>
            </w:r>
            <w:r w:rsidRPr="00774278">
              <w:rPr>
                <w:rFonts w:ascii="Arial" w:hAnsi="Arial" w:cs="Arial"/>
                <w:bCs/>
              </w:rPr>
              <w:t xml:space="preserve"> directs designated institutions to provide the relevant market infrastructures with the Separability Analysis and Transfer Playbooks (or appropriate sections thereof), any amendments thereto and the outcome of ongoing reviews and testing. </w:t>
            </w:r>
          </w:p>
          <w:p w14:paraId="3CD89567" w14:textId="77777777" w:rsidR="00614146" w:rsidRPr="00774278" w:rsidRDefault="00614146" w:rsidP="00614146">
            <w:pPr>
              <w:spacing w:after="120"/>
              <w:rPr>
                <w:rFonts w:ascii="Arial" w:hAnsi="Arial" w:cs="Arial"/>
                <w:bCs/>
              </w:rPr>
            </w:pPr>
            <w:r w:rsidRPr="00774278">
              <w:rPr>
                <w:rFonts w:ascii="Arial" w:hAnsi="Arial" w:cs="Arial"/>
                <w:bCs/>
              </w:rPr>
              <w:t xml:space="preserve">We would welcome an opportunity to discuss the most effective solution to ensure that market infrastructures have the necessary information to assess the risk to the functioning of the market infrastructure and its other users/members/participants in the circumstances where a designated institution </w:t>
            </w:r>
            <w:proofErr w:type="gramStart"/>
            <w:r w:rsidRPr="00774278">
              <w:rPr>
                <w:rFonts w:ascii="Arial" w:hAnsi="Arial" w:cs="Arial"/>
                <w:bCs/>
              </w:rPr>
              <w:t>enters into</w:t>
            </w:r>
            <w:proofErr w:type="gramEnd"/>
            <w:r w:rsidRPr="00774278">
              <w:rPr>
                <w:rFonts w:ascii="Arial" w:hAnsi="Arial" w:cs="Arial"/>
                <w:bCs/>
              </w:rPr>
              <w:t xml:space="preserve"> resolution.</w:t>
            </w:r>
          </w:p>
          <w:p w14:paraId="2B30C41A" w14:textId="77777777" w:rsidR="00614146" w:rsidRPr="00774278" w:rsidRDefault="00614146" w:rsidP="00614146">
            <w:pPr>
              <w:spacing w:after="0" w:line="240" w:lineRule="auto"/>
              <w:rPr>
                <w:rFonts w:ascii="Arial" w:eastAsia="Times New Roman" w:hAnsi="Arial" w:cs="Arial"/>
                <w:lang w:val="en-GB"/>
              </w:rPr>
            </w:pPr>
          </w:p>
        </w:tc>
        <w:tc>
          <w:tcPr>
            <w:tcW w:w="6416" w:type="dxa"/>
            <w:shd w:val="clear" w:color="auto" w:fill="auto"/>
          </w:tcPr>
          <w:p w14:paraId="148ED1D8" w14:textId="1DFFD398" w:rsidR="00CE1900" w:rsidRPr="00224537" w:rsidRDefault="00586B42" w:rsidP="00515BD8">
            <w:pPr>
              <w:spacing w:after="0" w:line="240" w:lineRule="auto"/>
              <w:jc w:val="both"/>
              <w:rPr>
                <w:rFonts w:ascii="Arial" w:eastAsia="Times New Roman" w:hAnsi="Arial" w:cs="Arial"/>
                <w:lang w:val="en-GB"/>
              </w:rPr>
            </w:pPr>
            <w:r w:rsidRPr="00224537">
              <w:rPr>
                <w:rFonts w:ascii="Arial" w:eastAsia="Times New Roman" w:hAnsi="Arial" w:cs="Arial"/>
                <w:lang w:val="en-GB"/>
              </w:rPr>
              <w:t>Resolution Plans are confidential</w:t>
            </w:r>
            <w:r w:rsidR="00147D12">
              <w:rPr>
                <w:rFonts w:ascii="Arial" w:eastAsia="Times New Roman" w:hAnsi="Arial" w:cs="Arial"/>
                <w:lang w:val="en-GB"/>
              </w:rPr>
              <w:t xml:space="preserve">. </w:t>
            </w:r>
            <w:r w:rsidR="00CE1900" w:rsidRPr="00224537">
              <w:rPr>
                <w:rFonts w:ascii="Arial" w:eastAsia="Times New Roman" w:hAnsi="Arial" w:cs="Arial"/>
                <w:lang w:val="en-GB"/>
              </w:rPr>
              <w:t>M</w:t>
            </w:r>
            <w:r w:rsidR="001F0559" w:rsidRPr="00224537">
              <w:rPr>
                <w:rFonts w:ascii="Arial" w:eastAsia="Times New Roman" w:hAnsi="Arial" w:cs="Arial"/>
                <w:lang w:val="en-GB"/>
              </w:rPr>
              <w:t xml:space="preserve">arket </w:t>
            </w:r>
            <w:r w:rsidR="00690294" w:rsidRPr="00224537">
              <w:rPr>
                <w:rFonts w:ascii="Arial" w:eastAsia="Times New Roman" w:hAnsi="Arial" w:cs="Arial"/>
                <w:lang w:val="en-GB"/>
              </w:rPr>
              <w:t>I</w:t>
            </w:r>
            <w:r w:rsidR="001F0559" w:rsidRPr="00224537">
              <w:rPr>
                <w:rFonts w:ascii="Arial" w:eastAsia="Times New Roman" w:hAnsi="Arial" w:cs="Arial"/>
                <w:lang w:val="en-GB"/>
              </w:rPr>
              <w:t xml:space="preserve">nfrastructures </w:t>
            </w:r>
            <w:r w:rsidR="00857459" w:rsidRPr="00224537">
              <w:rPr>
                <w:rFonts w:ascii="Arial" w:eastAsia="Times New Roman" w:hAnsi="Arial" w:cs="Arial"/>
                <w:lang w:val="en-GB"/>
              </w:rPr>
              <w:t>should</w:t>
            </w:r>
            <w:r w:rsidR="00CE1900" w:rsidRPr="00224537">
              <w:rPr>
                <w:rFonts w:ascii="Arial" w:eastAsia="Times New Roman" w:hAnsi="Arial" w:cs="Arial"/>
                <w:lang w:val="en-GB"/>
              </w:rPr>
              <w:t xml:space="preserve"> </w:t>
            </w:r>
            <w:r w:rsidR="00E877FF">
              <w:rPr>
                <w:rFonts w:ascii="Arial" w:eastAsia="Times New Roman" w:hAnsi="Arial" w:cs="Arial"/>
                <w:lang w:val="en-GB"/>
              </w:rPr>
              <w:t xml:space="preserve">rather </w:t>
            </w:r>
            <w:r w:rsidR="00CE1900" w:rsidRPr="00224537">
              <w:rPr>
                <w:rFonts w:ascii="Arial" w:eastAsia="Times New Roman" w:hAnsi="Arial" w:cs="Arial"/>
                <w:lang w:val="en-GB"/>
              </w:rPr>
              <w:t xml:space="preserve">discuss the contracts </w:t>
            </w:r>
            <w:r w:rsidR="00690294" w:rsidRPr="00224537">
              <w:rPr>
                <w:rFonts w:ascii="Arial" w:eastAsia="Times New Roman" w:hAnsi="Arial" w:cs="Arial"/>
                <w:lang w:val="en-GB"/>
              </w:rPr>
              <w:t>and</w:t>
            </w:r>
            <w:r w:rsidR="00CE1900" w:rsidRPr="00224537">
              <w:rPr>
                <w:rFonts w:ascii="Arial" w:eastAsia="Times New Roman" w:hAnsi="Arial" w:cs="Arial"/>
                <w:lang w:val="en-GB"/>
              </w:rPr>
              <w:t xml:space="preserve"> </w:t>
            </w:r>
            <w:r w:rsidR="00690294" w:rsidRPr="00224537">
              <w:rPr>
                <w:rFonts w:ascii="Arial" w:eastAsia="Times New Roman" w:hAnsi="Arial" w:cs="Arial"/>
                <w:lang w:val="en-GB"/>
              </w:rPr>
              <w:t>contingency</w:t>
            </w:r>
            <w:r w:rsidR="00CE1900" w:rsidRPr="00224537">
              <w:rPr>
                <w:rFonts w:ascii="Arial" w:eastAsia="Times New Roman" w:hAnsi="Arial" w:cs="Arial"/>
                <w:lang w:val="en-GB"/>
              </w:rPr>
              <w:t xml:space="preserve"> plans with </w:t>
            </w:r>
            <w:r w:rsidRPr="00224537">
              <w:rPr>
                <w:rFonts w:ascii="Arial" w:eastAsia="Times New Roman" w:hAnsi="Arial" w:cs="Arial"/>
                <w:lang w:val="en-GB"/>
              </w:rPr>
              <w:t>designated institutions</w:t>
            </w:r>
            <w:r w:rsidR="00857459" w:rsidRPr="00224537">
              <w:rPr>
                <w:rFonts w:ascii="Arial" w:eastAsia="Times New Roman" w:hAnsi="Arial" w:cs="Arial"/>
                <w:lang w:val="en-GB"/>
              </w:rPr>
              <w:t xml:space="preserve"> </w:t>
            </w:r>
            <w:r w:rsidR="00CE1900" w:rsidRPr="00224537">
              <w:rPr>
                <w:rFonts w:ascii="Arial" w:eastAsia="Times New Roman" w:hAnsi="Arial" w:cs="Arial"/>
                <w:lang w:val="en-GB"/>
              </w:rPr>
              <w:t>to ensure that the contracts and contingency plans can continue wit</w:t>
            </w:r>
            <w:r w:rsidRPr="00224537">
              <w:rPr>
                <w:rFonts w:ascii="Arial" w:eastAsia="Times New Roman" w:hAnsi="Arial" w:cs="Arial"/>
                <w:lang w:val="en-GB"/>
              </w:rPr>
              <w:t>h</w:t>
            </w:r>
            <w:r w:rsidR="00CE1900" w:rsidRPr="00224537">
              <w:rPr>
                <w:rFonts w:ascii="Arial" w:eastAsia="Times New Roman" w:hAnsi="Arial" w:cs="Arial"/>
                <w:lang w:val="en-GB"/>
              </w:rPr>
              <w:t xml:space="preserve"> the new </w:t>
            </w:r>
            <w:r w:rsidR="00147D12">
              <w:rPr>
                <w:rFonts w:ascii="Arial" w:eastAsia="Times New Roman" w:hAnsi="Arial" w:cs="Arial"/>
                <w:lang w:val="en-GB"/>
              </w:rPr>
              <w:t>“</w:t>
            </w:r>
            <w:r w:rsidR="00A929D8" w:rsidRPr="00224537">
              <w:rPr>
                <w:rFonts w:ascii="Arial" w:eastAsia="Times New Roman" w:hAnsi="Arial" w:cs="Arial"/>
                <w:lang w:val="en-GB"/>
              </w:rPr>
              <w:t>user</w:t>
            </w:r>
            <w:r w:rsidR="00CE1900" w:rsidRPr="00224537">
              <w:rPr>
                <w:rFonts w:ascii="Arial" w:eastAsia="Times New Roman" w:hAnsi="Arial" w:cs="Arial"/>
                <w:lang w:val="en-GB"/>
              </w:rPr>
              <w:t>/member/participant</w:t>
            </w:r>
            <w:r w:rsidRPr="00224537">
              <w:rPr>
                <w:rFonts w:ascii="Arial" w:eastAsia="Times New Roman" w:hAnsi="Arial" w:cs="Arial"/>
                <w:lang w:val="en-GB"/>
              </w:rPr>
              <w:t>”</w:t>
            </w:r>
            <w:r w:rsidR="00CE1900" w:rsidRPr="00224537">
              <w:rPr>
                <w:rFonts w:ascii="Arial" w:eastAsia="Times New Roman" w:hAnsi="Arial" w:cs="Arial"/>
                <w:lang w:val="en-GB"/>
              </w:rPr>
              <w:t xml:space="preserve"> for as </w:t>
            </w:r>
            <w:r w:rsidR="00857459" w:rsidRPr="00224537">
              <w:rPr>
                <w:rFonts w:ascii="Arial" w:eastAsia="Times New Roman" w:hAnsi="Arial" w:cs="Arial"/>
                <w:lang w:val="en-GB"/>
              </w:rPr>
              <w:t>long</w:t>
            </w:r>
            <w:r w:rsidR="00CE1900" w:rsidRPr="00224537">
              <w:rPr>
                <w:rFonts w:ascii="Arial" w:eastAsia="Times New Roman" w:hAnsi="Arial" w:cs="Arial"/>
                <w:lang w:val="en-GB"/>
              </w:rPr>
              <w:t xml:space="preserve"> as the</w:t>
            </w:r>
            <w:r w:rsidRPr="00224537">
              <w:rPr>
                <w:rFonts w:ascii="Arial" w:eastAsia="Times New Roman" w:hAnsi="Arial" w:cs="Arial"/>
                <w:lang w:val="en-GB"/>
              </w:rPr>
              <w:t xml:space="preserve"> relevant obligations </w:t>
            </w:r>
            <w:r w:rsidR="00CE1900" w:rsidRPr="00224537">
              <w:rPr>
                <w:rFonts w:ascii="Arial" w:eastAsia="Times New Roman" w:hAnsi="Arial" w:cs="Arial"/>
                <w:lang w:val="en-GB"/>
              </w:rPr>
              <w:t xml:space="preserve">are fulfilled by </w:t>
            </w:r>
            <w:r w:rsidR="00101990" w:rsidRPr="00224537">
              <w:rPr>
                <w:rFonts w:ascii="Arial" w:eastAsia="Times New Roman" w:hAnsi="Arial" w:cs="Arial"/>
                <w:lang w:val="en-GB"/>
              </w:rPr>
              <w:t xml:space="preserve">the </w:t>
            </w:r>
            <w:proofErr w:type="gramStart"/>
            <w:r w:rsidR="00465916">
              <w:rPr>
                <w:rFonts w:ascii="Arial" w:eastAsia="Times New Roman" w:hAnsi="Arial" w:cs="Arial"/>
                <w:lang w:val="en-GB"/>
              </w:rPr>
              <w:t>counterparty.</w:t>
            </w:r>
            <w:r w:rsidR="00857459" w:rsidRPr="00224537">
              <w:rPr>
                <w:rFonts w:ascii="Arial" w:eastAsia="Times New Roman" w:hAnsi="Arial" w:cs="Arial"/>
                <w:lang w:val="en-GB"/>
              </w:rPr>
              <w:t>.</w:t>
            </w:r>
            <w:proofErr w:type="gramEnd"/>
          </w:p>
          <w:p w14:paraId="20F06BF2" w14:textId="77777777" w:rsidR="00857459" w:rsidRPr="00224537" w:rsidRDefault="00857459" w:rsidP="00515BD8">
            <w:pPr>
              <w:spacing w:after="0" w:line="240" w:lineRule="auto"/>
              <w:jc w:val="both"/>
              <w:rPr>
                <w:rFonts w:ascii="Arial" w:eastAsia="Times New Roman" w:hAnsi="Arial" w:cs="Arial"/>
                <w:lang w:val="en-GB"/>
              </w:rPr>
            </w:pPr>
          </w:p>
          <w:p w14:paraId="654B92F3" w14:textId="0B07D556" w:rsidR="00E00C21" w:rsidRPr="00224537" w:rsidRDefault="00586B42" w:rsidP="00515BD8">
            <w:pPr>
              <w:spacing w:after="0" w:line="240" w:lineRule="auto"/>
              <w:jc w:val="both"/>
              <w:rPr>
                <w:rFonts w:ascii="Arial" w:eastAsia="Times New Roman" w:hAnsi="Arial" w:cs="Arial"/>
                <w:lang w:val="en-GB"/>
              </w:rPr>
            </w:pPr>
            <w:r w:rsidRPr="00224537">
              <w:rPr>
                <w:rFonts w:ascii="Arial" w:eastAsia="Times New Roman" w:hAnsi="Arial" w:cs="Arial"/>
                <w:lang w:val="en-GB"/>
              </w:rPr>
              <w:t>It is to be noted that r</w:t>
            </w:r>
            <w:r w:rsidR="00E00C21" w:rsidRPr="00224537">
              <w:rPr>
                <w:rFonts w:ascii="Arial" w:eastAsia="Times New Roman" w:hAnsi="Arial" w:cs="Arial"/>
                <w:lang w:val="en-GB"/>
              </w:rPr>
              <w:t xml:space="preserve">equirements for access to market infrastructures </w:t>
            </w:r>
            <w:r w:rsidR="001F0559" w:rsidRPr="00224537">
              <w:rPr>
                <w:rFonts w:ascii="Arial" w:eastAsia="Times New Roman" w:hAnsi="Arial" w:cs="Arial"/>
                <w:lang w:val="en-GB"/>
              </w:rPr>
              <w:t xml:space="preserve">and the arrangements that designated institutions should have </w:t>
            </w:r>
            <w:r w:rsidRPr="00224537">
              <w:rPr>
                <w:rFonts w:ascii="Arial" w:eastAsia="Times New Roman" w:hAnsi="Arial" w:cs="Arial"/>
                <w:lang w:val="en-GB"/>
              </w:rPr>
              <w:t>with market infrastructures</w:t>
            </w:r>
            <w:r w:rsidR="001F0559" w:rsidRPr="00224537">
              <w:rPr>
                <w:rFonts w:ascii="Arial" w:eastAsia="Times New Roman" w:hAnsi="Arial" w:cs="Arial"/>
                <w:lang w:val="en-GB"/>
              </w:rPr>
              <w:t xml:space="preserve"> for an orderly resolution will be covered in another Standard</w:t>
            </w:r>
            <w:r w:rsidRPr="00224537">
              <w:rPr>
                <w:rFonts w:ascii="Arial" w:eastAsia="Times New Roman" w:hAnsi="Arial" w:cs="Arial"/>
                <w:lang w:val="en-GB"/>
              </w:rPr>
              <w:t xml:space="preserve"> that is still to be developed and published</w:t>
            </w:r>
            <w:r w:rsidR="00AF2E55" w:rsidRPr="00224537">
              <w:rPr>
                <w:rFonts w:ascii="Arial" w:eastAsia="Times New Roman" w:hAnsi="Arial" w:cs="Arial"/>
                <w:lang w:val="en-GB"/>
              </w:rPr>
              <w:t xml:space="preserve"> in the future</w:t>
            </w:r>
            <w:r w:rsidR="001F0559" w:rsidRPr="00224537">
              <w:rPr>
                <w:rFonts w:ascii="Arial" w:eastAsia="Times New Roman" w:hAnsi="Arial" w:cs="Arial"/>
                <w:lang w:val="en-GB"/>
              </w:rPr>
              <w:t>.</w:t>
            </w:r>
          </w:p>
          <w:p w14:paraId="08DFDE9C" w14:textId="3B782586" w:rsidR="002A1DA1" w:rsidRPr="00224537" w:rsidRDefault="002A1DA1" w:rsidP="00614146">
            <w:pPr>
              <w:spacing w:after="0" w:line="240" w:lineRule="auto"/>
              <w:jc w:val="both"/>
              <w:rPr>
                <w:rFonts w:ascii="Arial" w:eastAsia="Times New Roman" w:hAnsi="Arial" w:cs="Arial"/>
                <w:lang w:val="en-GB"/>
              </w:rPr>
            </w:pPr>
          </w:p>
        </w:tc>
      </w:tr>
      <w:tr w:rsidR="00614146" w:rsidRPr="009D05E3" w14:paraId="5A7893A1" w14:textId="77777777" w:rsidTr="00515BD8">
        <w:trPr>
          <w:trHeight w:val="3068"/>
        </w:trPr>
        <w:tc>
          <w:tcPr>
            <w:tcW w:w="1886" w:type="dxa"/>
            <w:shd w:val="clear" w:color="auto" w:fill="auto"/>
            <w:vAlign w:val="bottom"/>
          </w:tcPr>
          <w:p w14:paraId="18FC3A9F" w14:textId="7062062F" w:rsidR="00614146" w:rsidRPr="009D05E3" w:rsidRDefault="00614146" w:rsidP="00224537">
            <w:pPr>
              <w:pStyle w:val="ListParagraph"/>
              <w:spacing w:after="2880"/>
              <w:rPr>
                <w:rFonts w:ascii="Arial" w:hAnsi="Arial" w:cs="Arial"/>
                <w:lang w:val="en-GB"/>
              </w:rPr>
            </w:pPr>
            <w:r>
              <w:rPr>
                <w:rFonts w:ascii="Arial" w:hAnsi="Arial" w:cs="Arial"/>
                <w:lang w:val="en-GB"/>
              </w:rPr>
              <w:t>145</w:t>
            </w:r>
          </w:p>
        </w:tc>
        <w:tc>
          <w:tcPr>
            <w:tcW w:w="2078" w:type="dxa"/>
            <w:shd w:val="clear" w:color="auto" w:fill="auto"/>
          </w:tcPr>
          <w:p w14:paraId="1F619D23" w14:textId="6AEB056C" w:rsidR="00614146" w:rsidRPr="009D05E3" w:rsidRDefault="00614146" w:rsidP="00614146">
            <w:pPr>
              <w:spacing w:after="0" w:line="240" w:lineRule="auto"/>
              <w:rPr>
                <w:rFonts w:ascii="Arial" w:hAnsi="Arial" w:cs="Arial"/>
                <w:sz w:val="20"/>
                <w:szCs w:val="20"/>
                <w:lang w:val="en-GB"/>
              </w:rPr>
            </w:pPr>
            <w:r>
              <w:rPr>
                <w:rFonts w:ascii="Arial" w:hAnsi="Arial" w:cs="Arial"/>
              </w:rPr>
              <w:t>MMH</w:t>
            </w:r>
          </w:p>
        </w:tc>
        <w:tc>
          <w:tcPr>
            <w:tcW w:w="2691" w:type="dxa"/>
            <w:shd w:val="clear" w:color="auto" w:fill="auto"/>
          </w:tcPr>
          <w:p w14:paraId="7ED6041B" w14:textId="2732D594" w:rsidR="00614146" w:rsidRPr="009D05E3" w:rsidRDefault="00614146" w:rsidP="00614146">
            <w:pPr>
              <w:spacing w:after="0" w:line="240" w:lineRule="auto"/>
              <w:rPr>
                <w:rFonts w:ascii="Arial" w:hAnsi="Arial" w:cs="Arial"/>
                <w:sz w:val="20"/>
                <w:szCs w:val="20"/>
                <w:lang w:val="en-GB"/>
              </w:rPr>
            </w:pPr>
            <w:r w:rsidRPr="00775440">
              <w:rPr>
                <w:rFonts w:ascii="Arial" w:hAnsi="Arial" w:cs="Arial"/>
                <w:bCs/>
              </w:rPr>
              <w:t>Section 166 / Paragraph 6 – Resolution Transfer Tools</w:t>
            </w:r>
          </w:p>
        </w:tc>
        <w:tc>
          <w:tcPr>
            <w:tcW w:w="7903" w:type="dxa"/>
            <w:shd w:val="clear" w:color="auto" w:fill="auto"/>
          </w:tcPr>
          <w:p w14:paraId="465AC7CB" w14:textId="77777777" w:rsidR="00614146" w:rsidRPr="00E92C7D" w:rsidRDefault="00614146" w:rsidP="00614146">
            <w:pPr>
              <w:spacing w:after="120"/>
              <w:jc w:val="both"/>
              <w:rPr>
                <w:rFonts w:ascii="Arial" w:hAnsi="Arial" w:cs="Arial"/>
                <w:color w:val="000000" w:themeColor="text1"/>
              </w:rPr>
            </w:pPr>
            <w:r w:rsidRPr="00E92C7D">
              <w:rPr>
                <w:rFonts w:ascii="Arial" w:hAnsi="Arial" w:cs="Arial"/>
                <w:color w:val="000000" w:themeColor="text1"/>
              </w:rPr>
              <w:t>Income Tax:</w:t>
            </w:r>
          </w:p>
          <w:p w14:paraId="73686914" w14:textId="23AF93A9" w:rsidR="00614146" w:rsidRPr="00E92C7D" w:rsidRDefault="00614146" w:rsidP="00614146">
            <w:pPr>
              <w:spacing w:after="0" w:line="240" w:lineRule="auto"/>
              <w:rPr>
                <w:rFonts w:ascii="Arial" w:eastAsia="Times New Roman" w:hAnsi="Arial" w:cs="Arial"/>
                <w:color w:val="000000" w:themeColor="text1"/>
                <w:lang w:val="en-GB"/>
              </w:rPr>
            </w:pPr>
            <w:r w:rsidRPr="00E92C7D">
              <w:rPr>
                <w:rFonts w:ascii="Arial" w:hAnsi="Arial" w:cs="Arial"/>
                <w:color w:val="000000" w:themeColor="text1"/>
              </w:rPr>
              <w:t>Entities in distress typically hold large tax losses and deficits (</w:t>
            </w:r>
            <w:r w:rsidRPr="00E877FF">
              <w:rPr>
                <w:rFonts w:ascii="Arial" w:hAnsi="Arial" w:cs="Arial"/>
                <w:color w:val="000000" w:themeColor="text1"/>
              </w:rPr>
              <w:t xml:space="preserve">both I-E and Transfers) which are valuable to potential acquirors. </w:t>
            </w:r>
            <w:r w:rsidRPr="00054DBB">
              <w:rPr>
                <w:rFonts w:ascii="Arial" w:hAnsi="Arial" w:cs="Arial"/>
                <w:color w:val="000000" w:themeColor="text1"/>
              </w:rPr>
              <w:t xml:space="preserve">Provision should be made to allow SARB to designate/effect the transfer of tax losses to new entity or venture - </w:t>
            </w:r>
            <w:proofErr w:type="gramStart"/>
            <w:r w:rsidRPr="00054DBB">
              <w:rPr>
                <w:rFonts w:ascii="Arial" w:hAnsi="Arial" w:cs="Arial"/>
                <w:color w:val="000000" w:themeColor="text1"/>
              </w:rPr>
              <w:t>similar to</w:t>
            </w:r>
            <w:proofErr w:type="gramEnd"/>
            <w:r w:rsidRPr="00054DBB">
              <w:rPr>
                <w:rFonts w:ascii="Arial" w:hAnsi="Arial" w:cs="Arial"/>
                <w:color w:val="000000" w:themeColor="text1"/>
              </w:rPr>
              <w:t xml:space="preserve"> Section 50 of the old Bank’s Act</w:t>
            </w:r>
            <w:r w:rsidRPr="00E877FF">
              <w:rPr>
                <w:rFonts w:ascii="Arial" w:hAnsi="Arial" w:cs="Arial"/>
                <w:color w:val="000000" w:themeColor="text1"/>
              </w:rPr>
              <w:t>. The untaxed policyholder funds of insurers typically hold significant investments and are usually excluded from any relief exemption in the Income Tax Act</w:t>
            </w:r>
            <w:r w:rsidRPr="00E92C7D">
              <w:rPr>
                <w:rFonts w:ascii="Arial" w:hAnsi="Arial" w:cs="Arial"/>
                <w:color w:val="000000" w:themeColor="text1"/>
              </w:rPr>
              <w:t>. Breaking up an insurance group would also typically lead to foreign subsidiaries incurring deemed exit taxes.  Provision should be made for these to “rollover” to the new acquiror and only be realized if a normal exit event occurs.</w:t>
            </w:r>
          </w:p>
        </w:tc>
        <w:tc>
          <w:tcPr>
            <w:tcW w:w="6416" w:type="dxa"/>
            <w:shd w:val="clear" w:color="auto" w:fill="auto"/>
          </w:tcPr>
          <w:p w14:paraId="07942C6A" w14:textId="5F180F88" w:rsidR="00614146" w:rsidRPr="00054DBB" w:rsidRDefault="007E5A90" w:rsidP="00614146">
            <w:pPr>
              <w:spacing w:after="0" w:line="240" w:lineRule="auto"/>
              <w:jc w:val="both"/>
              <w:rPr>
                <w:rFonts w:ascii="Arial" w:eastAsia="Times New Roman" w:hAnsi="Arial" w:cs="Arial"/>
                <w:lang w:val="en-GB"/>
              </w:rPr>
            </w:pPr>
            <w:r w:rsidRPr="00054DBB">
              <w:rPr>
                <w:rFonts w:ascii="Arial" w:eastAsia="Times New Roman" w:hAnsi="Arial" w:cs="Arial"/>
                <w:color w:val="000000" w:themeColor="text1"/>
                <w:lang w:val="en-GB"/>
              </w:rPr>
              <w:t xml:space="preserve">Noted. </w:t>
            </w:r>
            <w:r w:rsidRPr="003B7D9E">
              <w:rPr>
                <w:rFonts w:ascii="Arial" w:eastAsia="Times New Roman" w:hAnsi="Arial" w:cs="Arial"/>
                <w:color w:val="000000" w:themeColor="text1"/>
                <w:lang w:val="en-GB"/>
              </w:rPr>
              <w:t xml:space="preserve">The principle of the comment is </w:t>
            </w:r>
            <w:proofErr w:type="gramStart"/>
            <w:r w:rsidR="004A716B" w:rsidRPr="004A716B">
              <w:rPr>
                <w:rFonts w:ascii="Arial" w:eastAsia="Times New Roman" w:hAnsi="Arial" w:cs="Arial"/>
                <w:color w:val="000000" w:themeColor="text1"/>
                <w:lang w:val="en-GB"/>
              </w:rPr>
              <w:t>understood</w:t>
            </w:r>
            <w:r w:rsidR="004A716B">
              <w:rPr>
                <w:rFonts w:ascii="Arial" w:eastAsia="Times New Roman" w:hAnsi="Arial" w:cs="Arial"/>
                <w:color w:val="000000" w:themeColor="text1"/>
                <w:lang w:val="en-GB"/>
              </w:rPr>
              <w:t>,</w:t>
            </w:r>
            <w:proofErr w:type="gramEnd"/>
            <w:r w:rsidRPr="003B7D9E">
              <w:rPr>
                <w:rFonts w:ascii="Arial" w:eastAsia="Times New Roman" w:hAnsi="Arial" w:cs="Arial"/>
                <w:color w:val="000000" w:themeColor="text1"/>
                <w:lang w:val="en-GB"/>
              </w:rPr>
              <w:t xml:space="preserve"> however </w:t>
            </w:r>
            <w:r w:rsidR="00224537" w:rsidRPr="003B7D9E">
              <w:rPr>
                <w:rFonts w:ascii="Arial" w:eastAsia="Times New Roman" w:hAnsi="Arial" w:cs="Arial"/>
                <w:color w:val="000000" w:themeColor="text1"/>
                <w:lang w:val="en-GB"/>
              </w:rPr>
              <w:t>this fall</w:t>
            </w:r>
            <w:r w:rsidR="00E877FF">
              <w:rPr>
                <w:rFonts w:ascii="Arial" w:eastAsia="Times New Roman" w:hAnsi="Arial" w:cs="Arial"/>
                <w:color w:val="000000" w:themeColor="text1"/>
                <w:lang w:val="en-GB"/>
              </w:rPr>
              <w:t>s</w:t>
            </w:r>
            <w:r w:rsidRPr="003B7D9E">
              <w:rPr>
                <w:rFonts w:ascii="Arial" w:eastAsia="Times New Roman" w:hAnsi="Arial" w:cs="Arial"/>
                <w:color w:val="000000" w:themeColor="text1"/>
                <w:lang w:val="en-GB"/>
              </w:rPr>
              <w:t xml:space="preserve"> outside the mandate of the Prudential Authority to address as it relates to </w:t>
            </w:r>
            <w:r w:rsidRPr="00054DBB">
              <w:rPr>
                <w:rFonts w:ascii="Arial" w:eastAsia="Times New Roman" w:hAnsi="Arial" w:cs="Arial"/>
                <w:color w:val="000000" w:themeColor="text1"/>
                <w:lang w:val="en-GB"/>
              </w:rPr>
              <w:t>historical tax legislative amendments. This aspect of the Banks Act was amended by Act 20 of 2007</w:t>
            </w:r>
            <w:r w:rsidRPr="00054DBB">
              <w:rPr>
                <w:rFonts w:ascii="Arial" w:eastAsia="Times New Roman" w:hAnsi="Arial" w:cs="Arial"/>
                <w:color w:val="FF0000"/>
                <w:lang w:val="en-GB"/>
              </w:rPr>
              <w:t>.</w:t>
            </w:r>
          </w:p>
        </w:tc>
      </w:tr>
      <w:tr w:rsidR="00614146" w:rsidRPr="009D05E3" w14:paraId="2478FA19" w14:textId="77777777" w:rsidTr="00515BD8">
        <w:tc>
          <w:tcPr>
            <w:tcW w:w="1886" w:type="dxa"/>
            <w:shd w:val="clear" w:color="auto" w:fill="auto"/>
            <w:vAlign w:val="bottom"/>
          </w:tcPr>
          <w:p w14:paraId="5D500037" w14:textId="49873A13" w:rsidR="00614146" w:rsidRPr="009D05E3" w:rsidRDefault="00614146" w:rsidP="00224537">
            <w:pPr>
              <w:pStyle w:val="ListParagraph"/>
              <w:spacing w:after="1920"/>
              <w:rPr>
                <w:rFonts w:ascii="Arial" w:hAnsi="Arial" w:cs="Arial"/>
                <w:lang w:val="en-GB"/>
              </w:rPr>
            </w:pPr>
            <w:r>
              <w:rPr>
                <w:rFonts w:ascii="Arial" w:hAnsi="Arial" w:cs="Arial"/>
                <w:lang w:val="en-GB"/>
              </w:rPr>
              <w:lastRenderedPageBreak/>
              <w:t>146</w:t>
            </w:r>
          </w:p>
        </w:tc>
        <w:tc>
          <w:tcPr>
            <w:tcW w:w="2078" w:type="dxa"/>
            <w:shd w:val="clear" w:color="auto" w:fill="auto"/>
          </w:tcPr>
          <w:p w14:paraId="6125186B" w14:textId="5C8CFCFD" w:rsidR="00614146" w:rsidRDefault="00614146" w:rsidP="00614146">
            <w:pPr>
              <w:spacing w:after="0" w:line="240" w:lineRule="auto"/>
              <w:rPr>
                <w:rFonts w:ascii="Arial" w:hAnsi="Arial" w:cs="Arial"/>
              </w:rPr>
            </w:pPr>
            <w:r>
              <w:rPr>
                <w:rFonts w:ascii="Arial" w:hAnsi="Arial" w:cs="Arial"/>
              </w:rPr>
              <w:t>MMH</w:t>
            </w:r>
          </w:p>
        </w:tc>
        <w:tc>
          <w:tcPr>
            <w:tcW w:w="2691" w:type="dxa"/>
            <w:shd w:val="clear" w:color="auto" w:fill="auto"/>
          </w:tcPr>
          <w:p w14:paraId="6726A3ED" w14:textId="573205C6" w:rsidR="00614146" w:rsidRPr="009D05E3" w:rsidRDefault="00614146" w:rsidP="00614146">
            <w:pPr>
              <w:spacing w:after="0" w:line="240" w:lineRule="auto"/>
              <w:rPr>
                <w:rFonts w:ascii="Arial" w:hAnsi="Arial" w:cs="Arial"/>
                <w:sz w:val="20"/>
                <w:szCs w:val="20"/>
                <w:lang w:val="en-GB"/>
              </w:rPr>
            </w:pPr>
            <w:r w:rsidRPr="00775440">
              <w:rPr>
                <w:rFonts w:ascii="Arial" w:hAnsi="Arial" w:cs="Arial"/>
                <w:color w:val="000000"/>
              </w:rPr>
              <w:t>Section 166 / Paragraph 6 - Resolution Transfer Tools</w:t>
            </w:r>
          </w:p>
        </w:tc>
        <w:tc>
          <w:tcPr>
            <w:tcW w:w="7903" w:type="dxa"/>
            <w:shd w:val="clear" w:color="auto" w:fill="auto"/>
          </w:tcPr>
          <w:p w14:paraId="572317C0" w14:textId="77777777" w:rsidR="00614146" w:rsidRPr="00E92C7D" w:rsidRDefault="00614146" w:rsidP="00614146">
            <w:pPr>
              <w:spacing w:after="120"/>
              <w:rPr>
                <w:rFonts w:ascii="Arial" w:hAnsi="Arial" w:cs="Arial"/>
                <w:bCs/>
                <w:color w:val="000000" w:themeColor="text1"/>
              </w:rPr>
            </w:pPr>
            <w:r w:rsidRPr="00E92C7D">
              <w:rPr>
                <w:rFonts w:ascii="Arial" w:hAnsi="Arial" w:cs="Arial"/>
                <w:bCs/>
                <w:color w:val="000000" w:themeColor="text1"/>
              </w:rPr>
              <w:t>Indirect Taxes;</w:t>
            </w:r>
          </w:p>
          <w:p w14:paraId="506B99E2" w14:textId="78530500" w:rsidR="00614146" w:rsidRPr="00E92C7D" w:rsidRDefault="00614146" w:rsidP="00614146">
            <w:pPr>
              <w:spacing w:after="0" w:line="240" w:lineRule="auto"/>
              <w:rPr>
                <w:rFonts w:ascii="Arial" w:eastAsia="Times New Roman" w:hAnsi="Arial" w:cs="Arial"/>
                <w:color w:val="000000" w:themeColor="text1"/>
                <w:lang w:val="en-GB"/>
              </w:rPr>
            </w:pPr>
            <w:r w:rsidRPr="00E92C7D">
              <w:rPr>
                <w:rFonts w:ascii="Arial" w:hAnsi="Arial" w:cs="Arial"/>
                <w:bCs/>
                <w:color w:val="000000" w:themeColor="text1"/>
              </w:rPr>
              <w:t xml:space="preserve">Transferring books and assets leads to significant frictional costs (VAT / UST / Transfer Duty) where Group Relief or Going Concern exemptions under the Income Tax Act are unavailable. </w:t>
            </w:r>
            <w:r w:rsidRPr="00E92C7D">
              <w:rPr>
                <w:rFonts w:ascii="Arial" w:hAnsi="Arial" w:cs="Arial"/>
                <w:b/>
                <w:color w:val="000000" w:themeColor="text1"/>
              </w:rPr>
              <w:t>Provision should be made to empower SARB to exempt resolution transactions from these specific taxes to facilitate efficient and effective restructuring of distressed entities</w:t>
            </w:r>
            <w:r w:rsidRPr="00E92C7D">
              <w:rPr>
                <w:rFonts w:ascii="Arial" w:hAnsi="Arial" w:cs="Arial"/>
                <w:bCs/>
                <w:color w:val="000000" w:themeColor="text1"/>
              </w:rPr>
              <w:t>. The scope should include outsource transactions that usually create VAT inefficiencies.</w:t>
            </w:r>
          </w:p>
        </w:tc>
        <w:tc>
          <w:tcPr>
            <w:tcW w:w="6416" w:type="dxa"/>
            <w:shd w:val="clear" w:color="auto" w:fill="auto"/>
          </w:tcPr>
          <w:p w14:paraId="4AFB4453" w14:textId="0A695E88" w:rsidR="00614146" w:rsidRPr="00054DBB" w:rsidRDefault="008E40EC" w:rsidP="00614146">
            <w:pPr>
              <w:spacing w:after="0" w:line="240" w:lineRule="auto"/>
              <w:jc w:val="both"/>
              <w:rPr>
                <w:rFonts w:ascii="Arial" w:eastAsia="Times New Roman" w:hAnsi="Arial" w:cs="Arial"/>
                <w:lang w:val="en-GB"/>
              </w:rPr>
            </w:pPr>
            <w:r w:rsidRPr="00054DBB">
              <w:rPr>
                <w:rFonts w:ascii="Arial" w:eastAsia="Times New Roman" w:hAnsi="Arial" w:cs="Arial"/>
                <w:color w:val="000000" w:themeColor="text1"/>
                <w:lang w:val="en-GB"/>
              </w:rPr>
              <w:t xml:space="preserve">Noted. The principle of the comment is </w:t>
            </w:r>
            <w:proofErr w:type="gramStart"/>
            <w:r w:rsidRPr="00054DBB">
              <w:rPr>
                <w:rFonts w:ascii="Arial" w:eastAsia="Times New Roman" w:hAnsi="Arial" w:cs="Arial"/>
                <w:color w:val="000000" w:themeColor="text1"/>
                <w:lang w:val="en-GB"/>
              </w:rPr>
              <w:t>understood,</w:t>
            </w:r>
            <w:proofErr w:type="gramEnd"/>
            <w:r w:rsidRPr="00054DBB">
              <w:rPr>
                <w:rFonts w:ascii="Arial" w:eastAsia="Times New Roman" w:hAnsi="Arial" w:cs="Arial"/>
                <w:color w:val="000000" w:themeColor="text1"/>
                <w:lang w:val="en-GB"/>
              </w:rPr>
              <w:t xml:space="preserve"> however </w:t>
            </w:r>
            <w:r w:rsidR="00224537" w:rsidRPr="00054DBB">
              <w:rPr>
                <w:rFonts w:ascii="Arial" w:eastAsia="Times New Roman" w:hAnsi="Arial" w:cs="Arial"/>
                <w:color w:val="000000" w:themeColor="text1"/>
                <w:lang w:val="en-GB"/>
              </w:rPr>
              <w:t>this fall</w:t>
            </w:r>
            <w:r w:rsidRPr="00054DBB">
              <w:rPr>
                <w:rFonts w:ascii="Arial" w:eastAsia="Times New Roman" w:hAnsi="Arial" w:cs="Arial"/>
                <w:color w:val="000000" w:themeColor="text1"/>
                <w:lang w:val="en-GB"/>
              </w:rPr>
              <w:t xml:space="preserve"> outside the mandate of the Prudential Authority to address as it relates to historical tax legislative amendments. This aspect of the Banks Act was amended by Act 20 of 2007</w:t>
            </w:r>
            <w:r w:rsidR="00E877FF">
              <w:rPr>
                <w:rFonts w:ascii="Arial" w:eastAsia="Times New Roman" w:hAnsi="Arial" w:cs="Arial"/>
                <w:color w:val="000000" w:themeColor="text1"/>
                <w:lang w:val="en-GB"/>
              </w:rPr>
              <w:t>.</w:t>
            </w:r>
          </w:p>
        </w:tc>
      </w:tr>
      <w:tr w:rsidR="00614146" w:rsidRPr="009D05E3" w14:paraId="60E05DC0" w14:textId="77777777" w:rsidTr="00FC2C40">
        <w:tc>
          <w:tcPr>
            <w:tcW w:w="1886" w:type="dxa"/>
            <w:shd w:val="clear" w:color="auto" w:fill="FFFFFF" w:themeFill="background1"/>
            <w:vAlign w:val="bottom"/>
          </w:tcPr>
          <w:p w14:paraId="33EA8D41" w14:textId="5BD4D7AE" w:rsidR="00614146" w:rsidRPr="009D05E3" w:rsidRDefault="00614146" w:rsidP="00614146">
            <w:pPr>
              <w:pStyle w:val="ListParagraph"/>
              <w:rPr>
                <w:rFonts w:ascii="Arial" w:hAnsi="Arial" w:cs="Arial"/>
                <w:lang w:val="en-GB"/>
              </w:rPr>
            </w:pPr>
            <w:r>
              <w:rPr>
                <w:rFonts w:ascii="Arial" w:hAnsi="Arial" w:cs="Arial"/>
                <w:lang w:val="en-GB"/>
              </w:rPr>
              <w:t>147</w:t>
            </w:r>
          </w:p>
        </w:tc>
        <w:tc>
          <w:tcPr>
            <w:tcW w:w="2078" w:type="dxa"/>
            <w:shd w:val="clear" w:color="auto" w:fill="FFFFFF" w:themeFill="background1"/>
          </w:tcPr>
          <w:p w14:paraId="4839C763" w14:textId="553BF353" w:rsidR="00614146" w:rsidRPr="009D05E3" w:rsidRDefault="00614146" w:rsidP="00614146">
            <w:pPr>
              <w:spacing w:after="0" w:line="240" w:lineRule="auto"/>
              <w:rPr>
                <w:rFonts w:ascii="Arial" w:hAnsi="Arial" w:cs="Arial"/>
                <w:sz w:val="20"/>
                <w:szCs w:val="20"/>
                <w:lang w:val="en-GB"/>
              </w:rPr>
            </w:pPr>
            <w:r>
              <w:rPr>
                <w:rFonts w:ascii="Arial" w:hAnsi="Arial" w:cs="Arial"/>
              </w:rPr>
              <w:t>Nedbank</w:t>
            </w:r>
          </w:p>
        </w:tc>
        <w:tc>
          <w:tcPr>
            <w:tcW w:w="2691" w:type="dxa"/>
            <w:shd w:val="clear" w:color="auto" w:fill="FFFFFF" w:themeFill="background1"/>
          </w:tcPr>
          <w:p w14:paraId="6BA2F375" w14:textId="3350FCA5" w:rsidR="00614146" w:rsidRPr="009D05E3" w:rsidRDefault="00614146" w:rsidP="00614146">
            <w:pPr>
              <w:spacing w:after="0" w:line="240" w:lineRule="auto"/>
              <w:rPr>
                <w:rFonts w:ascii="Arial" w:hAnsi="Arial" w:cs="Arial"/>
                <w:sz w:val="20"/>
                <w:szCs w:val="20"/>
                <w:lang w:val="en-GB"/>
              </w:rPr>
            </w:pPr>
            <w:r>
              <w:rPr>
                <w:rFonts w:ascii="Arial" w:hAnsi="Arial" w:cs="Arial"/>
                <w:sz w:val="20"/>
                <w:szCs w:val="20"/>
              </w:rPr>
              <w:t>-</w:t>
            </w:r>
          </w:p>
        </w:tc>
        <w:tc>
          <w:tcPr>
            <w:tcW w:w="7903" w:type="dxa"/>
            <w:shd w:val="clear" w:color="auto" w:fill="FFFFFF" w:themeFill="background1"/>
          </w:tcPr>
          <w:p w14:paraId="6562CF2E" w14:textId="44F916CA" w:rsidR="00614146" w:rsidRPr="00774278" w:rsidRDefault="00614146" w:rsidP="00614146">
            <w:pPr>
              <w:spacing w:after="0" w:line="240" w:lineRule="auto"/>
              <w:rPr>
                <w:rFonts w:ascii="Arial" w:eastAsia="Times New Roman" w:hAnsi="Arial" w:cs="Arial"/>
                <w:lang w:val="en-GB"/>
              </w:rPr>
            </w:pPr>
            <w:r w:rsidRPr="00774278">
              <w:rPr>
                <w:rFonts w:ascii="Arial" w:hAnsi="Arial" w:cs="Arial"/>
                <w:lang w:val="en-GB"/>
              </w:rPr>
              <w:t>No comment</w:t>
            </w:r>
          </w:p>
        </w:tc>
        <w:tc>
          <w:tcPr>
            <w:tcW w:w="6416" w:type="dxa"/>
          </w:tcPr>
          <w:p w14:paraId="1AB30555" w14:textId="22EC1CD9" w:rsidR="00614146" w:rsidRPr="00054DBB" w:rsidRDefault="00614146" w:rsidP="00614146">
            <w:pPr>
              <w:spacing w:after="0" w:line="240" w:lineRule="auto"/>
              <w:jc w:val="both"/>
              <w:rPr>
                <w:rFonts w:ascii="Arial" w:eastAsia="Times New Roman" w:hAnsi="Arial" w:cs="Arial"/>
                <w:lang w:val="en-GB"/>
              </w:rPr>
            </w:pPr>
            <w:r w:rsidRPr="00054DBB">
              <w:rPr>
                <w:rFonts w:ascii="Arial" w:eastAsia="Times New Roman" w:hAnsi="Arial" w:cs="Arial"/>
                <w:lang w:val="en-GB"/>
              </w:rPr>
              <w:t>Noted</w:t>
            </w:r>
          </w:p>
        </w:tc>
      </w:tr>
      <w:tr w:rsidR="00614146" w:rsidRPr="009D05E3" w14:paraId="535FA8CB" w14:textId="77777777" w:rsidTr="00515BD8">
        <w:tc>
          <w:tcPr>
            <w:tcW w:w="1886" w:type="dxa"/>
            <w:shd w:val="clear" w:color="auto" w:fill="auto"/>
            <w:vAlign w:val="bottom"/>
          </w:tcPr>
          <w:p w14:paraId="06D8946B" w14:textId="2C9B152A" w:rsidR="00614146" w:rsidRPr="009D05E3" w:rsidRDefault="00614146" w:rsidP="00B85780">
            <w:pPr>
              <w:pStyle w:val="ListParagraph"/>
              <w:spacing w:after="8880"/>
              <w:rPr>
                <w:rFonts w:ascii="Arial" w:hAnsi="Arial" w:cs="Arial"/>
                <w:lang w:val="en-GB"/>
              </w:rPr>
            </w:pPr>
            <w:r>
              <w:rPr>
                <w:rFonts w:ascii="Arial" w:hAnsi="Arial" w:cs="Arial"/>
                <w:lang w:val="en-GB"/>
              </w:rPr>
              <w:t>148</w:t>
            </w:r>
          </w:p>
        </w:tc>
        <w:tc>
          <w:tcPr>
            <w:tcW w:w="2078" w:type="dxa"/>
            <w:shd w:val="clear" w:color="auto" w:fill="auto"/>
          </w:tcPr>
          <w:p w14:paraId="3DC274A9" w14:textId="77F290FD" w:rsidR="00614146" w:rsidRPr="009D05E3" w:rsidRDefault="00614146" w:rsidP="00614146">
            <w:pPr>
              <w:spacing w:after="0" w:line="240" w:lineRule="auto"/>
              <w:rPr>
                <w:rFonts w:ascii="Arial" w:hAnsi="Arial" w:cs="Arial"/>
                <w:sz w:val="20"/>
                <w:szCs w:val="20"/>
                <w:lang w:val="en-GB"/>
              </w:rPr>
            </w:pPr>
            <w:r>
              <w:rPr>
                <w:rFonts w:ascii="Arial" w:hAnsi="Arial" w:cs="Arial"/>
                <w:sz w:val="20"/>
                <w:szCs w:val="20"/>
                <w:lang w:val="en-GB"/>
              </w:rPr>
              <w:t>BASA</w:t>
            </w:r>
          </w:p>
        </w:tc>
        <w:tc>
          <w:tcPr>
            <w:tcW w:w="2691" w:type="dxa"/>
            <w:shd w:val="clear" w:color="auto" w:fill="auto"/>
          </w:tcPr>
          <w:p w14:paraId="649B0B41" w14:textId="77777777" w:rsidR="00614146" w:rsidRDefault="00614146" w:rsidP="00614146">
            <w:pPr>
              <w:spacing w:after="0" w:line="240" w:lineRule="auto"/>
              <w:rPr>
                <w:rFonts w:ascii="Arial" w:hAnsi="Arial" w:cs="Arial"/>
                <w:sz w:val="20"/>
                <w:szCs w:val="20"/>
                <w:lang w:val="en-GB"/>
              </w:rPr>
            </w:pPr>
            <w:r>
              <w:rPr>
                <w:rFonts w:ascii="Arial" w:hAnsi="Arial" w:cs="Arial"/>
                <w:sz w:val="20"/>
                <w:szCs w:val="20"/>
                <w:lang w:val="en-GB"/>
              </w:rPr>
              <w:t>General</w:t>
            </w:r>
          </w:p>
          <w:p w14:paraId="68023C2D" w14:textId="012E345A" w:rsidR="00614146" w:rsidRPr="009D05E3" w:rsidRDefault="00614146" w:rsidP="00614146">
            <w:pPr>
              <w:spacing w:after="0" w:line="240" w:lineRule="auto"/>
              <w:rPr>
                <w:rFonts w:ascii="Arial" w:hAnsi="Arial" w:cs="Arial"/>
                <w:sz w:val="20"/>
                <w:szCs w:val="20"/>
                <w:lang w:val="en-GB"/>
              </w:rPr>
            </w:pPr>
          </w:p>
        </w:tc>
        <w:tc>
          <w:tcPr>
            <w:tcW w:w="7903" w:type="dxa"/>
            <w:shd w:val="clear" w:color="auto" w:fill="auto"/>
          </w:tcPr>
          <w:p w14:paraId="2E0E4FB0" w14:textId="77777777" w:rsidR="00614146" w:rsidRPr="00A10D2B" w:rsidRDefault="00614146" w:rsidP="00E8746B">
            <w:pPr>
              <w:spacing w:afterLines="40" w:after="96" w:line="240" w:lineRule="auto"/>
              <w:rPr>
                <w:rFonts w:ascii="Arial" w:hAnsi="Arial" w:cs="Arial"/>
              </w:rPr>
            </w:pPr>
            <w:r w:rsidRPr="00A10D2B">
              <w:rPr>
                <w:rFonts w:ascii="Arial" w:hAnsi="Arial" w:cs="Arial"/>
              </w:rPr>
              <w:t>The application of the Standard will make the No Creditor Worse Off (NCWO) valuation requirement more complex as liabilities are transferred across a bridge institution and/or new acquiring institution.  </w:t>
            </w:r>
          </w:p>
          <w:p w14:paraId="7613EB20" w14:textId="77777777" w:rsidR="00614146" w:rsidRPr="00A10D2B" w:rsidRDefault="00614146" w:rsidP="00614146">
            <w:pPr>
              <w:spacing w:beforeLines="40" w:before="96" w:afterLines="40" w:after="96" w:line="240" w:lineRule="auto"/>
              <w:rPr>
                <w:rFonts w:ascii="Arial" w:hAnsi="Arial" w:cs="Arial"/>
              </w:rPr>
            </w:pPr>
            <w:r w:rsidRPr="00A10D2B">
              <w:rPr>
                <w:rFonts w:ascii="Arial" w:hAnsi="Arial" w:cs="Arial"/>
                <w:b/>
                <w:bCs/>
              </w:rPr>
              <w:t>Clarify</w:t>
            </w:r>
            <w:r w:rsidRPr="00A10D2B">
              <w:rPr>
                <w:rFonts w:ascii="Arial" w:hAnsi="Arial" w:cs="Arial"/>
              </w:rPr>
              <w:t xml:space="preserve"> if vendors liabilities need to be associated to the services they provide, and these services linked to the assets/businesses that utilise these associated services. I.e., transfer of assets will need to be linked to associated linked liabilities and transferred together. </w:t>
            </w:r>
          </w:p>
          <w:p w14:paraId="753022CF" w14:textId="77777777" w:rsidR="00614146" w:rsidRPr="00394983" w:rsidRDefault="00614146" w:rsidP="00614146">
            <w:pPr>
              <w:spacing w:beforeLines="40" w:before="96" w:afterLines="40" w:after="96" w:line="240" w:lineRule="auto"/>
              <w:rPr>
                <w:rFonts w:ascii="Arial" w:hAnsi="Arial" w:cs="Arial"/>
                <w:color w:val="000000" w:themeColor="text1"/>
              </w:rPr>
            </w:pPr>
            <w:r w:rsidRPr="00394983">
              <w:rPr>
                <w:rFonts w:ascii="Arial" w:hAnsi="Arial" w:cs="Arial"/>
                <w:b/>
                <w:bCs/>
                <w:color w:val="000000" w:themeColor="text1"/>
              </w:rPr>
              <w:t>Clarify</w:t>
            </w:r>
            <w:r w:rsidRPr="00394983">
              <w:rPr>
                <w:rFonts w:ascii="Arial" w:hAnsi="Arial" w:cs="Arial"/>
                <w:color w:val="000000" w:themeColor="text1"/>
              </w:rPr>
              <w:t xml:space="preserve"> if guidance will be given as to how liabilities are transferred in terms of insolvency rankings to prevent any creditors being prejudiced?</w:t>
            </w:r>
          </w:p>
          <w:p w14:paraId="7C691357" w14:textId="77777777" w:rsidR="00355B6C" w:rsidRPr="00B85780" w:rsidRDefault="00355B6C" w:rsidP="00614146">
            <w:pPr>
              <w:spacing w:beforeLines="40" w:before="96" w:afterLines="40" w:after="96" w:line="240" w:lineRule="auto"/>
              <w:rPr>
                <w:rFonts w:ascii="Arial" w:hAnsi="Arial" w:cs="Arial"/>
              </w:rPr>
            </w:pPr>
          </w:p>
          <w:p w14:paraId="52B44686" w14:textId="5C13BDE6" w:rsidR="00614146" w:rsidRPr="00B85780" w:rsidRDefault="00614146" w:rsidP="00614146">
            <w:pPr>
              <w:spacing w:beforeLines="40" w:before="96" w:afterLines="40" w:after="96" w:line="240" w:lineRule="auto"/>
              <w:rPr>
                <w:rFonts w:ascii="Arial" w:hAnsi="Arial" w:cs="Arial"/>
                <w:bCs/>
              </w:rPr>
            </w:pPr>
            <w:r w:rsidRPr="00B85780">
              <w:rPr>
                <w:rFonts w:ascii="Arial" w:hAnsi="Arial" w:cs="Arial"/>
              </w:rPr>
              <w:t xml:space="preserve">Depending on the complexity of the requirement in respect to above, the impact will be large and costly in terms of mapping and the required MIS. </w:t>
            </w:r>
          </w:p>
          <w:p w14:paraId="69026F19" w14:textId="6FDC825D" w:rsidR="00614146" w:rsidRDefault="00614146" w:rsidP="00614146">
            <w:pPr>
              <w:spacing w:beforeLines="40" w:before="96" w:afterLines="40" w:after="96" w:line="240" w:lineRule="auto"/>
              <w:rPr>
                <w:rFonts w:ascii="Arial" w:hAnsi="Arial" w:cs="Arial"/>
                <w:bCs/>
              </w:rPr>
            </w:pPr>
            <w:r w:rsidRPr="00B85780">
              <w:rPr>
                <w:rFonts w:ascii="Arial" w:hAnsi="Arial" w:cs="Arial"/>
                <w:bCs/>
              </w:rPr>
              <w:t xml:space="preserve">Additionally, although the SARB has the powers to effect transfers, the current wording suggests the “receiving entity” may be coerced as well. Can the PA </w:t>
            </w:r>
            <w:r w:rsidRPr="00B85780">
              <w:rPr>
                <w:rFonts w:ascii="Arial" w:hAnsi="Arial" w:cs="Arial"/>
                <w:b/>
              </w:rPr>
              <w:t>clarify</w:t>
            </w:r>
            <w:r w:rsidRPr="00B85780">
              <w:rPr>
                <w:rFonts w:ascii="Arial" w:hAnsi="Arial" w:cs="Arial"/>
                <w:bCs/>
              </w:rPr>
              <w:t>?</w:t>
            </w:r>
          </w:p>
          <w:p w14:paraId="79820ABD" w14:textId="0CE2F6AA" w:rsidR="005457D8" w:rsidRDefault="005457D8" w:rsidP="00614146">
            <w:pPr>
              <w:spacing w:beforeLines="40" w:before="96" w:afterLines="40" w:after="96" w:line="240" w:lineRule="auto"/>
              <w:rPr>
                <w:rFonts w:ascii="Arial" w:hAnsi="Arial" w:cs="Arial"/>
                <w:bCs/>
              </w:rPr>
            </w:pPr>
          </w:p>
          <w:p w14:paraId="7A1D90ED" w14:textId="5B4DC4A3" w:rsidR="005457D8" w:rsidRDefault="005457D8" w:rsidP="00614146">
            <w:pPr>
              <w:spacing w:beforeLines="40" w:before="96" w:afterLines="40" w:after="96" w:line="240" w:lineRule="auto"/>
              <w:rPr>
                <w:rFonts w:ascii="Arial" w:hAnsi="Arial" w:cs="Arial"/>
                <w:bCs/>
              </w:rPr>
            </w:pPr>
          </w:p>
          <w:p w14:paraId="576D1B95" w14:textId="62A5A32A" w:rsidR="005457D8" w:rsidRPr="00B85780" w:rsidRDefault="005457D8" w:rsidP="00614146">
            <w:pPr>
              <w:spacing w:beforeLines="40" w:before="96" w:afterLines="40" w:after="96" w:line="240" w:lineRule="auto"/>
              <w:rPr>
                <w:rFonts w:ascii="Arial" w:hAnsi="Arial" w:cs="Arial"/>
                <w:bCs/>
              </w:rPr>
            </w:pPr>
            <w:r w:rsidRPr="00B85780">
              <w:rPr>
                <w:rFonts w:ascii="Arial" w:hAnsi="Arial" w:cs="Arial"/>
                <w:bCs/>
              </w:rPr>
              <w:t>-------------------------------------------------------------------------------------------------------</w:t>
            </w:r>
          </w:p>
          <w:p w14:paraId="1D6D0BEB" w14:textId="77777777" w:rsidR="00614146" w:rsidRPr="00B85780" w:rsidRDefault="00614146" w:rsidP="00614146">
            <w:pPr>
              <w:spacing w:beforeLines="40" w:before="96" w:afterLines="40" w:after="96" w:line="240" w:lineRule="auto"/>
              <w:rPr>
                <w:rFonts w:ascii="Arial" w:hAnsi="Arial" w:cs="Arial"/>
                <w:bCs/>
              </w:rPr>
            </w:pPr>
            <w:proofErr w:type="gramStart"/>
            <w:r w:rsidRPr="00B85780">
              <w:rPr>
                <w:rFonts w:ascii="Arial" w:hAnsi="Arial" w:cs="Arial"/>
                <w:bCs/>
              </w:rPr>
              <w:t>Assuming that</w:t>
            </w:r>
            <w:proofErr w:type="gramEnd"/>
            <w:r w:rsidRPr="00B85780">
              <w:rPr>
                <w:rFonts w:ascii="Arial" w:hAnsi="Arial" w:cs="Arial"/>
                <w:bCs/>
              </w:rPr>
              <w:t xml:space="preserve"> interconnections include procedural, technological and people related interconnections, </w:t>
            </w:r>
            <w:r w:rsidRPr="00B85780">
              <w:rPr>
                <w:rFonts w:ascii="Arial" w:hAnsi="Arial" w:cs="Arial"/>
                <w:b/>
              </w:rPr>
              <w:t>recommend</w:t>
            </w:r>
            <w:r w:rsidRPr="00B85780">
              <w:rPr>
                <w:rFonts w:ascii="Arial" w:hAnsi="Arial" w:cs="Arial"/>
                <w:bCs/>
              </w:rPr>
              <w:t xml:space="preserve"> including a detailed specification of what the minimum and preferred content of such mapping would be to ensure consistency.</w:t>
            </w:r>
          </w:p>
          <w:p w14:paraId="7B6EF72E" w14:textId="77777777" w:rsidR="00614146" w:rsidRPr="00B85780" w:rsidRDefault="00614146" w:rsidP="00614146">
            <w:pPr>
              <w:spacing w:beforeLines="40" w:before="96" w:afterLines="40" w:after="96" w:line="240" w:lineRule="auto"/>
              <w:rPr>
                <w:rFonts w:ascii="Arial" w:hAnsi="Arial" w:cs="Arial"/>
                <w:bCs/>
              </w:rPr>
            </w:pPr>
            <w:r w:rsidRPr="00B85780">
              <w:rPr>
                <w:rFonts w:ascii="Arial" w:hAnsi="Arial" w:cs="Arial"/>
                <w:bCs/>
              </w:rPr>
              <w:t xml:space="preserve">Continuity measures should be implemented for the transfer perimeter, but the documentation does not specify what the minimum requirement for continuity would be. </w:t>
            </w:r>
            <w:r w:rsidRPr="00B85780">
              <w:rPr>
                <w:rFonts w:ascii="Arial" w:hAnsi="Arial" w:cs="Arial"/>
                <w:b/>
              </w:rPr>
              <w:t>Recommend</w:t>
            </w:r>
            <w:r w:rsidRPr="00B85780">
              <w:rPr>
                <w:rFonts w:ascii="Arial" w:hAnsi="Arial" w:cs="Arial"/>
                <w:bCs/>
              </w:rPr>
              <w:t xml:space="preserve"> that consideration be given to:</w:t>
            </w:r>
          </w:p>
          <w:p w14:paraId="6B0DA47B" w14:textId="77777777" w:rsidR="00614146" w:rsidRPr="00B85780" w:rsidRDefault="00614146" w:rsidP="00614146">
            <w:pPr>
              <w:pStyle w:val="ListParagraph"/>
              <w:numPr>
                <w:ilvl w:val="0"/>
                <w:numId w:val="13"/>
              </w:numPr>
              <w:spacing w:beforeLines="40" w:before="96" w:afterLines="40" w:after="96"/>
              <w:rPr>
                <w:rFonts w:ascii="Arial" w:hAnsi="Arial" w:cs="Arial"/>
                <w:bCs/>
              </w:rPr>
            </w:pPr>
            <w:r w:rsidRPr="00B85780">
              <w:rPr>
                <w:rFonts w:ascii="Arial" w:hAnsi="Arial" w:cs="Arial"/>
                <w:bCs/>
              </w:rPr>
              <w:t xml:space="preserve">a proposed recovery time objective that would need to be achieved, </w:t>
            </w:r>
          </w:p>
          <w:p w14:paraId="056BFDCB" w14:textId="77777777" w:rsidR="00614146" w:rsidRPr="00B85780" w:rsidRDefault="00614146" w:rsidP="00614146">
            <w:pPr>
              <w:pStyle w:val="ListParagraph"/>
              <w:numPr>
                <w:ilvl w:val="0"/>
                <w:numId w:val="13"/>
              </w:numPr>
              <w:spacing w:beforeLines="40" w:before="96" w:afterLines="40" w:after="96"/>
              <w:rPr>
                <w:rFonts w:ascii="Arial" w:hAnsi="Arial" w:cs="Arial"/>
                <w:bCs/>
              </w:rPr>
            </w:pPr>
            <w:r w:rsidRPr="00B85780">
              <w:rPr>
                <w:rFonts w:ascii="Arial" w:hAnsi="Arial" w:cs="Arial"/>
                <w:bCs/>
              </w:rPr>
              <w:t>a minimum business continuity objective or maximum tolerable period of disruption consideration that should be used to define the continuity measures required,</w:t>
            </w:r>
          </w:p>
          <w:p w14:paraId="38CB80CF" w14:textId="1AF41902" w:rsidR="00614146" w:rsidRPr="00A10D2B" w:rsidRDefault="00614146" w:rsidP="00614146">
            <w:pPr>
              <w:spacing w:after="0" w:line="240" w:lineRule="auto"/>
              <w:rPr>
                <w:rFonts w:ascii="Arial" w:eastAsia="Times New Roman" w:hAnsi="Arial" w:cs="Arial"/>
                <w:lang w:val="en-GB"/>
              </w:rPr>
            </w:pPr>
            <w:r w:rsidRPr="00B85780">
              <w:rPr>
                <w:rFonts w:ascii="Arial" w:hAnsi="Arial" w:cs="Arial"/>
                <w:b/>
              </w:rPr>
              <w:t>Clarify</w:t>
            </w:r>
            <w:r w:rsidRPr="00B85780">
              <w:rPr>
                <w:rFonts w:ascii="Arial" w:hAnsi="Arial" w:cs="Arial"/>
                <w:bCs/>
              </w:rPr>
              <w:t>, in respect of data, whether</w:t>
            </w:r>
            <w:r w:rsidRPr="00A10D2B">
              <w:rPr>
                <w:rFonts w:ascii="Arial" w:hAnsi="Arial" w:cs="Arial"/>
                <w:bCs/>
              </w:rPr>
              <w:t xml:space="preserve"> a minimum Recovery Point Objective will be required.</w:t>
            </w:r>
          </w:p>
        </w:tc>
        <w:tc>
          <w:tcPr>
            <w:tcW w:w="6416" w:type="dxa"/>
            <w:shd w:val="clear" w:color="auto" w:fill="auto"/>
          </w:tcPr>
          <w:p w14:paraId="2EA85C02" w14:textId="642FC606" w:rsidR="00394983" w:rsidRDefault="00394983" w:rsidP="00614146">
            <w:pPr>
              <w:spacing w:after="0" w:line="240" w:lineRule="auto"/>
              <w:jc w:val="both"/>
              <w:rPr>
                <w:rFonts w:ascii="Arial" w:eastAsia="Times New Roman" w:hAnsi="Arial" w:cs="Arial"/>
                <w:lang w:val="en-GB"/>
              </w:rPr>
            </w:pPr>
            <w:r>
              <w:rPr>
                <w:rFonts w:ascii="Arial" w:eastAsia="Times New Roman" w:hAnsi="Arial" w:cs="Arial"/>
                <w:lang w:val="en-GB"/>
              </w:rPr>
              <w:t>Section 9.2(</w:t>
            </w:r>
            <w:r w:rsidR="008D34A9">
              <w:rPr>
                <w:rFonts w:ascii="Arial" w:eastAsia="Times New Roman" w:hAnsi="Arial" w:cs="Arial"/>
                <w:lang w:val="en-GB"/>
              </w:rPr>
              <w:t>c)</w:t>
            </w:r>
            <w:r>
              <w:rPr>
                <w:rFonts w:ascii="Arial" w:eastAsia="Times New Roman" w:hAnsi="Arial" w:cs="Arial"/>
                <w:lang w:val="en-GB"/>
              </w:rPr>
              <w:t xml:space="preserve"> requires designated institutions to include, as far as possible, liabilities that would give rise to NCWOL </w:t>
            </w:r>
            <w:r w:rsidR="0075646C">
              <w:rPr>
                <w:rFonts w:ascii="Arial" w:eastAsia="Times New Roman" w:hAnsi="Arial" w:cs="Arial"/>
                <w:lang w:val="en-GB"/>
              </w:rPr>
              <w:t>i</w:t>
            </w:r>
            <w:r>
              <w:rPr>
                <w:rFonts w:ascii="Arial" w:eastAsia="Times New Roman" w:hAnsi="Arial" w:cs="Arial"/>
                <w:lang w:val="en-GB"/>
              </w:rPr>
              <w:t>f they remained in the residual institution.</w:t>
            </w:r>
          </w:p>
          <w:p w14:paraId="73EEBEC0" w14:textId="77777777" w:rsidR="00394983" w:rsidRDefault="00394983" w:rsidP="00614146">
            <w:pPr>
              <w:spacing w:after="0" w:line="240" w:lineRule="auto"/>
              <w:jc w:val="both"/>
              <w:rPr>
                <w:rFonts w:ascii="Arial" w:eastAsia="Times New Roman" w:hAnsi="Arial" w:cs="Arial"/>
                <w:lang w:val="en-GB"/>
              </w:rPr>
            </w:pPr>
          </w:p>
          <w:p w14:paraId="4579603D" w14:textId="7A652536" w:rsidR="001320E9" w:rsidRDefault="001320E9" w:rsidP="00614146">
            <w:pPr>
              <w:spacing w:after="0" w:line="240" w:lineRule="auto"/>
              <w:jc w:val="both"/>
              <w:rPr>
                <w:rFonts w:ascii="Arial" w:eastAsia="Times New Roman" w:hAnsi="Arial" w:cs="Arial"/>
                <w:lang w:val="en-GB"/>
              </w:rPr>
            </w:pPr>
            <w:r>
              <w:rPr>
                <w:rFonts w:ascii="Arial" w:eastAsia="Times New Roman" w:hAnsi="Arial" w:cs="Arial"/>
                <w:lang w:val="en-GB"/>
              </w:rPr>
              <w:t>The requirement</w:t>
            </w:r>
            <w:r w:rsidR="000E20CF">
              <w:rPr>
                <w:rFonts w:ascii="Arial" w:eastAsia="Times New Roman" w:hAnsi="Arial" w:cs="Arial"/>
                <w:lang w:val="en-GB"/>
              </w:rPr>
              <w:t>s (under section 8)</w:t>
            </w:r>
            <w:r>
              <w:rPr>
                <w:rFonts w:ascii="Arial" w:eastAsia="Times New Roman" w:hAnsi="Arial" w:cs="Arial"/>
                <w:lang w:val="en-GB"/>
              </w:rPr>
              <w:t xml:space="preserve"> to identify financial, legal, </w:t>
            </w:r>
            <w:proofErr w:type="gramStart"/>
            <w:r>
              <w:rPr>
                <w:rFonts w:ascii="Arial" w:eastAsia="Times New Roman" w:hAnsi="Arial" w:cs="Arial"/>
                <w:lang w:val="en-GB"/>
              </w:rPr>
              <w:t>operational</w:t>
            </w:r>
            <w:proofErr w:type="gramEnd"/>
            <w:r>
              <w:rPr>
                <w:rFonts w:ascii="Arial" w:eastAsia="Times New Roman" w:hAnsi="Arial" w:cs="Arial"/>
                <w:lang w:val="en-GB"/>
              </w:rPr>
              <w:t xml:space="preserve"> and business interconnection</w:t>
            </w:r>
            <w:r w:rsidR="000E20CF">
              <w:rPr>
                <w:rFonts w:ascii="Arial" w:eastAsia="Times New Roman" w:hAnsi="Arial" w:cs="Arial"/>
                <w:lang w:val="en-GB"/>
              </w:rPr>
              <w:t xml:space="preserve"> related to the transfer perimeter</w:t>
            </w:r>
            <w:r>
              <w:rPr>
                <w:rFonts w:ascii="Arial" w:eastAsia="Times New Roman" w:hAnsi="Arial" w:cs="Arial"/>
                <w:lang w:val="en-GB"/>
              </w:rPr>
              <w:t xml:space="preserve"> </w:t>
            </w:r>
            <w:r w:rsidR="0075646C">
              <w:rPr>
                <w:rFonts w:ascii="Arial" w:eastAsia="Times New Roman" w:hAnsi="Arial" w:cs="Arial"/>
                <w:lang w:val="en-GB"/>
              </w:rPr>
              <w:t>are</w:t>
            </w:r>
            <w:r>
              <w:rPr>
                <w:rFonts w:ascii="Arial" w:eastAsia="Times New Roman" w:hAnsi="Arial" w:cs="Arial"/>
                <w:lang w:val="en-GB"/>
              </w:rPr>
              <w:t xml:space="preserve"> </w:t>
            </w:r>
            <w:r w:rsidR="000E20CF">
              <w:rPr>
                <w:rFonts w:ascii="Arial" w:eastAsia="Times New Roman" w:hAnsi="Arial" w:cs="Arial"/>
                <w:lang w:val="en-GB"/>
              </w:rPr>
              <w:t xml:space="preserve">to enable the designated institution to deal with these interconnections appropriately </w:t>
            </w:r>
            <w:r w:rsidR="00F628C5">
              <w:rPr>
                <w:rFonts w:ascii="Arial" w:eastAsia="Times New Roman" w:hAnsi="Arial" w:cs="Arial"/>
                <w:lang w:val="en-GB"/>
              </w:rPr>
              <w:t>i.e.,</w:t>
            </w:r>
            <w:r w:rsidR="000E20CF">
              <w:rPr>
                <w:rFonts w:ascii="Arial" w:eastAsia="Times New Roman" w:hAnsi="Arial" w:cs="Arial"/>
                <w:lang w:val="en-GB"/>
              </w:rPr>
              <w:t xml:space="preserve"> hard interconnections will be included in the transfer perimeter, whilst soft interconnections are mitigated</w:t>
            </w:r>
            <w:r w:rsidR="00C20055">
              <w:rPr>
                <w:rFonts w:ascii="Arial" w:eastAsia="Times New Roman" w:hAnsi="Arial" w:cs="Arial"/>
                <w:lang w:val="en-GB"/>
              </w:rPr>
              <w:t xml:space="preserve"> or</w:t>
            </w:r>
            <w:r w:rsidR="0075646C">
              <w:rPr>
                <w:rFonts w:ascii="Arial" w:eastAsia="Times New Roman" w:hAnsi="Arial" w:cs="Arial"/>
                <w:lang w:val="en-GB"/>
              </w:rPr>
              <w:t xml:space="preserve"> removed</w:t>
            </w:r>
            <w:r w:rsidR="000E20CF">
              <w:rPr>
                <w:rFonts w:ascii="Arial" w:eastAsia="Times New Roman" w:hAnsi="Arial" w:cs="Arial"/>
                <w:lang w:val="en-GB"/>
              </w:rPr>
              <w:t>.</w:t>
            </w:r>
          </w:p>
          <w:p w14:paraId="722EF066" w14:textId="77777777" w:rsidR="00240AC9" w:rsidRDefault="00240AC9" w:rsidP="00614146">
            <w:pPr>
              <w:spacing w:after="0" w:line="240" w:lineRule="auto"/>
              <w:jc w:val="both"/>
              <w:rPr>
                <w:rFonts w:ascii="Arial" w:eastAsia="Times New Roman" w:hAnsi="Arial" w:cs="Arial"/>
                <w:lang w:val="en-GB"/>
              </w:rPr>
            </w:pPr>
          </w:p>
          <w:p w14:paraId="6AC6FF47" w14:textId="6F141EFB" w:rsidR="00217472" w:rsidRDefault="00D13F36" w:rsidP="00614146">
            <w:pPr>
              <w:spacing w:after="0" w:line="240" w:lineRule="auto"/>
              <w:jc w:val="both"/>
              <w:rPr>
                <w:rFonts w:ascii="Arial" w:eastAsia="Times New Roman" w:hAnsi="Arial" w:cs="Arial"/>
                <w:lang w:val="en-GB"/>
              </w:rPr>
            </w:pPr>
            <w:r>
              <w:rPr>
                <w:rFonts w:ascii="Arial" w:eastAsia="Times New Roman" w:hAnsi="Arial" w:cs="Arial"/>
                <w:lang w:val="en-GB"/>
              </w:rPr>
              <w:t>Save for transfers to an Asset Management Company (which will be used to maximise the returns on the non-performing assets), t</w:t>
            </w:r>
            <w:r w:rsidR="00217472">
              <w:rPr>
                <w:rFonts w:ascii="Arial" w:eastAsia="Times New Roman" w:hAnsi="Arial" w:cs="Arial"/>
                <w:lang w:val="en-GB"/>
              </w:rPr>
              <w:t>ransfer</w:t>
            </w:r>
            <w:r w:rsidR="007001EF">
              <w:rPr>
                <w:rFonts w:ascii="Arial" w:eastAsia="Times New Roman" w:hAnsi="Arial" w:cs="Arial"/>
                <w:lang w:val="en-GB"/>
              </w:rPr>
              <w:t>s</w:t>
            </w:r>
            <w:r w:rsidR="000B477D">
              <w:rPr>
                <w:rFonts w:ascii="Arial" w:eastAsia="Times New Roman" w:hAnsi="Arial" w:cs="Arial"/>
                <w:lang w:val="en-GB"/>
              </w:rPr>
              <w:t xml:space="preserve"> will be made to a new acquiring institution or a bridge institution (pending a future sale). </w:t>
            </w:r>
            <w:r>
              <w:rPr>
                <w:rFonts w:ascii="Arial" w:eastAsia="Times New Roman" w:hAnsi="Arial" w:cs="Arial"/>
                <w:lang w:val="en-GB"/>
              </w:rPr>
              <w:t>Therefore,</w:t>
            </w:r>
            <w:r w:rsidR="000B477D">
              <w:rPr>
                <w:rFonts w:ascii="Arial" w:eastAsia="Times New Roman" w:hAnsi="Arial" w:cs="Arial"/>
                <w:lang w:val="en-GB"/>
              </w:rPr>
              <w:t xml:space="preserve"> because these</w:t>
            </w:r>
            <w:r>
              <w:rPr>
                <w:rFonts w:ascii="Arial" w:eastAsia="Times New Roman" w:hAnsi="Arial" w:cs="Arial"/>
                <w:lang w:val="en-GB"/>
              </w:rPr>
              <w:t xml:space="preserve"> transfers</w:t>
            </w:r>
            <w:r w:rsidR="000B477D">
              <w:rPr>
                <w:rFonts w:ascii="Arial" w:eastAsia="Times New Roman" w:hAnsi="Arial" w:cs="Arial"/>
                <w:lang w:val="en-GB"/>
              </w:rPr>
              <w:t xml:space="preserve"> are </w:t>
            </w:r>
            <w:r>
              <w:rPr>
                <w:rFonts w:ascii="Arial" w:eastAsia="Times New Roman" w:hAnsi="Arial" w:cs="Arial"/>
                <w:lang w:val="en-GB"/>
              </w:rPr>
              <w:t xml:space="preserve">essentially </w:t>
            </w:r>
            <w:r w:rsidR="000B477D">
              <w:rPr>
                <w:rFonts w:ascii="Arial" w:eastAsia="Times New Roman" w:hAnsi="Arial" w:cs="Arial"/>
                <w:lang w:val="en-GB"/>
              </w:rPr>
              <w:t>sale</w:t>
            </w:r>
            <w:r w:rsidR="00217472">
              <w:rPr>
                <w:rFonts w:ascii="Arial" w:eastAsia="Times New Roman" w:hAnsi="Arial" w:cs="Arial"/>
                <w:lang w:val="en-GB"/>
              </w:rPr>
              <w:t xml:space="preserve"> transactions, they </w:t>
            </w:r>
            <w:proofErr w:type="gramStart"/>
            <w:r w:rsidR="00217472">
              <w:rPr>
                <w:rFonts w:ascii="Arial" w:eastAsia="Times New Roman" w:hAnsi="Arial" w:cs="Arial"/>
                <w:lang w:val="en-GB"/>
              </w:rPr>
              <w:t>have to</w:t>
            </w:r>
            <w:proofErr w:type="gramEnd"/>
            <w:r w:rsidR="00217472">
              <w:rPr>
                <w:rFonts w:ascii="Arial" w:eastAsia="Times New Roman" w:hAnsi="Arial" w:cs="Arial"/>
                <w:lang w:val="en-GB"/>
              </w:rPr>
              <w:t xml:space="preserve"> make economic sense </w:t>
            </w:r>
            <w:r>
              <w:rPr>
                <w:rFonts w:ascii="Arial" w:eastAsia="Times New Roman" w:hAnsi="Arial" w:cs="Arial"/>
                <w:lang w:val="en-GB"/>
              </w:rPr>
              <w:t>(</w:t>
            </w:r>
            <w:r w:rsidR="00217472">
              <w:rPr>
                <w:rFonts w:ascii="Arial" w:eastAsia="Times New Roman" w:hAnsi="Arial" w:cs="Arial"/>
                <w:lang w:val="en-GB"/>
              </w:rPr>
              <w:t xml:space="preserve">and </w:t>
            </w:r>
            <w:r>
              <w:rPr>
                <w:rFonts w:ascii="Arial" w:eastAsia="Times New Roman" w:hAnsi="Arial" w:cs="Arial"/>
                <w:lang w:val="en-GB"/>
              </w:rPr>
              <w:t>transfers include processes such as due diligence and valuations).</w:t>
            </w:r>
            <w:r w:rsidR="00217472">
              <w:rPr>
                <w:rFonts w:ascii="Arial" w:eastAsia="Times New Roman" w:hAnsi="Arial" w:cs="Arial"/>
                <w:lang w:val="en-GB"/>
              </w:rPr>
              <w:t xml:space="preserve"> </w:t>
            </w:r>
            <w:r>
              <w:rPr>
                <w:rFonts w:ascii="Arial" w:eastAsia="Times New Roman" w:hAnsi="Arial" w:cs="Arial"/>
                <w:lang w:val="en-GB"/>
              </w:rPr>
              <w:t>Therefore,</w:t>
            </w:r>
            <w:r w:rsidR="00217472">
              <w:rPr>
                <w:rFonts w:ascii="Arial" w:eastAsia="Times New Roman" w:hAnsi="Arial" w:cs="Arial"/>
                <w:lang w:val="en-GB"/>
              </w:rPr>
              <w:t xml:space="preserve"> the </w:t>
            </w:r>
            <w:r w:rsidR="00DA560E">
              <w:rPr>
                <w:rFonts w:ascii="Arial" w:eastAsia="Times New Roman" w:hAnsi="Arial" w:cs="Arial"/>
                <w:lang w:val="en-GB"/>
              </w:rPr>
              <w:t>Authorities</w:t>
            </w:r>
            <w:r w:rsidR="00217472">
              <w:rPr>
                <w:rFonts w:ascii="Arial" w:eastAsia="Times New Roman" w:hAnsi="Arial" w:cs="Arial"/>
                <w:lang w:val="en-GB"/>
              </w:rPr>
              <w:t xml:space="preserve"> </w:t>
            </w:r>
            <w:r w:rsidR="005E1357">
              <w:rPr>
                <w:rFonts w:ascii="Arial" w:eastAsia="Times New Roman" w:hAnsi="Arial" w:cs="Arial"/>
                <w:lang w:val="en-GB"/>
              </w:rPr>
              <w:t>are</w:t>
            </w:r>
            <w:r w:rsidR="00217472">
              <w:rPr>
                <w:rFonts w:ascii="Arial" w:eastAsia="Times New Roman" w:hAnsi="Arial" w:cs="Arial"/>
                <w:lang w:val="en-GB"/>
              </w:rPr>
              <w:t xml:space="preserve"> not clear on the </w:t>
            </w:r>
            <w:r>
              <w:rPr>
                <w:rFonts w:ascii="Arial" w:eastAsia="Times New Roman" w:hAnsi="Arial" w:cs="Arial"/>
                <w:lang w:val="en-GB"/>
              </w:rPr>
              <w:t>respondents’ statement</w:t>
            </w:r>
            <w:r w:rsidR="00217472">
              <w:rPr>
                <w:rFonts w:ascii="Arial" w:eastAsia="Times New Roman" w:hAnsi="Arial" w:cs="Arial"/>
                <w:lang w:val="en-GB"/>
              </w:rPr>
              <w:t xml:space="preserve"> that there is wording that suggest coercion.</w:t>
            </w:r>
          </w:p>
          <w:p w14:paraId="453BCD12" w14:textId="3CA69F45" w:rsidR="003F64F2" w:rsidRDefault="00355B6C" w:rsidP="00355B6C">
            <w:pPr>
              <w:spacing w:after="0" w:line="240" w:lineRule="auto"/>
              <w:jc w:val="both"/>
              <w:rPr>
                <w:rFonts w:ascii="Arial" w:eastAsia="Times New Roman" w:hAnsi="Arial" w:cs="Arial"/>
                <w:lang w:val="en-GB"/>
              </w:rPr>
            </w:pPr>
            <w:r>
              <w:rPr>
                <w:rFonts w:ascii="Arial" w:eastAsia="Times New Roman" w:hAnsi="Arial" w:cs="Arial"/>
                <w:lang w:val="en-GB"/>
              </w:rPr>
              <w:t>------------------------------------------------------------------------------------</w:t>
            </w:r>
          </w:p>
          <w:p w14:paraId="5F38E285" w14:textId="28ACFAF2" w:rsidR="00355B6C" w:rsidRDefault="00355B6C" w:rsidP="00355B6C">
            <w:pPr>
              <w:spacing w:after="0" w:line="240" w:lineRule="auto"/>
              <w:jc w:val="both"/>
              <w:rPr>
                <w:rFonts w:ascii="Arial" w:eastAsia="Times New Roman" w:hAnsi="Arial" w:cs="Arial"/>
                <w:lang w:val="en-GB"/>
              </w:rPr>
            </w:pPr>
            <w:r>
              <w:rPr>
                <w:rFonts w:ascii="Arial" w:eastAsia="Times New Roman" w:hAnsi="Arial" w:cs="Arial"/>
                <w:lang w:val="en-GB"/>
              </w:rPr>
              <w:t xml:space="preserve">Identification of the interconnections </w:t>
            </w:r>
            <w:r w:rsidR="00485ECA">
              <w:rPr>
                <w:rFonts w:ascii="Arial" w:eastAsia="Times New Roman" w:hAnsi="Arial" w:cs="Arial"/>
                <w:lang w:val="en-GB"/>
              </w:rPr>
              <w:t>that the t</w:t>
            </w:r>
            <w:r>
              <w:rPr>
                <w:rFonts w:ascii="Arial" w:eastAsia="Times New Roman" w:hAnsi="Arial" w:cs="Arial"/>
                <w:lang w:val="en-GB"/>
              </w:rPr>
              <w:t xml:space="preserve">ransfer </w:t>
            </w:r>
            <w:r w:rsidR="00066F44">
              <w:rPr>
                <w:rFonts w:ascii="Arial" w:eastAsia="Times New Roman" w:hAnsi="Arial" w:cs="Arial"/>
                <w:lang w:val="en-GB"/>
              </w:rPr>
              <w:t>perimeter</w:t>
            </w:r>
            <w:r>
              <w:rPr>
                <w:rFonts w:ascii="Arial" w:eastAsia="Times New Roman" w:hAnsi="Arial" w:cs="Arial"/>
                <w:lang w:val="en-GB"/>
              </w:rPr>
              <w:t xml:space="preserve"> has with the rest of the designated institution </w:t>
            </w:r>
            <w:r w:rsidR="00066F44">
              <w:rPr>
                <w:rFonts w:ascii="Arial" w:eastAsia="Times New Roman" w:hAnsi="Arial" w:cs="Arial"/>
                <w:lang w:val="en-GB"/>
              </w:rPr>
              <w:t xml:space="preserve">and dealing with those interconnections appropriately is what </w:t>
            </w:r>
            <w:r w:rsidR="00187F73">
              <w:rPr>
                <w:rFonts w:ascii="Arial" w:eastAsia="Times New Roman" w:hAnsi="Arial" w:cs="Arial"/>
                <w:lang w:val="en-GB"/>
              </w:rPr>
              <w:t>enables a</w:t>
            </w:r>
            <w:r w:rsidR="0052734D">
              <w:rPr>
                <w:rFonts w:ascii="Arial" w:eastAsia="Times New Roman" w:hAnsi="Arial" w:cs="Arial"/>
                <w:lang w:val="en-GB"/>
              </w:rPr>
              <w:t xml:space="preserve"> smooth and clean </w:t>
            </w:r>
            <w:r w:rsidR="00DB0100">
              <w:rPr>
                <w:rFonts w:ascii="Arial" w:eastAsia="Times New Roman" w:hAnsi="Arial" w:cs="Arial"/>
                <w:lang w:val="en-GB"/>
              </w:rPr>
              <w:t>separation and continuity of the perimeter post separation</w:t>
            </w:r>
            <w:r w:rsidR="00066F44">
              <w:rPr>
                <w:rFonts w:ascii="Arial" w:eastAsia="Times New Roman" w:hAnsi="Arial" w:cs="Arial"/>
                <w:lang w:val="en-GB"/>
              </w:rPr>
              <w:t>.</w:t>
            </w:r>
          </w:p>
          <w:p w14:paraId="5CD2387B" w14:textId="07CDAB04" w:rsidR="00066F44" w:rsidRDefault="00066F44" w:rsidP="00355B6C">
            <w:pPr>
              <w:spacing w:after="0" w:line="240" w:lineRule="auto"/>
              <w:jc w:val="both"/>
              <w:rPr>
                <w:rFonts w:ascii="Arial" w:eastAsia="Times New Roman" w:hAnsi="Arial" w:cs="Arial"/>
                <w:lang w:val="en-GB"/>
              </w:rPr>
            </w:pPr>
          </w:p>
          <w:p w14:paraId="7826743E" w14:textId="349BC231" w:rsidR="00066F44" w:rsidRDefault="00066F44" w:rsidP="00355B6C">
            <w:pPr>
              <w:spacing w:after="0" w:line="240" w:lineRule="auto"/>
              <w:jc w:val="both"/>
              <w:rPr>
                <w:rFonts w:ascii="Arial" w:eastAsia="Times New Roman" w:hAnsi="Arial" w:cs="Arial"/>
                <w:lang w:val="en-GB"/>
              </w:rPr>
            </w:pPr>
            <w:r>
              <w:rPr>
                <w:rFonts w:ascii="Arial" w:eastAsia="Times New Roman" w:hAnsi="Arial" w:cs="Arial"/>
                <w:lang w:val="en-GB"/>
              </w:rPr>
              <w:t xml:space="preserve">The </w:t>
            </w:r>
            <w:r w:rsidR="00187F73">
              <w:rPr>
                <w:rFonts w:ascii="Arial" w:eastAsia="Times New Roman" w:hAnsi="Arial" w:cs="Arial"/>
                <w:lang w:val="en-GB"/>
              </w:rPr>
              <w:t>requirement</w:t>
            </w:r>
            <w:r>
              <w:rPr>
                <w:rFonts w:ascii="Arial" w:eastAsia="Times New Roman" w:hAnsi="Arial" w:cs="Arial"/>
                <w:lang w:val="en-GB"/>
              </w:rPr>
              <w:t xml:space="preserve"> of </w:t>
            </w:r>
            <w:r w:rsidR="00266AA0">
              <w:rPr>
                <w:rFonts w:ascii="Arial" w:eastAsia="Times New Roman" w:hAnsi="Arial" w:cs="Arial"/>
                <w:lang w:val="en-GB"/>
              </w:rPr>
              <w:t>the Standard relate</w:t>
            </w:r>
            <w:r w:rsidR="00485ECA">
              <w:rPr>
                <w:rFonts w:ascii="Arial" w:eastAsia="Times New Roman" w:hAnsi="Arial" w:cs="Arial"/>
                <w:lang w:val="en-GB"/>
              </w:rPr>
              <w:t>s</w:t>
            </w:r>
            <w:r w:rsidR="00266AA0">
              <w:rPr>
                <w:rFonts w:ascii="Arial" w:eastAsia="Times New Roman" w:hAnsi="Arial" w:cs="Arial"/>
                <w:lang w:val="en-GB"/>
              </w:rPr>
              <w:t xml:space="preserve"> to </w:t>
            </w:r>
            <w:r w:rsidR="00321B85">
              <w:rPr>
                <w:rFonts w:ascii="Arial" w:eastAsia="Times New Roman" w:hAnsi="Arial" w:cs="Arial"/>
                <w:lang w:val="en-GB"/>
              </w:rPr>
              <w:t>ensuring</w:t>
            </w:r>
            <w:r w:rsidR="00266AA0">
              <w:rPr>
                <w:rFonts w:ascii="Arial" w:eastAsia="Times New Roman" w:hAnsi="Arial" w:cs="Arial"/>
                <w:lang w:val="en-GB"/>
              </w:rPr>
              <w:t xml:space="preserve"> that the assets and liab</w:t>
            </w:r>
            <w:r w:rsidR="00321B85">
              <w:rPr>
                <w:rFonts w:ascii="Arial" w:eastAsia="Times New Roman" w:hAnsi="Arial" w:cs="Arial"/>
                <w:lang w:val="en-GB"/>
              </w:rPr>
              <w:t>ilities that will be transferred</w:t>
            </w:r>
            <w:r w:rsidR="00485ECA">
              <w:rPr>
                <w:rFonts w:ascii="Arial" w:eastAsia="Times New Roman" w:hAnsi="Arial" w:cs="Arial"/>
                <w:lang w:val="en-GB"/>
              </w:rPr>
              <w:t xml:space="preserve"> out</w:t>
            </w:r>
            <w:r w:rsidR="00321B85">
              <w:rPr>
                <w:rFonts w:ascii="Arial" w:eastAsia="Times New Roman" w:hAnsi="Arial" w:cs="Arial"/>
                <w:lang w:val="en-GB"/>
              </w:rPr>
              <w:t xml:space="preserve"> can continue</w:t>
            </w:r>
            <w:r w:rsidR="009F38E2">
              <w:rPr>
                <w:rFonts w:ascii="Arial" w:eastAsia="Times New Roman" w:hAnsi="Arial" w:cs="Arial"/>
                <w:lang w:val="en-GB"/>
              </w:rPr>
              <w:t xml:space="preserve"> post separation</w:t>
            </w:r>
            <w:r w:rsidR="00B37E08">
              <w:rPr>
                <w:rFonts w:ascii="Arial" w:eastAsia="Times New Roman" w:hAnsi="Arial" w:cs="Arial"/>
                <w:lang w:val="en-GB"/>
              </w:rPr>
              <w:t xml:space="preserve">. </w:t>
            </w:r>
            <w:r w:rsidR="009F38E2">
              <w:rPr>
                <w:rFonts w:ascii="Arial" w:eastAsia="Times New Roman" w:hAnsi="Arial" w:cs="Arial"/>
                <w:lang w:val="en-GB"/>
              </w:rPr>
              <w:t>Therefore,</w:t>
            </w:r>
            <w:r w:rsidR="00B37E08">
              <w:rPr>
                <w:rFonts w:ascii="Arial" w:eastAsia="Times New Roman" w:hAnsi="Arial" w:cs="Arial"/>
                <w:lang w:val="en-GB"/>
              </w:rPr>
              <w:t xml:space="preserve"> the continuity required by the Standard is </w:t>
            </w:r>
            <w:r w:rsidR="00321B85">
              <w:rPr>
                <w:rFonts w:ascii="Arial" w:eastAsia="Times New Roman" w:hAnsi="Arial" w:cs="Arial"/>
                <w:lang w:val="en-GB"/>
              </w:rPr>
              <w:t>different</w:t>
            </w:r>
            <w:r w:rsidR="009401C4">
              <w:rPr>
                <w:rFonts w:ascii="Arial" w:eastAsia="Times New Roman" w:hAnsi="Arial" w:cs="Arial"/>
                <w:lang w:val="en-GB"/>
              </w:rPr>
              <w:t xml:space="preserve"> f</w:t>
            </w:r>
            <w:r w:rsidR="00B37E08">
              <w:rPr>
                <w:rFonts w:ascii="Arial" w:eastAsia="Times New Roman" w:hAnsi="Arial" w:cs="Arial"/>
                <w:lang w:val="en-GB"/>
              </w:rPr>
              <w:t>rom</w:t>
            </w:r>
            <w:r w:rsidR="009401C4">
              <w:rPr>
                <w:rFonts w:ascii="Arial" w:eastAsia="Times New Roman" w:hAnsi="Arial" w:cs="Arial"/>
                <w:lang w:val="en-GB"/>
              </w:rPr>
              <w:t xml:space="preserve"> business</w:t>
            </w:r>
            <w:r w:rsidR="009F38E2">
              <w:rPr>
                <w:rFonts w:ascii="Arial" w:eastAsia="Times New Roman" w:hAnsi="Arial" w:cs="Arial"/>
                <w:lang w:val="en-GB"/>
              </w:rPr>
              <w:t xml:space="preserve"> or operational</w:t>
            </w:r>
            <w:r w:rsidR="009401C4">
              <w:rPr>
                <w:rFonts w:ascii="Arial" w:eastAsia="Times New Roman" w:hAnsi="Arial" w:cs="Arial"/>
                <w:lang w:val="en-GB"/>
              </w:rPr>
              <w:t xml:space="preserve"> continuity</w:t>
            </w:r>
            <w:r w:rsidR="00321B85">
              <w:rPr>
                <w:rFonts w:ascii="Arial" w:eastAsia="Times New Roman" w:hAnsi="Arial" w:cs="Arial"/>
                <w:lang w:val="en-GB"/>
              </w:rPr>
              <w:t xml:space="preserve"> </w:t>
            </w:r>
            <w:r w:rsidR="009401C4">
              <w:rPr>
                <w:rFonts w:ascii="Arial" w:eastAsia="Times New Roman" w:hAnsi="Arial" w:cs="Arial"/>
                <w:lang w:val="en-GB"/>
              </w:rPr>
              <w:t>requirements under</w:t>
            </w:r>
            <w:r w:rsidR="00321B85">
              <w:rPr>
                <w:rFonts w:ascii="Arial" w:eastAsia="Times New Roman" w:hAnsi="Arial" w:cs="Arial"/>
                <w:lang w:val="en-GB"/>
              </w:rPr>
              <w:t xml:space="preserve"> normal circumstances (which would involve </w:t>
            </w:r>
            <w:r w:rsidR="00F2041E">
              <w:rPr>
                <w:rFonts w:ascii="Arial" w:eastAsia="Times New Roman" w:hAnsi="Arial" w:cs="Arial"/>
                <w:lang w:val="en-GB"/>
              </w:rPr>
              <w:t xml:space="preserve">recovery time objectives, maximum tolerable period </w:t>
            </w:r>
            <w:r w:rsidR="00B37E08">
              <w:rPr>
                <w:rFonts w:ascii="Arial" w:eastAsia="Times New Roman" w:hAnsi="Arial" w:cs="Arial"/>
                <w:lang w:val="en-GB"/>
              </w:rPr>
              <w:t>o</w:t>
            </w:r>
            <w:r w:rsidR="00F2041E">
              <w:rPr>
                <w:rFonts w:ascii="Arial" w:eastAsia="Times New Roman" w:hAnsi="Arial" w:cs="Arial"/>
                <w:lang w:val="en-GB"/>
              </w:rPr>
              <w:t>f disruption etc).</w:t>
            </w:r>
          </w:p>
          <w:p w14:paraId="721965B4" w14:textId="7857233D" w:rsidR="00240AC9" w:rsidRPr="00A10D2B" w:rsidRDefault="00240AC9" w:rsidP="00614146">
            <w:pPr>
              <w:spacing w:after="0" w:line="240" w:lineRule="auto"/>
              <w:jc w:val="both"/>
              <w:rPr>
                <w:rFonts w:ascii="Arial" w:eastAsia="Times New Roman" w:hAnsi="Arial" w:cs="Arial"/>
                <w:lang w:val="en-GB"/>
              </w:rPr>
            </w:pPr>
          </w:p>
        </w:tc>
      </w:tr>
      <w:tr w:rsidR="00614146" w:rsidRPr="009D05E3" w14:paraId="13D23F9F" w14:textId="77777777" w:rsidTr="00515BD8">
        <w:tc>
          <w:tcPr>
            <w:tcW w:w="1886" w:type="dxa"/>
            <w:shd w:val="clear" w:color="auto" w:fill="auto"/>
            <w:vAlign w:val="bottom"/>
          </w:tcPr>
          <w:p w14:paraId="0A32705E" w14:textId="55C3B7D4" w:rsidR="00614146" w:rsidRPr="009D05E3" w:rsidRDefault="00614146" w:rsidP="00054DBB">
            <w:pPr>
              <w:pStyle w:val="ListParagraph"/>
              <w:spacing w:after="3720"/>
              <w:rPr>
                <w:rFonts w:ascii="Arial" w:hAnsi="Arial" w:cs="Arial"/>
                <w:lang w:val="en-GB"/>
              </w:rPr>
            </w:pPr>
            <w:r>
              <w:rPr>
                <w:rFonts w:ascii="Arial" w:hAnsi="Arial" w:cs="Arial"/>
                <w:lang w:val="en-GB"/>
              </w:rPr>
              <w:lastRenderedPageBreak/>
              <w:t>149</w:t>
            </w:r>
          </w:p>
        </w:tc>
        <w:tc>
          <w:tcPr>
            <w:tcW w:w="2078" w:type="dxa"/>
            <w:shd w:val="clear" w:color="auto" w:fill="FFFFFF" w:themeFill="background1"/>
          </w:tcPr>
          <w:p w14:paraId="4C0D7DBF" w14:textId="2A19DD65" w:rsidR="00614146" w:rsidRPr="009D05E3" w:rsidRDefault="00614146" w:rsidP="00614146">
            <w:pPr>
              <w:spacing w:after="0" w:line="240" w:lineRule="auto"/>
              <w:rPr>
                <w:rFonts w:ascii="Arial" w:hAnsi="Arial" w:cs="Arial"/>
                <w:sz w:val="20"/>
                <w:szCs w:val="20"/>
                <w:lang w:val="en-GB"/>
              </w:rPr>
            </w:pPr>
            <w:r w:rsidRPr="00564882">
              <w:rPr>
                <w:rFonts w:ascii="Arial" w:hAnsi="Arial" w:cs="Arial"/>
                <w:sz w:val="20"/>
                <w:szCs w:val="20"/>
                <w:lang w:val="en-GB"/>
              </w:rPr>
              <w:t>BASA</w:t>
            </w:r>
          </w:p>
        </w:tc>
        <w:tc>
          <w:tcPr>
            <w:tcW w:w="2691" w:type="dxa"/>
            <w:shd w:val="clear" w:color="auto" w:fill="FFFFFF" w:themeFill="background1"/>
          </w:tcPr>
          <w:p w14:paraId="3C9DD9AF" w14:textId="0E65217E" w:rsidR="00614146" w:rsidRPr="00935E14" w:rsidRDefault="00614146" w:rsidP="00614146">
            <w:pPr>
              <w:spacing w:after="0" w:line="240" w:lineRule="auto"/>
              <w:rPr>
                <w:rFonts w:ascii="Arial" w:hAnsi="Arial" w:cs="Arial"/>
                <w:sz w:val="20"/>
                <w:szCs w:val="20"/>
                <w:lang w:val="en-GB"/>
              </w:rPr>
            </w:pPr>
            <w:r w:rsidRPr="00935E14">
              <w:rPr>
                <w:rFonts w:ascii="Arial" w:hAnsi="Arial" w:cs="Arial"/>
                <w:bCs/>
                <w:sz w:val="20"/>
                <w:szCs w:val="20"/>
              </w:rPr>
              <w:t>Implementation timeframe</w:t>
            </w:r>
          </w:p>
        </w:tc>
        <w:tc>
          <w:tcPr>
            <w:tcW w:w="7903" w:type="dxa"/>
            <w:shd w:val="clear" w:color="auto" w:fill="FFFFFF" w:themeFill="background1"/>
          </w:tcPr>
          <w:p w14:paraId="0EB4EB7D" w14:textId="7C2CC0CE" w:rsidR="00614146" w:rsidRPr="00A10D2B" w:rsidRDefault="00614146" w:rsidP="00614146">
            <w:pPr>
              <w:spacing w:after="0" w:line="240" w:lineRule="auto"/>
              <w:rPr>
                <w:rFonts w:ascii="Arial" w:eastAsia="Times New Roman" w:hAnsi="Arial" w:cs="Arial"/>
                <w:lang w:val="en-GB"/>
              </w:rPr>
            </w:pPr>
            <w:r w:rsidRPr="00A10D2B">
              <w:rPr>
                <w:rFonts w:ascii="Arial" w:hAnsi="Arial" w:cs="Arial"/>
                <w:b/>
                <w:bCs/>
              </w:rPr>
              <w:t>Clarify</w:t>
            </w:r>
            <w:r w:rsidRPr="00A10D2B">
              <w:rPr>
                <w:rFonts w:ascii="Arial" w:hAnsi="Arial" w:cs="Arial"/>
              </w:rPr>
              <w:t xml:space="preserve"> the implementation timeframe of the Standard. </w:t>
            </w:r>
          </w:p>
        </w:tc>
        <w:tc>
          <w:tcPr>
            <w:tcW w:w="6416" w:type="dxa"/>
            <w:shd w:val="clear" w:color="auto" w:fill="auto"/>
          </w:tcPr>
          <w:p w14:paraId="18A7B78B" w14:textId="15519543" w:rsidR="00614146" w:rsidRPr="00A10D2B" w:rsidRDefault="00DB0429" w:rsidP="00614146">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Standard excluding </w:t>
            </w:r>
            <w:r w:rsidR="005207F5" w:rsidRPr="00A10D2B">
              <w:rPr>
                <w:rFonts w:ascii="Arial" w:eastAsia="Times New Roman" w:hAnsi="Arial" w:cs="Arial"/>
                <w:lang w:val="en-GB"/>
              </w:rPr>
              <w:t xml:space="preserve">all </w:t>
            </w:r>
            <w:r w:rsidRPr="00A10D2B">
              <w:rPr>
                <w:rFonts w:ascii="Arial" w:eastAsia="Times New Roman" w:hAnsi="Arial" w:cs="Arial"/>
                <w:lang w:val="en-GB"/>
              </w:rPr>
              <w:t>the requirement</w:t>
            </w:r>
            <w:r w:rsidR="008B1D2F">
              <w:rPr>
                <w:rFonts w:ascii="Arial" w:eastAsia="Times New Roman" w:hAnsi="Arial" w:cs="Arial"/>
                <w:lang w:val="en-GB"/>
              </w:rPr>
              <w:t>s</w:t>
            </w:r>
            <w:r w:rsidRPr="00A10D2B">
              <w:rPr>
                <w:rFonts w:ascii="Arial" w:eastAsia="Times New Roman" w:hAnsi="Arial" w:cs="Arial"/>
                <w:lang w:val="en-GB"/>
              </w:rPr>
              <w:t xml:space="preserve"> s</w:t>
            </w:r>
            <w:r w:rsidR="005207F5" w:rsidRPr="00A10D2B">
              <w:rPr>
                <w:rFonts w:ascii="Arial" w:eastAsia="Times New Roman" w:hAnsi="Arial" w:cs="Arial"/>
                <w:lang w:val="en-GB"/>
              </w:rPr>
              <w:t>e</w:t>
            </w:r>
            <w:r w:rsidRPr="00A10D2B">
              <w:rPr>
                <w:rFonts w:ascii="Arial" w:eastAsia="Times New Roman" w:hAnsi="Arial" w:cs="Arial"/>
                <w:lang w:val="en-GB"/>
              </w:rPr>
              <w:t>ctions</w:t>
            </w:r>
            <w:r w:rsidR="006025C8" w:rsidRPr="00A10D2B">
              <w:rPr>
                <w:rFonts w:ascii="Arial" w:eastAsia="Times New Roman" w:hAnsi="Arial" w:cs="Arial"/>
                <w:lang w:val="en-GB"/>
              </w:rPr>
              <w:t xml:space="preserve"> (as per the amended application section)</w:t>
            </w:r>
            <w:r w:rsidR="00ED6838" w:rsidRPr="00A10D2B">
              <w:rPr>
                <w:rFonts w:ascii="Arial" w:eastAsia="Times New Roman" w:hAnsi="Arial" w:cs="Arial"/>
                <w:lang w:val="en-GB"/>
              </w:rPr>
              <w:t xml:space="preserve"> will</w:t>
            </w:r>
            <w:r w:rsidRPr="00A10D2B">
              <w:rPr>
                <w:rFonts w:ascii="Arial" w:eastAsia="Times New Roman" w:hAnsi="Arial" w:cs="Arial"/>
                <w:lang w:val="en-GB"/>
              </w:rPr>
              <w:t xml:space="preserve"> be </w:t>
            </w:r>
            <w:r w:rsidR="005207F5" w:rsidRPr="00A10D2B">
              <w:rPr>
                <w:rFonts w:ascii="Arial" w:eastAsia="Times New Roman" w:hAnsi="Arial" w:cs="Arial"/>
                <w:lang w:val="en-GB"/>
              </w:rPr>
              <w:t xml:space="preserve">applicable from </w:t>
            </w:r>
            <w:r w:rsidR="008B1D2F">
              <w:rPr>
                <w:rFonts w:ascii="Arial" w:eastAsia="Times New Roman" w:hAnsi="Arial" w:cs="Arial"/>
                <w:lang w:val="en-GB"/>
              </w:rPr>
              <w:t xml:space="preserve">the </w:t>
            </w:r>
            <w:r w:rsidR="006025C8" w:rsidRPr="00A10D2B">
              <w:rPr>
                <w:rFonts w:ascii="Arial" w:eastAsia="Times New Roman" w:hAnsi="Arial" w:cs="Arial"/>
                <w:lang w:val="en-GB"/>
              </w:rPr>
              <w:t>date that the</w:t>
            </w:r>
            <w:r w:rsidR="003B7D9E">
              <w:rPr>
                <w:rFonts w:ascii="Arial" w:eastAsia="Times New Roman" w:hAnsi="Arial" w:cs="Arial"/>
                <w:lang w:val="en-GB"/>
              </w:rPr>
              <w:t xml:space="preserve"> resolution related provisions in the</w:t>
            </w:r>
            <w:r w:rsidR="006025C8" w:rsidRPr="00A10D2B">
              <w:rPr>
                <w:rFonts w:ascii="Arial" w:eastAsia="Times New Roman" w:hAnsi="Arial" w:cs="Arial"/>
                <w:lang w:val="en-GB"/>
              </w:rPr>
              <w:t xml:space="preserve"> FSLA Act come into effect (which will be in the commencement schedule to be published by the </w:t>
            </w:r>
            <w:r w:rsidR="009F38E2">
              <w:rPr>
                <w:rFonts w:ascii="Arial" w:eastAsia="Times New Roman" w:hAnsi="Arial" w:cs="Arial"/>
                <w:lang w:val="en-GB"/>
              </w:rPr>
              <w:t>M</w:t>
            </w:r>
            <w:r w:rsidR="006025C8" w:rsidRPr="00A10D2B">
              <w:rPr>
                <w:rFonts w:ascii="Arial" w:eastAsia="Times New Roman" w:hAnsi="Arial" w:cs="Arial"/>
                <w:lang w:val="en-GB"/>
              </w:rPr>
              <w:t>inister</w:t>
            </w:r>
            <w:r w:rsidR="009F38E2">
              <w:rPr>
                <w:rFonts w:ascii="Arial" w:eastAsia="Times New Roman" w:hAnsi="Arial" w:cs="Arial"/>
                <w:lang w:val="en-GB"/>
              </w:rPr>
              <w:t xml:space="preserve"> of Finance</w:t>
            </w:r>
            <w:r w:rsidR="006025C8" w:rsidRPr="00A10D2B">
              <w:rPr>
                <w:rFonts w:ascii="Arial" w:eastAsia="Times New Roman" w:hAnsi="Arial" w:cs="Arial"/>
                <w:lang w:val="en-GB"/>
              </w:rPr>
              <w:t>).</w:t>
            </w:r>
          </w:p>
          <w:p w14:paraId="40E03E4E" w14:textId="77777777" w:rsidR="00CC1AA2" w:rsidRPr="00A10D2B" w:rsidRDefault="00CC1AA2" w:rsidP="00614146">
            <w:pPr>
              <w:spacing w:after="0" w:line="240" w:lineRule="auto"/>
              <w:jc w:val="both"/>
              <w:rPr>
                <w:rFonts w:ascii="Arial" w:eastAsia="Times New Roman" w:hAnsi="Arial" w:cs="Arial"/>
                <w:lang w:val="en-GB"/>
              </w:rPr>
            </w:pPr>
          </w:p>
          <w:p w14:paraId="39494C2B" w14:textId="64B56B5C" w:rsidR="00047BEB" w:rsidRPr="00A10D2B" w:rsidRDefault="00047BEB" w:rsidP="00614146">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Reserve Bank will then inform the relevant designated institutions, during the resolution planning </w:t>
            </w:r>
            <w:r w:rsidR="00CC1AA2" w:rsidRPr="00A10D2B">
              <w:rPr>
                <w:rFonts w:ascii="Arial" w:eastAsia="Times New Roman" w:hAnsi="Arial" w:cs="Arial"/>
                <w:lang w:val="en-GB"/>
              </w:rPr>
              <w:t>phase</w:t>
            </w:r>
            <w:r w:rsidRPr="00A10D2B">
              <w:rPr>
                <w:rFonts w:ascii="Arial" w:eastAsia="Times New Roman" w:hAnsi="Arial" w:cs="Arial"/>
                <w:lang w:val="en-GB"/>
              </w:rPr>
              <w:t>, whether transfer tools will form part of their resolution strategy and the extent thereof.</w:t>
            </w:r>
          </w:p>
          <w:p w14:paraId="66841BED" w14:textId="753052FF" w:rsidR="00047BEB" w:rsidRPr="00A10D2B" w:rsidRDefault="00047BEB" w:rsidP="00614146">
            <w:pPr>
              <w:spacing w:after="0" w:line="240" w:lineRule="auto"/>
              <w:jc w:val="both"/>
              <w:rPr>
                <w:rFonts w:ascii="Arial" w:eastAsia="Times New Roman" w:hAnsi="Arial" w:cs="Arial"/>
                <w:lang w:val="en-GB"/>
              </w:rPr>
            </w:pPr>
          </w:p>
          <w:p w14:paraId="43EE3A36" w14:textId="37D29F39" w:rsidR="00CC1AA2" w:rsidRPr="00A10D2B" w:rsidRDefault="00047BEB" w:rsidP="00614146">
            <w:pPr>
              <w:spacing w:after="0" w:line="240" w:lineRule="auto"/>
              <w:jc w:val="both"/>
              <w:rPr>
                <w:rFonts w:ascii="Arial" w:eastAsia="Times New Roman" w:hAnsi="Arial" w:cs="Arial"/>
                <w:lang w:val="en-GB"/>
              </w:rPr>
            </w:pPr>
            <w:r w:rsidRPr="00A10D2B">
              <w:rPr>
                <w:rFonts w:ascii="Arial" w:eastAsia="Times New Roman" w:hAnsi="Arial" w:cs="Arial"/>
                <w:lang w:val="en-GB"/>
              </w:rPr>
              <w:t>Once the</w:t>
            </w:r>
            <w:r w:rsidR="00CC1AA2" w:rsidRPr="00A10D2B">
              <w:rPr>
                <w:rFonts w:ascii="Arial" w:eastAsia="Times New Roman" w:hAnsi="Arial" w:cs="Arial"/>
                <w:lang w:val="en-GB"/>
              </w:rPr>
              <w:t xml:space="preserve"> designated institutions have been informed</w:t>
            </w:r>
            <w:r w:rsidR="006025C8" w:rsidRPr="00A10D2B">
              <w:rPr>
                <w:rFonts w:ascii="Arial" w:eastAsia="Times New Roman" w:hAnsi="Arial" w:cs="Arial"/>
                <w:lang w:val="en-GB"/>
              </w:rPr>
              <w:t xml:space="preserve"> that</w:t>
            </w:r>
            <w:r w:rsidR="00CC1AA2" w:rsidRPr="00A10D2B">
              <w:rPr>
                <w:rFonts w:ascii="Arial" w:eastAsia="Times New Roman" w:hAnsi="Arial" w:cs="Arial"/>
                <w:lang w:val="en-GB"/>
              </w:rPr>
              <w:t xml:space="preserve"> a transfer tool will form part of their resolution strategy, they will be given a minim</w:t>
            </w:r>
            <w:r w:rsidR="00ED6838" w:rsidRPr="00A10D2B">
              <w:rPr>
                <w:rFonts w:ascii="Arial" w:eastAsia="Times New Roman" w:hAnsi="Arial" w:cs="Arial"/>
                <w:lang w:val="en-GB"/>
              </w:rPr>
              <w:t>um</w:t>
            </w:r>
            <w:r w:rsidR="00CC1AA2" w:rsidRPr="00A10D2B">
              <w:rPr>
                <w:rFonts w:ascii="Arial" w:eastAsia="Times New Roman" w:hAnsi="Arial" w:cs="Arial"/>
                <w:lang w:val="en-GB"/>
              </w:rPr>
              <w:t xml:space="preserve"> of 2 years to fulfil requirements</w:t>
            </w:r>
            <w:r w:rsidR="009F38E2">
              <w:rPr>
                <w:rFonts w:ascii="Arial" w:eastAsia="Times New Roman" w:hAnsi="Arial" w:cs="Arial"/>
                <w:lang w:val="en-GB"/>
              </w:rPr>
              <w:t xml:space="preserve"> stipulated</w:t>
            </w:r>
            <w:r w:rsidR="00CC1AA2" w:rsidRPr="00A10D2B">
              <w:rPr>
                <w:rFonts w:ascii="Arial" w:eastAsia="Times New Roman" w:hAnsi="Arial" w:cs="Arial"/>
                <w:lang w:val="en-GB"/>
              </w:rPr>
              <w:t xml:space="preserve"> in </w:t>
            </w:r>
            <w:r w:rsidR="009F38E2" w:rsidRPr="00A10D2B">
              <w:rPr>
                <w:rFonts w:ascii="Arial" w:eastAsia="Times New Roman" w:hAnsi="Arial" w:cs="Arial"/>
                <w:lang w:val="en-GB"/>
              </w:rPr>
              <w:t>the Standard</w:t>
            </w:r>
            <w:r w:rsidR="00CC1AA2" w:rsidRPr="00A10D2B">
              <w:rPr>
                <w:rFonts w:ascii="Arial" w:eastAsia="Times New Roman" w:hAnsi="Arial" w:cs="Arial"/>
                <w:lang w:val="en-GB"/>
              </w:rPr>
              <w:t xml:space="preserve">. </w:t>
            </w:r>
          </w:p>
          <w:p w14:paraId="4DBAD6E0" w14:textId="10661FC5" w:rsidR="005207F5" w:rsidRPr="00A10D2B" w:rsidRDefault="005207F5" w:rsidP="00614146">
            <w:pPr>
              <w:spacing w:after="0" w:line="240" w:lineRule="auto"/>
              <w:jc w:val="both"/>
              <w:rPr>
                <w:rFonts w:ascii="Arial" w:eastAsia="Times New Roman" w:hAnsi="Arial" w:cs="Arial"/>
                <w:lang w:val="en-GB"/>
              </w:rPr>
            </w:pPr>
          </w:p>
        </w:tc>
      </w:tr>
      <w:tr w:rsidR="00614146" w:rsidRPr="009D05E3" w14:paraId="5C5D2729" w14:textId="77777777" w:rsidTr="00515BD8">
        <w:tc>
          <w:tcPr>
            <w:tcW w:w="1886" w:type="dxa"/>
            <w:shd w:val="clear" w:color="auto" w:fill="FFFFFF" w:themeFill="background1"/>
            <w:vAlign w:val="bottom"/>
          </w:tcPr>
          <w:p w14:paraId="5BA52CCC" w14:textId="403D9B65" w:rsidR="00614146" w:rsidRPr="009D05E3" w:rsidRDefault="00614146" w:rsidP="00614146">
            <w:pPr>
              <w:pStyle w:val="ListParagraph"/>
              <w:spacing w:after="600"/>
              <w:rPr>
                <w:rFonts w:ascii="Arial" w:hAnsi="Arial" w:cs="Arial"/>
                <w:lang w:val="en-GB"/>
              </w:rPr>
            </w:pPr>
            <w:r>
              <w:rPr>
                <w:rFonts w:ascii="Arial" w:hAnsi="Arial" w:cs="Arial"/>
                <w:lang w:val="en-GB"/>
              </w:rPr>
              <w:t>150</w:t>
            </w:r>
          </w:p>
        </w:tc>
        <w:tc>
          <w:tcPr>
            <w:tcW w:w="2078" w:type="dxa"/>
            <w:shd w:val="clear" w:color="auto" w:fill="FFFFFF" w:themeFill="background1"/>
          </w:tcPr>
          <w:p w14:paraId="6AB47FEC" w14:textId="3D4F33C6" w:rsidR="00614146" w:rsidRPr="009D05E3" w:rsidRDefault="00614146" w:rsidP="00614146">
            <w:pPr>
              <w:spacing w:after="0" w:line="240" w:lineRule="auto"/>
              <w:rPr>
                <w:rFonts w:ascii="Arial" w:hAnsi="Arial" w:cs="Arial"/>
                <w:sz w:val="20"/>
                <w:szCs w:val="20"/>
                <w:lang w:val="en-GB"/>
              </w:rPr>
            </w:pPr>
            <w:r w:rsidRPr="00564882">
              <w:rPr>
                <w:rFonts w:ascii="Arial" w:hAnsi="Arial" w:cs="Arial"/>
                <w:sz w:val="20"/>
                <w:szCs w:val="20"/>
                <w:lang w:val="en-GB"/>
              </w:rPr>
              <w:t>BASA</w:t>
            </w:r>
          </w:p>
        </w:tc>
        <w:tc>
          <w:tcPr>
            <w:tcW w:w="2691" w:type="dxa"/>
            <w:shd w:val="clear" w:color="auto" w:fill="FFFFFF" w:themeFill="background1"/>
          </w:tcPr>
          <w:p w14:paraId="299C7D91" w14:textId="3BF80F66" w:rsidR="00614146" w:rsidRPr="00935E14" w:rsidRDefault="00614146" w:rsidP="00614146">
            <w:pPr>
              <w:spacing w:after="0" w:line="240" w:lineRule="auto"/>
              <w:rPr>
                <w:rFonts w:ascii="Arial" w:hAnsi="Arial" w:cs="Arial"/>
                <w:sz w:val="20"/>
                <w:szCs w:val="20"/>
                <w:lang w:val="en-GB"/>
              </w:rPr>
            </w:pPr>
            <w:r w:rsidRPr="00935E14">
              <w:rPr>
                <w:rFonts w:ascii="Arial" w:hAnsi="Arial" w:cs="Arial"/>
                <w:bCs/>
                <w:sz w:val="20"/>
                <w:szCs w:val="20"/>
              </w:rPr>
              <w:t>Sequencing of requirements/timing of other standards</w:t>
            </w:r>
          </w:p>
        </w:tc>
        <w:tc>
          <w:tcPr>
            <w:tcW w:w="7903" w:type="dxa"/>
            <w:shd w:val="clear" w:color="auto" w:fill="FFFFFF" w:themeFill="background1"/>
          </w:tcPr>
          <w:p w14:paraId="7389EEAD" w14:textId="1DE2403C" w:rsidR="00614146" w:rsidRPr="00A10D2B" w:rsidRDefault="00614146" w:rsidP="00614146">
            <w:pPr>
              <w:spacing w:after="0" w:line="240" w:lineRule="auto"/>
              <w:rPr>
                <w:rFonts w:ascii="Arial" w:eastAsia="Times New Roman" w:hAnsi="Arial" w:cs="Arial"/>
                <w:lang w:val="en-GB"/>
              </w:rPr>
            </w:pPr>
            <w:r w:rsidRPr="00A10D2B">
              <w:rPr>
                <w:rFonts w:ascii="Arial" w:hAnsi="Arial" w:cs="Arial"/>
                <w:bCs/>
              </w:rPr>
              <w:t xml:space="preserve">Sequencing/timing to be articulated in the standard. </w:t>
            </w:r>
            <w:r w:rsidRPr="00A10D2B">
              <w:rPr>
                <w:rFonts w:ascii="Arial" w:hAnsi="Arial" w:cs="Arial"/>
                <w:b/>
              </w:rPr>
              <w:t>Recommend</w:t>
            </w:r>
            <w:r w:rsidRPr="00A10D2B">
              <w:rPr>
                <w:rFonts w:ascii="Arial" w:hAnsi="Arial" w:cs="Arial"/>
                <w:bCs/>
              </w:rPr>
              <w:t xml:space="preserve"> that consideration should be given to the timing of other elements and associated Standards.</w:t>
            </w:r>
          </w:p>
        </w:tc>
        <w:tc>
          <w:tcPr>
            <w:tcW w:w="6416" w:type="dxa"/>
            <w:shd w:val="clear" w:color="auto" w:fill="auto"/>
          </w:tcPr>
          <w:p w14:paraId="0D965C3C" w14:textId="07DF4CC6" w:rsidR="00614146" w:rsidRPr="00A10D2B" w:rsidRDefault="00D44CDD" w:rsidP="00614146">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Refer to comment 149 above regarding the implementation timeframe. </w:t>
            </w:r>
          </w:p>
        </w:tc>
      </w:tr>
      <w:tr w:rsidR="00614146" w:rsidRPr="009D05E3" w14:paraId="08708BE4" w14:textId="77777777" w:rsidTr="00515BD8">
        <w:tc>
          <w:tcPr>
            <w:tcW w:w="1886" w:type="dxa"/>
            <w:vAlign w:val="bottom"/>
          </w:tcPr>
          <w:p w14:paraId="7799EF41" w14:textId="0612017F" w:rsidR="00614146" w:rsidRPr="009D05E3" w:rsidRDefault="00614146" w:rsidP="00224537">
            <w:pPr>
              <w:pStyle w:val="ListParagraph"/>
              <w:spacing w:after="1080"/>
              <w:rPr>
                <w:rFonts w:ascii="Arial" w:hAnsi="Arial" w:cs="Arial"/>
                <w:lang w:val="en-GB"/>
              </w:rPr>
            </w:pPr>
            <w:r>
              <w:rPr>
                <w:rFonts w:ascii="Arial" w:hAnsi="Arial" w:cs="Arial"/>
                <w:lang w:val="en-GB"/>
              </w:rPr>
              <w:t>151</w:t>
            </w:r>
          </w:p>
        </w:tc>
        <w:tc>
          <w:tcPr>
            <w:tcW w:w="2078" w:type="dxa"/>
          </w:tcPr>
          <w:p w14:paraId="677C8E7E" w14:textId="228202BB" w:rsidR="00614146" w:rsidRPr="009D05E3" w:rsidRDefault="00614146" w:rsidP="00614146">
            <w:pPr>
              <w:spacing w:after="0" w:line="240" w:lineRule="auto"/>
              <w:rPr>
                <w:rFonts w:ascii="Arial" w:hAnsi="Arial" w:cs="Arial"/>
                <w:sz w:val="20"/>
                <w:szCs w:val="20"/>
                <w:lang w:val="en-GB"/>
              </w:rPr>
            </w:pPr>
            <w:r w:rsidRPr="00564882">
              <w:rPr>
                <w:rFonts w:ascii="Arial" w:hAnsi="Arial" w:cs="Arial"/>
                <w:sz w:val="20"/>
                <w:szCs w:val="20"/>
                <w:lang w:val="en-GB"/>
              </w:rPr>
              <w:t>BASA</w:t>
            </w:r>
          </w:p>
        </w:tc>
        <w:tc>
          <w:tcPr>
            <w:tcW w:w="2691" w:type="dxa"/>
          </w:tcPr>
          <w:p w14:paraId="3073579C" w14:textId="2AF95AED" w:rsidR="00614146" w:rsidRPr="00935E14" w:rsidRDefault="00614146" w:rsidP="00614146">
            <w:pPr>
              <w:spacing w:after="0" w:line="240" w:lineRule="auto"/>
              <w:rPr>
                <w:rFonts w:ascii="Arial" w:hAnsi="Arial" w:cs="Arial"/>
                <w:sz w:val="20"/>
                <w:szCs w:val="20"/>
                <w:lang w:val="en-GB"/>
              </w:rPr>
            </w:pPr>
            <w:r w:rsidRPr="00935E14">
              <w:rPr>
                <w:rFonts w:ascii="Arial" w:hAnsi="Arial" w:cs="Arial"/>
                <w:bCs/>
                <w:sz w:val="20"/>
                <w:szCs w:val="20"/>
              </w:rPr>
              <w:t>Transfer perimeter</w:t>
            </w:r>
          </w:p>
        </w:tc>
        <w:tc>
          <w:tcPr>
            <w:tcW w:w="7903" w:type="dxa"/>
          </w:tcPr>
          <w:p w14:paraId="53F4BB5C" w14:textId="6CE5FB21" w:rsidR="00614146" w:rsidRPr="00A10D2B" w:rsidRDefault="00614146" w:rsidP="00614146">
            <w:pPr>
              <w:spacing w:after="0" w:line="240" w:lineRule="auto"/>
              <w:rPr>
                <w:rFonts w:ascii="Arial" w:eastAsia="Times New Roman" w:hAnsi="Arial" w:cs="Arial"/>
                <w:lang w:val="en-GB"/>
              </w:rPr>
            </w:pPr>
            <w:r w:rsidRPr="00A10D2B">
              <w:rPr>
                <w:rFonts w:ascii="Arial" w:hAnsi="Arial" w:cs="Arial"/>
                <w:bCs/>
              </w:rPr>
              <w:t>Please provide an indication of the frequency required to update the transfer perimeter.</w:t>
            </w:r>
          </w:p>
        </w:tc>
        <w:tc>
          <w:tcPr>
            <w:tcW w:w="6416" w:type="dxa"/>
            <w:shd w:val="clear" w:color="auto" w:fill="auto"/>
          </w:tcPr>
          <w:p w14:paraId="1E4A6F11" w14:textId="7A9E0570" w:rsidR="00614146" w:rsidRPr="00A10D2B" w:rsidRDefault="00704314" w:rsidP="00614146">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Reporting requirements will include </w:t>
            </w:r>
            <w:r w:rsidR="009F38E2">
              <w:rPr>
                <w:rFonts w:ascii="Arial" w:eastAsia="Times New Roman" w:hAnsi="Arial" w:cs="Arial"/>
                <w:lang w:val="en-GB"/>
              </w:rPr>
              <w:t>u</w:t>
            </w:r>
            <w:r w:rsidRPr="00A10D2B">
              <w:rPr>
                <w:rFonts w:ascii="Arial" w:eastAsia="Times New Roman" w:hAnsi="Arial" w:cs="Arial"/>
                <w:lang w:val="en-GB"/>
              </w:rPr>
              <w:t>pdat</w:t>
            </w:r>
            <w:r w:rsidR="009F38E2">
              <w:rPr>
                <w:rFonts w:ascii="Arial" w:eastAsia="Times New Roman" w:hAnsi="Arial" w:cs="Arial"/>
                <w:lang w:val="en-GB"/>
              </w:rPr>
              <w:t>ing</w:t>
            </w:r>
            <w:r w:rsidRPr="00A10D2B">
              <w:rPr>
                <w:rFonts w:ascii="Arial" w:eastAsia="Times New Roman" w:hAnsi="Arial" w:cs="Arial"/>
                <w:lang w:val="en-GB"/>
              </w:rPr>
              <w:t xml:space="preserve"> the assets and liabilities in the transfer perimeter.</w:t>
            </w:r>
          </w:p>
          <w:p w14:paraId="6EC4A165" w14:textId="26916CC0" w:rsidR="00704314" w:rsidRPr="00A10D2B" w:rsidRDefault="00704314" w:rsidP="00614146">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Section 13.2 (now section 12.2) states that the </w:t>
            </w:r>
            <w:r w:rsidR="00A40487" w:rsidRPr="00A10D2B">
              <w:rPr>
                <w:rFonts w:ascii="Arial" w:eastAsia="Times New Roman" w:hAnsi="Arial" w:cs="Arial"/>
                <w:lang w:val="en-GB"/>
              </w:rPr>
              <w:t xml:space="preserve">form, </w:t>
            </w:r>
            <w:proofErr w:type="gramStart"/>
            <w:r w:rsidR="00A40487" w:rsidRPr="00A10D2B">
              <w:rPr>
                <w:rFonts w:ascii="Arial" w:eastAsia="Times New Roman" w:hAnsi="Arial" w:cs="Arial"/>
                <w:lang w:val="en-GB"/>
              </w:rPr>
              <w:t>manner</w:t>
            </w:r>
            <w:proofErr w:type="gramEnd"/>
            <w:r w:rsidR="00A40487" w:rsidRPr="00A10D2B">
              <w:rPr>
                <w:rFonts w:ascii="Arial" w:eastAsia="Times New Roman" w:hAnsi="Arial" w:cs="Arial"/>
                <w:lang w:val="en-GB"/>
              </w:rPr>
              <w:t xml:space="preserve"> and period </w:t>
            </w:r>
            <w:r w:rsidR="00225430" w:rsidRPr="00A10D2B">
              <w:rPr>
                <w:rFonts w:ascii="Arial" w:eastAsia="Times New Roman" w:hAnsi="Arial" w:cs="Arial"/>
                <w:lang w:val="en-GB"/>
              </w:rPr>
              <w:t xml:space="preserve">for regulatory reporting will be determined by the </w:t>
            </w:r>
            <w:r w:rsidR="00DA560E">
              <w:rPr>
                <w:rFonts w:ascii="Arial" w:eastAsia="Times New Roman" w:hAnsi="Arial" w:cs="Arial"/>
                <w:lang w:val="en-GB"/>
              </w:rPr>
              <w:t>Authorities</w:t>
            </w:r>
            <w:r w:rsidR="00225430" w:rsidRPr="00A10D2B">
              <w:rPr>
                <w:rFonts w:ascii="Arial" w:eastAsia="Times New Roman" w:hAnsi="Arial" w:cs="Arial"/>
                <w:lang w:val="en-GB"/>
              </w:rPr>
              <w:t xml:space="preserve"> and published </w:t>
            </w:r>
            <w:r w:rsidR="00DC31D4" w:rsidRPr="00A10D2B">
              <w:rPr>
                <w:rFonts w:ascii="Arial" w:eastAsia="Times New Roman" w:hAnsi="Arial" w:cs="Arial"/>
                <w:lang w:val="en-GB"/>
              </w:rPr>
              <w:t xml:space="preserve">on the </w:t>
            </w:r>
            <w:r w:rsidR="007F012D">
              <w:rPr>
                <w:rFonts w:ascii="Arial" w:eastAsia="Times New Roman" w:hAnsi="Arial" w:cs="Arial"/>
                <w:lang w:val="en-GB"/>
              </w:rPr>
              <w:t xml:space="preserve">Prudential </w:t>
            </w:r>
            <w:r w:rsidR="00EA037D">
              <w:rPr>
                <w:rFonts w:ascii="Arial" w:eastAsia="Times New Roman" w:hAnsi="Arial" w:cs="Arial"/>
                <w:lang w:val="en-GB"/>
              </w:rPr>
              <w:t>Authority’s</w:t>
            </w:r>
            <w:r w:rsidR="00DC31D4" w:rsidRPr="00A10D2B">
              <w:rPr>
                <w:rFonts w:ascii="Arial" w:eastAsia="Times New Roman" w:hAnsi="Arial" w:cs="Arial"/>
                <w:lang w:val="en-GB"/>
              </w:rPr>
              <w:t xml:space="preserve"> website</w:t>
            </w:r>
            <w:r w:rsidR="009F38E2">
              <w:rPr>
                <w:rFonts w:ascii="Arial" w:eastAsia="Times New Roman" w:hAnsi="Arial" w:cs="Arial"/>
                <w:lang w:val="en-GB"/>
              </w:rPr>
              <w:t>, once finalised</w:t>
            </w:r>
            <w:r w:rsidR="00DC31D4" w:rsidRPr="00A10D2B">
              <w:rPr>
                <w:rFonts w:ascii="Arial" w:eastAsia="Times New Roman" w:hAnsi="Arial" w:cs="Arial"/>
                <w:lang w:val="en-GB"/>
              </w:rPr>
              <w:t>.</w:t>
            </w:r>
          </w:p>
        </w:tc>
      </w:tr>
      <w:tr w:rsidR="00614146" w:rsidRPr="009D05E3" w14:paraId="19C50EBE" w14:textId="77777777" w:rsidTr="00515BD8">
        <w:tc>
          <w:tcPr>
            <w:tcW w:w="1886" w:type="dxa"/>
            <w:vAlign w:val="bottom"/>
          </w:tcPr>
          <w:p w14:paraId="30114C5F" w14:textId="14308A40" w:rsidR="00614146" w:rsidRPr="009D05E3" w:rsidRDefault="00614146" w:rsidP="00224537">
            <w:pPr>
              <w:pStyle w:val="ListParagraph"/>
              <w:spacing w:after="2280"/>
              <w:rPr>
                <w:rFonts w:ascii="Arial" w:hAnsi="Arial" w:cs="Arial"/>
                <w:lang w:val="en-GB"/>
              </w:rPr>
            </w:pPr>
            <w:r>
              <w:rPr>
                <w:rFonts w:ascii="Arial" w:hAnsi="Arial" w:cs="Arial"/>
                <w:lang w:val="en-GB"/>
              </w:rPr>
              <w:t>152</w:t>
            </w:r>
          </w:p>
        </w:tc>
        <w:tc>
          <w:tcPr>
            <w:tcW w:w="2078" w:type="dxa"/>
          </w:tcPr>
          <w:p w14:paraId="22AB9BB9" w14:textId="70AF8491" w:rsidR="00614146" w:rsidRPr="009D05E3" w:rsidRDefault="00614146" w:rsidP="00614146">
            <w:pPr>
              <w:spacing w:after="0" w:line="240" w:lineRule="auto"/>
              <w:rPr>
                <w:rFonts w:ascii="Arial" w:hAnsi="Arial" w:cs="Arial"/>
                <w:sz w:val="20"/>
                <w:szCs w:val="20"/>
                <w:lang w:val="en-GB"/>
              </w:rPr>
            </w:pPr>
            <w:r w:rsidRPr="00564882">
              <w:rPr>
                <w:rFonts w:ascii="Arial" w:hAnsi="Arial" w:cs="Arial"/>
                <w:sz w:val="20"/>
                <w:szCs w:val="20"/>
                <w:lang w:val="en-GB"/>
              </w:rPr>
              <w:t>BASA</w:t>
            </w:r>
          </w:p>
        </w:tc>
        <w:tc>
          <w:tcPr>
            <w:tcW w:w="2691" w:type="dxa"/>
          </w:tcPr>
          <w:p w14:paraId="2C81DF6D" w14:textId="77777777" w:rsidR="00614146" w:rsidRPr="00935E14" w:rsidRDefault="00614146" w:rsidP="00614146">
            <w:pPr>
              <w:spacing w:after="0" w:line="240" w:lineRule="auto"/>
              <w:rPr>
                <w:rFonts w:ascii="Arial" w:hAnsi="Arial" w:cs="Arial"/>
                <w:sz w:val="20"/>
                <w:szCs w:val="20"/>
                <w:lang w:val="en-GB"/>
              </w:rPr>
            </w:pPr>
          </w:p>
        </w:tc>
        <w:tc>
          <w:tcPr>
            <w:tcW w:w="7903" w:type="dxa"/>
          </w:tcPr>
          <w:p w14:paraId="0D651C90" w14:textId="1CB00BD3" w:rsidR="00614146" w:rsidRPr="00A10D2B" w:rsidRDefault="00614146" w:rsidP="00614146">
            <w:pPr>
              <w:spacing w:after="0" w:line="240" w:lineRule="auto"/>
              <w:rPr>
                <w:rFonts w:ascii="Arial" w:eastAsia="Times New Roman" w:hAnsi="Arial" w:cs="Arial"/>
                <w:lang w:val="en-GB"/>
              </w:rPr>
            </w:pPr>
            <w:r w:rsidRPr="00A10D2B">
              <w:rPr>
                <w:rFonts w:ascii="Arial" w:hAnsi="Arial" w:cs="Arial"/>
                <w:bCs/>
              </w:rPr>
              <w:t xml:space="preserve">The assumption is that the resolution plan will not be made available to designated institutions and hence the institution will not be aware of the resolution tool being applied to them.  </w:t>
            </w:r>
            <w:r w:rsidRPr="00A10D2B">
              <w:rPr>
                <w:rFonts w:ascii="Arial" w:hAnsi="Arial" w:cs="Arial"/>
                <w:b/>
              </w:rPr>
              <w:t>Clarify</w:t>
            </w:r>
            <w:r w:rsidRPr="00A10D2B">
              <w:rPr>
                <w:rFonts w:ascii="Arial" w:hAnsi="Arial" w:cs="Arial"/>
                <w:bCs/>
              </w:rPr>
              <w:t xml:space="preserve"> if a transfer perimeter should be compiled per resolution tool?</w:t>
            </w:r>
          </w:p>
        </w:tc>
        <w:tc>
          <w:tcPr>
            <w:tcW w:w="6416" w:type="dxa"/>
            <w:shd w:val="clear" w:color="auto" w:fill="auto"/>
          </w:tcPr>
          <w:p w14:paraId="2DA305C4" w14:textId="77777777" w:rsidR="00E04665" w:rsidRPr="00A10D2B" w:rsidRDefault="00133533" w:rsidP="00133533">
            <w:pPr>
              <w:spacing w:after="0" w:line="240" w:lineRule="auto"/>
              <w:jc w:val="both"/>
              <w:rPr>
                <w:rFonts w:ascii="Arial" w:eastAsia="Times New Roman" w:hAnsi="Arial" w:cs="Arial"/>
                <w:lang w:val="en-GB"/>
              </w:rPr>
            </w:pPr>
            <w:r w:rsidRPr="00A10D2B">
              <w:rPr>
                <w:rFonts w:ascii="Arial" w:eastAsia="Times New Roman" w:hAnsi="Arial" w:cs="Arial"/>
                <w:lang w:val="en-GB"/>
              </w:rPr>
              <w:t>The assumption is incorrect</w:t>
            </w:r>
            <w:r w:rsidR="00E04665" w:rsidRPr="00A10D2B">
              <w:rPr>
                <w:rFonts w:ascii="Arial" w:eastAsia="Times New Roman" w:hAnsi="Arial" w:cs="Arial"/>
                <w:lang w:val="en-GB"/>
              </w:rPr>
              <w:t>.</w:t>
            </w:r>
            <w:r w:rsidRPr="00A10D2B">
              <w:rPr>
                <w:rFonts w:ascii="Arial" w:eastAsia="Times New Roman" w:hAnsi="Arial" w:cs="Arial"/>
                <w:lang w:val="en-GB"/>
              </w:rPr>
              <w:t xml:space="preserve"> The</w:t>
            </w:r>
            <w:r w:rsidR="00E04665" w:rsidRPr="00A10D2B">
              <w:rPr>
                <w:rFonts w:ascii="Arial" w:eastAsia="Times New Roman" w:hAnsi="Arial" w:cs="Arial"/>
                <w:lang w:val="en-GB"/>
              </w:rPr>
              <w:t xml:space="preserve"> Reserve Bank will inform the designated institution of the envisaged resolution strategy.</w:t>
            </w:r>
          </w:p>
          <w:p w14:paraId="1BD3D3F0" w14:textId="5D23488C" w:rsidR="00133533" w:rsidRPr="00A10D2B" w:rsidRDefault="00133533" w:rsidP="00133533">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 </w:t>
            </w:r>
          </w:p>
          <w:p w14:paraId="6EF6FAD4" w14:textId="391FBAA0" w:rsidR="00133533" w:rsidRPr="00A10D2B" w:rsidRDefault="00133533" w:rsidP="00133533">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w:t>
            </w:r>
            <w:r w:rsidR="00DA560E">
              <w:rPr>
                <w:rFonts w:ascii="Arial" w:eastAsia="Times New Roman" w:hAnsi="Arial" w:cs="Arial"/>
                <w:lang w:val="en-GB"/>
              </w:rPr>
              <w:t>Authorities</w:t>
            </w:r>
            <w:r w:rsidR="007F012D">
              <w:rPr>
                <w:rFonts w:ascii="Arial" w:eastAsia="Times New Roman" w:hAnsi="Arial" w:cs="Arial"/>
                <w:lang w:val="en-GB"/>
              </w:rPr>
              <w:t xml:space="preserve"> </w:t>
            </w:r>
            <w:r w:rsidRPr="00A10D2B">
              <w:rPr>
                <w:rFonts w:ascii="Arial" w:eastAsia="Times New Roman" w:hAnsi="Arial" w:cs="Arial"/>
                <w:lang w:val="en-GB"/>
              </w:rPr>
              <w:t>amended the Application section (section 5), to clarify that the Standard is applicable to all designated institutions, however only institutions that will have been informed by the Reserve Bank that transfers will form part of their resolution strategy, will need to comply with the requirements in the Standard.</w:t>
            </w:r>
          </w:p>
          <w:p w14:paraId="7B056A1F" w14:textId="5BFE4EA4" w:rsidR="00614146" w:rsidRPr="00A10D2B" w:rsidRDefault="00614146" w:rsidP="00614146">
            <w:pPr>
              <w:spacing w:after="0" w:line="240" w:lineRule="auto"/>
              <w:jc w:val="both"/>
              <w:rPr>
                <w:rFonts w:ascii="Arial" w:eastAsia="Times New Roman" w:hAnsi="Arial" w:cs="Arial"/>
                <w:lang w:val="en-GB"/>
              </w:rPr>
            </w:pPr>
          </w:p>
        </w:tc>
      </w:tr>
      <w:tr w:rsidR="00614146" w:rsidRPr="009D05E3" w14:paraId="54C3FE65" w14:textId="77777777" w:rsidTr="00515BD8">
        <w:tc>
          <w:tcPr>
            <w:tcW w:w="1886" w:type="dxa"/>
            <w:vAlign w:val="bottom"/>
          </w:tcPr>
          <w:p w14:paraId="549E22CD" w14:textId="6756BF3A" w:rsidR="00614146" w:rsidRPr="009D05E3" w:rsidRDefault="00614146" w:rsidP="00224537">
            <w:pPr>
              <w:spacing w:after="2640"/>
              <w:jc w:val="center"/>
              <w:rPr>
                <w:rFonts w:ascii="Arial" w:hAnsi="Arial" w:cs="Arial"/>
                <w:lang w:val="en-GB"/>
              </w:rPr>
            </w:pPr>
            <w:r>
              <w:rPr>
                <w:rFonts w:ascii="Arial" w:hAnsi="Arial" w:cs="Arial"/>
                <w:lang w:val="en-GB"/>
              </w:rPr>
              <w:t>153</w:t>
            </w:r>
          </w:p>
        </w:tc>
        <w:tc>
          <w:tcPr>
            <w:tcW w:w="2078" w:type="dxa"/>
          </w:tcPr>
          <w:p w14:paraId="51A9FAB2" w14:textId="187D9734" w:rsidR="00614146" w:rsidRPr="009D05E3" w:rsidRDefault="00614146" w:rsidP="00614146">
            <w:pPr>
              <w:tabs>
                <w:tab w:val="left" w:pos="1905"/>
              </w:tabs>
              <w:spacing w:after="0" w:line="240" w:lineRule="auto"/>
              <w:rPr>
                <w:rFonts w:ascii="Arial" w:hAnsi="Arial" w:cs="Arial"/>
                <w:sz w:val="20"/>
                <w:szCs w:val="20"/>
                <w:lang w:val="en-GB"/>
              </w:rPr>
            </w:pPr>
            <w:r w:rsidRPr="00564882">
              <w:rPr>
                <w:rFonts w:ascii="Arial" w:hAnsi="Arial" w:cs="Arial"/>
                <w:sz w:val="20"/>
                <w:szCs w:val="20"/>
                <w:lang w:val="en-GB"/>
              </w:rPr>
              <w:t>BASA</w:t>
            </w:r>
          </w:p>
        </w:tc>
        <w:tc>
          <w:tcPr>
            <w:tcW w:w="2691" w:type="dxa"/>
          </w:tcPr>
          <w:p w14:paraId="010371E8" w14:textId="77777777" w:rsidR="00614146" w:rsidRPr="00935E14" w:rsidRDefault="00614146" w:rsidP="00614146">
            <w:pPr>
              <w:spacing w:after="0" w:line="240" w:lineRule="auto"/>
              <w:rPr>
                <w:rFonts w:ascii="Arial" w:hAnsi="Arial" w:cs="Arial"/>
                <w:sz w:val="20"/>
                <w:szCs w:val="20"/>
                <w:lang w:val="en-GB"/>
              </w:rPr>
            </w:pPr>
          </w:p>
        </w:tc>
        <w:tc>
          <w:tcPr>
            <w:tcW w:w="7903" w:type="dxa"/>
          </w:tcPr>
          <w:p w14:paraId="19F1D2F7" w14:textId="77777777" w:rsidR="00614146" w:rsidRPr="00A10D2B" w:rsidRDefault="00614146" w:rsidP="00614146">
            <w:pPr>
              <w:spacing w:afterLines="40" w:after="96" w:line="240" w:lineRule="auto"/>
              <w:rPr>
                <w:rFonts w:ascii="Arial" w:hAnsi="Arial" w:cs="Arial"/>
                <w:bCs/>
              </w:rPr>
            </w:pPr>
            <w:r w:rsidRPr="00A10D2B">
              <w:rPr>
                <w:rFonts w:ascii="Arial" w:hAnsi="Arial" w:cs="Arial"/>
                <w:bCs/>
              </w:rPr>
              <w:t xml:space="preserve">The assumption is that the resolution plan will not be made available to designated institutions and hence the institution will not be aware of the core business lines, critical functions and essential services detailed in the resolution plan.  In the Operational Continuity in Resolution discussion paper section 2.7 mentions that although there may be material similarities between the core business lines, critical functions and essential services identified for recovery planning and business continuity, it cannot be assumed that it will be the same for resolution planning.  </w:t>
            </w:r>
          </w:p>
          <w:p w14:paraId="7C3592B1" w14:textId="6D3701E1" w:rsidR="00614146" w:rsidRPr="00A10D2B" w:rsidRDefault="00614146" w:rsidP="00614146">
            <w:pPr>
              <w:spacing w:after="0" w:line="240" w:lineRule="auto"/>
              <w:rPr>
                <w:rFonts w:ascii="Arial" w:eastAsia="Times New Roman" w:hAnsi="Arial" w:cs="Arial"/>
                <w:lang w:val="en-GB"/>
              </w:rPr>
            </w:pPr>
            <w:r w:rsidRPr="00A10D2B">
              <w:rPr>
                <w:rFonts w:ascii="Arial" w:hAnsi="Arial" w:cs="Arial"/>
                <w:b/>
              </w:rPr>
              <w:t>Clarify</w:t>
            </w:r>
            <w:r w:rsidRPr="00A10D2B">
              <w:rPr>
                <w:rFonts w:ascii="Arial" w:hAnsi="Arial" w:cs="Arial"/>
                <w:bCs/>
              </w:rPr>
              <w:t xml:space="preserve"> if the core business lines, critical functions and essential services will be disclosed to designated institutions to ensure that the scope of the transfer perimeter is in line with resolution planning expectations.</w:t>
            </w:r>
          </w:p>
        </w:tc>
        <w:tc>
          <w:tcPr>
            <w:tcW w:w="6416" w:type="dxa"/>
            <w:shd w:val="clear" w:color="auto" w:fill="auto"/>
          </w:tcPr>
          <w:p w14:paraId="1E883ED5" w14:textId="77777777" w:rsidR="00705D51" w:rsidRPr="00A10D2B" w:rsidRDefault="00705D51" w:rsidP="00705D51">
            <w:pPr>
              <w:spacing w:after="0" w:line="240" w:lineRule="auto"/>
              <w:jc w:val="both"/>
              <w:rPr>
                <w:rFonts w:ascii="Arial" w:eastAsia="Times New Roman" w:hAnsi="Arial" w:cs="Arial"/>
                <w:lang w:val="en-GB"/>
              </w:rPr>
            </w:pPr>
            <w:r w:rsidRPr="00A10D2B">
              <w:rPr>
                <w:rFonts w:ascii="Arial" w:eastAsia="Times New Roman" w:hAnsi="Arial" w:cs="Arial"/>
                <w:lang w:val="en-GB"/>
              </w:rPr>
              <w:t>The assumption is incorrect. The Reserve Bank will inform the designated institution of the envisaged resolution strategy.</w:t>
            </w:r>
          </w:p>
          <w:p w14:paraId="2E498019" w14:textId="7F9D6967" w:rsidR="00614146" w:rsidRPr="00A10D2B" w:rsidRDefault="00614146" w:rsidP="00614146">
            <w:pPr>
              <w:spacing w:after="0" w:line="240" w:lineRule="auto"/>
              <w:jc w:val="both"/>
              <w:rPr>
                <w:rFonts w:ascii="Arial" w:eastAsia="Times New Roman" w:hAnsi="Arial" w:cs="Arial"/>
                <w:lang w:val="en-GB"/>
              </w:rPr>
            </w:pPr>
          </w:p>
        </w:tc>
      </w:tr>
      <w:tr w:rsidR="00614146" w:rsidRPr="009D05E3" w14:paraId="162F24F3" w14:textId="77777777" w:rsidTr="00473E16">
        <w:tc>
          <w:tcPr>
            <w:tcW w:w="1886" w:type="dxa"/>
            <w:vAlign w:val="bottom"/>
          </w:tcPr>
          <w:p w14:paraId="1A6FD0D2" w14:textId="23EECC56" w:rsidR="00614146" w:rsidRPr="009D05E3" w:rsidRDefault="00614146" w:rsidP="00614146">
            <w:pPr>
              <w:spacing w:after="960"/>
              <w:jc w:val="center"/>
              <w:rPr>
                <w:rFonts w:ascii="Arial" w:hAnsi="Arial" w:cs="Arial"/>
                <w:lang w:val="en-GB"/>
              </w:rPr>
            </w:pPr>
            <w:r>
              <w:rPr>
                <w:rFonts w:ascii="Arial" w:hAnsi="Arial" w:cs="Arial"/>
                <w:lang w:val="en-GB"/>
              </w:rPr>
              <w:t>154</w:t>
            </w:r>
          </w:p>
        </w:tc>
        <w:tc>
          <w:tcPr>
            <w:tcW w:w="2078" w:type="dxa"/>
          </w:tcPr>
          <w:p w14:paraId="4EAAC55B" w14:textId="70B30F71" w:rsidR="00614146" w:rsidRPr="009D05E3" w:rsidRDefault="00614146" w:rsidP="00614146">
            <w:pPr>
              <w:tabs>
                <w:tab w:val="left" w:pos="1815"/>
              </w:tabs>
              <w:spacing w:after="0" w:line="240" w:lineRule="auto"/>
              <w:rPr>
                <w:rFonts w:ascii="Arial" w:hAnsi="Arial" w:cs="Arial"/>
                <w:sz w:val="20"/>
                <w:szCs w:val="20"/>
                <w:lang w:val="en-GB"/>
              </w:rPr>
            </w:pPr>
            <w:r w:rsidRPr="00993414">
              <w:rPr>
                <w:rFonts w:ascii="Arial" w:hAnsi="Arial" w:cs="Arial"/>
                <w:sz w:val="20"/>
                <w:szCs w:val="20"/>
                <w:lang w:val="en-GB"/>
              </w:rPr>
              <w:t>BASA</w:t>
            </w:r>
          </w:p>
        </w:tc>
        <w:tc>
          <w:tcPr>
            <w:tcW w:w="2691" w:type="dxa"/>
          </w:tcPr>
          <w:p w14:paraId="08620F53" w14:textId="5B580CE1" w:rsidR="00614146" w:rsidRPr="00935E14" w:rsidRDefault="00614146" w:rsidP="00614146">
            <w:pPr>
              <w:spacing w:after="0" w:line="240" w:lineRule="auto"/>
              <w:rPr>
                <w:rFonts w:ascii="Arial" w:hAnsi="Arial" w:cs="Arial"/>
                <w:sz w:val="20"/>
                <w:szCs w:val="20"/>
                <w:lang w:val="en-GB"/>
              </w:rPr>
            </w:pPr>
            <w:r w:rsidRPr="00935E14">
              <w:rPr>
                <w:rFonts w:ascii="Arial" w:hAnsi="Arial" w:cs="Arial"/>
                <w:bCs/>
                <w:sz w:val="20"/>
                <w:szCs w:val="20"/>
              </w:rPr>
              <w:t>Segregation of distressed assets</w:t>
            </w:r>
          </w:p>
        </w:tc>
        <w:tc>
          <w:tcPr>
            <w:tcW w:w="7903" w:type="dxa"/>
          </w:tcPr>
          <w:p w14:paraId="34F29FC5" w14:textId="0F8F3F48" w:rsidR="00614146" w:rsidRPr="00A10D2B" w:rsidRDefault="00614146" w:rsidP="00614146">
            <w:pPr>
              <w:spacing w:after="0" w:line="240" w:lineRule="auto"/>
              <w:rPr>
                <w:rFonts w:ascii="Arial" w:eastAsia="Times New Roman" w:hAnsi="Arial" w:cs="Arial"/>
                <w:lang w:val="en-GB"/>
              </w:rPr>
            </w:pPr>
            <w:r w:rsidRPr="00A10D2B">
              <w:rPr>
                <w:rFonts w:ascii="Arial" w:hAnsi="Arial" w:cs="Arial"/>
                <w:b/>
              </w:rPr>
              <w:t>Recommend</w:t>
            </w:r>
            <w:r w:rsidRPr="00A10D2B">
              <w:rPr>
                <w:rFonts w:ascii="Arial" w:hAnsi="Arial" w:cs="Arial"/>
                <w:bCs/>
              </w:rPr>
              <w:t xml:space="preserve"> that this be aligned to approved transactions in the South African market observed in the recent past, which has been very limited in the South African market. Therefore, we see limited scope for this activity being undertaken in the open South African market/by private institutions.  </w:t>
            </w:r>
          </w:p>
        </w:tc>
        <w:tc>
          <w:tcPr>
            <w:tcW w:w="6416" w:type="dxa"/>
            <w:shd w:val="clear" w:color="auto" w:fill="auto"/>
          </w:tcPr>
          <w:p w14:paraId="5AE82062" w14:textId="3C05C098" w:rsidR="00614146" w:rsidRPr="00A10D2B" w:rsidRDefault="00774278" w:rsidP="00614146">
            <w:pPr>
              <w:spacing w:after="0" w:line="240" w:lineRule="auto"/>
              <w:jc w:val="both"/>
              <w:rPr>
                <w:rFonts w:ascii="Arial" w:eastAsia="Times New Roman" w:hAnsi="Arial" w:cs="Arial"/>
                <w:lang w:val="en-GB"/>
              </w:rPr>
            </w:pPr>
            <w:r w:rsidRPr="00A10D2B">
              <w:rPr>
                <w:rFonts w:ascii="Arial" w:eastAsia="Times New Roman" w:hAnsi="Arial" w:cs="Arial"/>
                <w:lang w:val="en-GB"/>
              </w:rPr>
              <w:t>Noted</w:t>
            </w:r>
          </w:p>
        </w:tc>
      </w:tr>
      <w:tr w:rsidR="00614146" w:rsidRPr="009D05E3" w14:paraId="5B0CEC04" w14:textId="77777777" w:rsidTr="00515BD8">
        <w:tc>
          <w:tcPr>
            <w:tcW w:w="1886" w:type="dxa"/>
            <w:vAlign w:val="bottom"/>
          </w:tcPr>
          <w:p w14:paraId="62F1DB03" w14:textId="5548C2E3" w:rsidR="00614146" w:rsidRPr="009D05E3" w:rsidRDefault="00614146" w:rsidP="00224537">
            <w:pPr>
              <w:spacing w:after="1560"/>
              <w:jc w:val="center"/>
              <w:rPr>
                <w:rFonts w:ascii="Arial" w:hAnsi="Arial" w:cs="Arial"/>
                <w:lang w:val="en-GB"/>
              </w:rPr>
            </w:pPr>
            <w:r>
              <w:rPr>
                <w:rFonts w:ascii="Arial" w:hAnsi="Arial" w:cs="Arial"/>
                <w:lang w:val="en-GB"/>
              </w:rPr>
              <w:lastRenderedPageBreak/>
              <w:t>155</w:t>
            </w:r>
          </w:p>
        </w:tc>
        <w:tc>
          <w:tcPr>
            <w:tcW w:w="2078" w:type="dxa"/>
          </w:tcPr>
          <w:p w14:paraId="736BEB5C" w14:textId="20645C1C" w:rsidR="00614146" w:rsidRPr="00AE52E4" w:rsidRDefault="00614146" w:rsidP="00AE52E4">
            <w:pPr>
              <w:pStyle w:val="TableParagraph"/>
              <w:jc w:val="left"/>
              <w:rPr>
                <w:rFonts w:ascii="Arial" w:hAnsi="Arial" w:cs="Arial"/>
                <w:bCs/>
                <w:sz w:val="20"/>
                <w:szCs w:val="20"/>
              </w:rPr>
            </w:pPr>
            <w:r w:rsidRPr="00AE52E4">
              <w:rPr>
                <w:rFonts w:ascii="Arial" w:hAnsi="Arial" w:cs="Arial"/>
                <w:bCs/>
                <w:sz w:val="20"/>
                <w:szCs w:val="20"/>
              </w:rPr>
              <w:t>BASA</w:t>
            </w:r>
          </w:p>
        </w:tc>
        <w:tc>
          <w:tcPr>
            <w:tcW w:w="2691" w:type="dxa"/>
          </w:tcPr>
          <w:p w14:paraId="0E31307F" w14:textId="417002F1" w:rsidR="00614146" w:rsidRPr="00AE52E4" w:rsidRDefault="00614146" w:rsidP="00AE52E4">
            <w:pPr>
              <w:pStyle w:val="TableParagraph"/>
              <w:jc w:val="left"/>
              <w:rPr>
                <w:rFonts w:ascii="Arial" w:hAnsi="Arial" w:cs="Arial"/>
                <w:bCs/>
                <w:sz w:val="20"/>
                <w:szCs w:val="20"/>
              </w:rPr>
            </w:pPr>
            <w:r w:rsidRPr="00AE52E4">
              <w:rPr>
                <w:rFonts w:ascii="Arial" w:hAnsi="Arial" w:cs="Arial"/>
                <w:bCs/>
                <w:sz w:val="20"/>
                <w:szCs w:val="20"/>
              </w:rPr>
              <w:t>General</w:t>
            </w:r>
          </w:p>
        </w:tc>
        <w:tc>
          <w:tcPr>
            <w:tcW w:w="7903" w:type="dxa"/>
          </w:tcPr>
          <w:p w14:paraId="101E2639" w14:textId="1981632C" w:rsidR="00614146" w:rsidRPr="00A10D2B" w:rsidRDefault="00614146" w:rsidP="00614146">
            <w:pPr>
              <w:spacing w:after="0" w:line="240" w:lineRule="auto"/>
              <w:rPr>
                <w:rFonts w:ascii="Arial" w:eastAsia="Times New Roman" w:hAnsi="Arial" w:cs="Arial"/>
                <w:lang w:val="en-GB"/>
              </w:rPr>
            </w:pPr>
            <w:r w:rsidRPr="00A10D2B">
              <w:rPr>
                <w:rFonts w:ascii="Arial" w:hAnsi="Arial" w:cs="Arial"/>
                <w:bCs/>
              </w:rPr>
              <w:t xml:space="preserve">There is uncertainty whether systemic banks (D-SIBs) also need to comply with this paper. If Transfer tools 1 and 2 are for closed resolutions, then it won’t apply to SIFI’s that will follow an open resolution strategy. </w:t>
            </w:r>
            <w:r w:rsidRPr="00A10D2B">
              <w:rPr>
                <w:rFonts w:ascii="Arial" w:hAnsi="Arial" w:cs="Arial"/>
                <w:b/>
              </w:rPr>
              <w:t>Clarify</w:t>
            </w:r>
          </w:p>
        </w:tc>
        <w:tc>
          <w:tcPr>
            <w:tcW w:w="6416" w:type="dxa"/>
            <w:shd w:val="clear" w:color="auto" w:fill="auto"/>
          </w:tcPr>
          <w:p w14:paraId="6461613D" w14:textId="14732452" w:rsidR="00774278" w:rsidRDefault="00774278" w:rsidP="00774278">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w:t>
            </w:r>
            <w:r w:rsidR="00DA560E">
              <w:rPr>
                <w:rFonts w:ascii="Arial" w:eastAsia="Times New Roman" w:hAnsi="Arial" w:cs="Arial"/>
                <w:lang w:val="en-GB"/>
              </w:rPr>
              <w:t>Authorities</w:t>
            </w:r>
            <w:r w:rsidRPr="00A10D2B">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requirements in the Standard.</w:t>
            </w:r>
          </w:p>
          <w:p w14:paraId="20451803" w14:textId="5E389140" w:rsidR="00515604" w:rsidRDefault="00515604" w:rsidP="00774278">
            <w:pPr>
              <w:spacing w:after="0" w:line="240" w:lineRule="auto"/>
              <w:jc w:val="both"/>
              <w:rPr>
                <w:rFonts w:ascii="Arial" w:eastAsia="Times New Roman" w:hAnsi="Arial" w:cs="Arial"/>
                <w:lang w:val="en-GB"/>
              </w:rPr>
            </w:pPr>
          </w:p>
          <w:p w14:paraId="3B292B47" w14:textId="79A6EA46" w:rsidR="00515604" w:rsidRPr="00A10D2B" w:rsidRDefault="00515604" w:rsidP="00774278">
            <w:pPr>
              <w:spacing w:after="0" w:line="240" w:lineRule="auto"/>
              <w:jc w:val="both"/>
              <w:rPr>
                <w:rFonts w:ascii="Arial" w:eastAsia="Times New Roman" w:hAnsi="Arial" w:cs="Arial"/>
                <w:lang w:val="en-GB"/>
              </w:rPr>
            </w:pPr>
            <w:r>
              <w:rPr>
                <w:rFonts w:ascii="Arial" w:eastAsia="Times New Roman" w:hAnsi="Arial" w:cs="Arial"/>
                <w:lang w:val="en-GB"/>
              </w:rPr>
              <w:t>Resolution tools can be used in conjunction with each other. Bail-in as the main resolution tool does not preclude transfers from being used as part of the tools to achieve an orderly resolution.</w:t>
            </w:r>
          </w:p>
          <w:p w14:paraId="6FAD0104" w14:textId="53DB6F95" w:rsidR="00614146" w:rsidRPr="00A10D2B" w:rsidRDefault="00614146" w:rsidP="00614146">
            <w:pPr>
              <w:spacing w:after="0" w:line="240" w:lineRule="auto"/>
              <w:jc w:val="both"/>
              <w:rPr>
                <w:rFonts w:ascii="Arial" w:eastAsia="Times New Roman" w:hAnsi="Arial" w:cs="Arial"/>
                <w:lang w:val="en-GB"/>
              </w:rPr>
            </w:pPr>
          </w:p>
        </w:tc>
      </w:tr>
      <w:tr w:rsidR="00614146" w:rsidRPr="009D05E3" w14:paraId="622575F8" w14:textId="77777777" w:rsidTr="00515BD8">
        <w:tc>
          <w:tcPr>
            <w:tcW w:w="1886" w:type="dxa"/>
            <w:vAlign w:val="bottom"/>
          </w:tcPr>
          <w:p w14:paraId="43B8BCD6" w14:textId="7DF0A69E" w:rsidR="00614146" w:rsidRPr="009D05E3" w:rsidRDefault="00614146" w:rsidP="00644682">
            <w:pPr>
              <w:spacing w:after="720"/>
              <w:jc w:val="center"/>
              <w:rPr>
                <w:rFonts w:ascii="Arial" w:hAnsi="Arial" w:cs="Arial"/>
                <w:lang w:val="en-GB"/>
              </w:rPr>
            </w:pPr>
            <w:r>
              <w:rPr>
                <w:rFonts w:ascii="Arial" w:hAnsi="Arial" w:cs="Arial"/>
                <w:lang w:val="en-GB"/>
              </w:rPr>
              <w:t>156</w:t>
            </w:r>
          </w:p>
        </w:tc>
        <w:tc>
          <w:tcPr>
            <w:tcW w:w="2078" w:type="dxa"/>
          </w:tcPr>
          <w:p w14:paraId="21313DCD" w14:textId="452E73F7" w:rsidR="00614146" w:rsidRPr="009D05E3" w:rsidRDefault="00614146" w:rsidP="00614146">
            <w:pPr>
              <w:spacing w:after="0" w:line="240" w:lineRule="auto"/>
              <w:rPr>
                <w:rFonts w:ascii="Arial" w:hAnsi="Arial" w:cs="Arial"/>
                <w:sz w:val="20"/>
                <w:szCs w:val="20"/>
                <w:lang w:val="en-GB"/>
              </w:rPr>
            </w:pPr>
            <w:r w:rsidRPr="00993414">
              <w:rPr>
                <w:rFonts w:ascii="Arial" w:hAnsi="Arial" w:cs="Arial"/>
                <w:sz w:val="20"/>
                <w:szCs w:val="20"/>
                <w:lang w:val="en-GB"/>
              </w:rPr>
              <w:t>BASA</w:t>
            </w:r>
          </w:p>
        </w:tc>
        <w:tc>
          <w:tcPr>
            <w:tcW w:w="2691" w:type="dxa"/>
          </w:tcPr>
          <w:p w14:paraId="791CB610" w14:textId="00E58A67" w:rsidR="00614146" w:rsidRPr="00935E14" w:rsidRDefault="00614146" w:rsidP="00614146">
            <w:pPr>
              <w:pStyle w:val="TableParagraph"/>
              <w:jc w:val="left"/>
              <w:rPr>
                <w:rFonts w:ascii="Arial" w:hAnsi="Arial" w:cs="Arial"/>
                <w:sz w:val="20"/>
                <w:szCs w:val="20"/>
              </w:rPr>
            </w:pPr>
            <w:r w:rsidRPr="00935E14">
              <w:rPr>
                <w:rFonts w:ascii="Arial" w:hAnsi="Arial" w:cs="Arial"/>
                <w:bCs/>
                <w:sz w:val="20"/>
                <w:szCs w:val="20"/>
              </w:rPr>
              <w:t>General</w:t>
            </w:r>
          </w:p>
        </w:tc>
        <w:tc>
          <w:tcPr>
            <w:tcW w:w="7903" w:type="dxa"/>
          </w:tcPr>
          <w:p w14:paraId="5D8186C9" w14:textId="3DCB1064" w:rsidR="00614146" w:rsidRPr="00A10D2B" w:rsidRDefault="00614146" w:rsidP="00614146">
            <w:pPr>
              <w:pStyle w:val="TableParagraph"/>
              <w:jc w:val="left"/>
              <w:rPr>
                <w:rFonts w:ascii="Arial" w:hAnsi="Arial" w:cs="Arial"/>
              </w:rPr>
            </w:pPr>
            <w:r w:rsidRPr="00A10D2B">
              <w:rPr>
                <w:rFonts w:ascii="Arial" w:hAnsi="Arial" w:cs="Arial"/>
                <w:bCs/>
              </w:rPr>
              <w:t>It is also unclear potential synergies and/or duplication of efforts between this paper, recovery plans and resolution plans. It will thus be difficult at this stage to quantify potential impacts from a cost perspective, however the administrative burdens attached to developing playbooks appears significant.</w:t>
            </w:r>
          </w:p>
        </w:tc>
        <w:tc>
          <w:tcPr>
            <w:tcW w:w="6416" w:type="dxa"/>
            <w:shd w:val="clear" w:color="auto" w:fill="auto"/>
          </w:tcPr>
          <w:p w14:paraId="09041381" w14:textId="1E4C0354" w:rsidR="00C540ED" w:rsidRPr="00A10D2B" w:rsidRDefault="00C540ED" w:rsidP="00C540ED">
            <w:pPr>
              <w:spacing w:after="0" w:line="240" w:lineRule="auto"/>
              <w:rPr>
                <w:rFonts w:ascii="Arial" w:eastAsia="Times New Roman" w:hAnsi="Arial" w:cs="Arial"/>
                <w:lang w:val="en-GB"/>
              </w:rPr>
            </w:pPr>
            <w:r w:rsidRPr="00A10D2B">
              <w:rPr>
                <w:rFonts w:ascii="Arial" w:hAnsi="Arial" w:cs="Arial"/>
              </w:rPr>
              <w:t xml:space="preserve">Where there are </w:t>
            </w:r>
            <w:r w:rsidRPr="00A10D2B">
              <w:rPr>
                <w:rFonts w:ascii="Arial" w:eastAsia="Times New Roman" w:hAnsi="Arial" w:cs="Arial"/>
                <w:lang w:val="en-GB"/>
              </w:rPr>
              <w:t>similar requirements between this Standard and other Standards to follow designated institutions will not be expected to duplicate efforts.</w:t>
            </w:r>
          </w:p>
          <w:p w14:paraId="4D1CBA57" w14:textId="310C1E84" w:rsidR="00614146" w:rsidRPr="00A10D2B" w:rsidRDefault="00614146" w:rsidP="00614146">
            <w:pPr>
              <w:spacing w:after="0" w:line="240" w:lineRule="auto"/>
              <w:jc w:val="both"/>
              <w:rPr>
                <w:rFonts w:ascii="Arial" w:eastAsia="Times New Roman" w:hAnsi="Arial" w:cs="Arial"/>
                <w:lang w:val="en-GB"/>
              </w:rPr>
            </w:pPr>
          </w:p>
        </w:tc>
      </w:tr>
      <w:tr w:rsidR="00614146" w:rsidRPr="009D05E3" w14:paraId="554C2870" w14:textId="77777777" w:rsidTr="00515BD8">
        <w:trPr>
          <w:trHeight w:val="5058"/>
        </w:trPr>
        <w:tc>
          <w:tcPr>
            <w:tcW w:w="1886" w:type="dxa"/>
            <w:vAlign w:val="bottom"/>
          </w:tcPr>
          <w:p w14:paraId="0D38CDC6" w14:textId="55A9CE3F" w:rsidR="00614146" w:rsidRPr="009D05E3" w:rsidRDefault="00614146" w:rsidP="001A49EE">
            <w:pPr>
              <w:spacing w:after="5400"/>
              <w:jc w:val="center"/>
              <w:rPr>
                <w:rFonts w:ascii="Arial" w:hAnsi="Arial" w:cs="Arial"/>
                <w:lang w:val="en-GB"/>
              </w:rPr>
            </w:pPr>
            <w:bookmarkStart w:id="3" w:name="_Hlk78571567"/>
            <w:r>
              <w:rPr>
                <w:rFonts w:ascii="Arial" w:hAnsi="Arial" w:cs="Arial"/>
                <w:lang w:val="en-GB"/>
              </w:rPr>
              <w:t>157</w:t>
            </w:r>
          </w:p>
        </w:tc>
        <w:tc>
          <w:tcPr>
            <w:tcW w:w="2078" w:type="dxa"/>
          </w:tcPr>
          <w:p w14:paraId="573AE930" w14:textId="74B57161" w:rsidR="00614146" w:rsidRPr="009D05E3" w:rsidRDefault="00614146" w:rsidP="00614146">
            <w:pPr>
              <w:spacing w:after="0" w:line="240" w:lineRule="auto"/>
              <w:rPr>
                <w:rFonts w:ascii="Arial" w:hAnsi="Arial" w:cs="Arial"/>
                <w:sz w:val="20"/>
                <w:szCs w:val="20"/>
                <w:lang w:val="en-GB"/>
              </w:rPr>
            </w:pPr>
            <w:r w:rsidRPr="0035685F">
              <w:rPr>
                <w:rFonts w:ascii="Arial" w:hAnsi="Arial" w:cs="Arial"/>
                <w:sz w:val="20"/>
                <w:szCs w:val="20"/>
                <w:lang w:val="en-GB"/>
              </w:rPr>
              <w:t>BASA</w:t>
            </w:r>
          </w:p>
        </w:tc>
        <w:tc>
          <w:tcPr>
            <w:tcW w:w="2691" w:type="dxa"/>
          </w:tcPr>
          <w:p w14:paraId="0A10CDFD" w14:textId="79C7C59A" w:rsidR="00614146" w:rsidRPr="00935E14" w:rsidRDefault="00614146" w:rsidP="00614146">
            <w:pPr>
              <w:spacing w:after="0" w:line="240" w:lineRule="auto"/>
              <w:rPr>
                <w:rFonts w:ascii="Arial" w:hAnsi="Arial" w:cs="Arial"/>
                <w:bCs/>
                <w:sz w:val="20"/>
                <w:szCs w:val="20"/>
              </w:rPr>
            </w:pPr>
            <w:r w:rsidRPr="00935E14">
              <w:rPr>
                <w:rFonts w:ascii="Arial" w:hAnsi="Arial" w:cs="Arial"/>
                <w:bCs/>
                <w:sz w:val="20"/>
                <w:szCs w:val="20"/>
              </w:rPr>
              <w:t>Scope of the paper</w:t>
            </w:r>
          </w:p>
        </w:tc>
        <w:tc>
          <w:tcPr>
            <w:tcW w:w="7903" w:type="dxa"/>
          </w:tcPr>
          <w:p w14:paraId="48AB7DCC" w14:textId="77777777" w:rsidR="00614146" w:rsidRPr="00A10D2B" w:rsidRDefault="00614146" w:rsidP="00614146">
            <w:pPr>
              <w:spacing w:after="0" w:line="240" w:lineRule="auto"/>
              <w:rPr>
                <w:rFonts w:ascii="Arial" w:hAnsi="Arial" w:cs="Arial"/>
                <w:bCs/>
              </w:rPr>
            </w:pPr>
            <w:r w:rsidRPr="00A10D2B">
              <w:rPr>
                <w:rFonts w:ascii="Arial" w:hAnsi="Arial" w:cs="Arial"/>
                <w:bCs/>
              </w:rPr>
              <w:t>As stated in the National Treasury and SARB paper, Strengthening South Africa’s Resolution Framework for Financial Institutions: “When a DRI reaches the POR, a simple wind-down or liquidation process (i.e., a closed resolution) is very unlikely, for the reasons discussed in Chapter 1. It is more likely that some form of an open resolution will be followed in terms of which the institution will be stabilised before embarking on a longer-term restructuring or winding-down process”. It is envisaged that the intention is for DSIB’s in South Africa to follow an open bank resolution strategy with bail in as the preferred resolution tool and not transfer. This implies that the bank and its critical functions would remain operational and as such, the key assets and liabilities would remain within the institution and not be transferred.</w:t>
            </w:r>
          </w:p>
          <w:p w14:paraId="7605D7A5" w14:textId="77777777" w:rsidR="00614146" w:rsidRPr="00A10D2B" w:rsidRDefault="00614146" w:rsidP="00614146">
            <w:pPr>
              <w:spacing w:beforeLines="40" w:before="96" w:afterLines="40" w:after="96" w:line="240" w:lineRule="auto"/>
              <w:rPr>
                <w:rFonts w:ascii="Arial" w:hAnsi="Arial" w:cs="Arial"/>
                <w:bCs/>
              </w:rPr>
            </w:pPr>
            <w:r w:rsidRPr="00A10D2B">
              <w:rPr>
                <w:rFonts w:ascii="Arial" w:hAnsi="Arial" w:cs="Arial"/>
                <w:bCs/>
              </w:rPr>
              <w:t>The following is stated in the Bank of England’s paper, “The Bank of England’s approach to resolution October 2014”: “The size and complexity of most global banks and investment firms greatly increases the difficulty of rapidly separating critical economic functions from the rest without causing systemic disruption. For such large firms, a transfer of part or all the business is likely to be difficult to achieve during a short period, such as a resolution weekend. This has led to the development of the concept of bail-in.”</w:t>
            </w:r>
          </w:p>
          <w:p w14:paraId="41BB2226" w14:textId="592EBB4B" w:rsidR="00614146" w:rsidRPr="00A10D2B" w:rsidRDefault="00614146" w:rsidP="00614146">
            <w:pPr>
              <w:pStyle w:val="TableParagraph"/>
              <w:jc w:val="left"/>
              <w:rPr>
                <w:rFonts w:ascii="Arial" w:hAnsi="Arial" w:cs="Arial"/>
              </w:rPr>
            </w:pPr>
            <w:r w:rsidRPr="00A10D2B">
              <w:rPr>
                <w:rFonts w:ascii="Arial" w:hAnsi="Arial" w:cs="Arial"/>
                <w:bCs/>
              </w:rPr>
              <w:t>This then poses the question of whether this proposed standard is not intended for smaller and less complex, less interconnected banks, where transfers are more likely to be successful and is not applicable to DSIB’s.</w:t>
            </w:r>
            <w:r w:rsidRPr="00A10D2B">
              <w:rPr>
                <w:rFonts w:ascii="Arial" w:hAnsi="Arial" w:cs="Arial"/>
                <w:b/>
              </w:rPr>
              <w:t xml:space="preserve"> Clarify</w:t>
            </w:r>
          </w:p>
        </w:tc>
        <w:tc>
          <w:tcPr>
            <w:tcW w:w="6416" w:type="dxa"/>
            <w:shd w:val="clear" w:color="auto" w:fill="auto"/>
          </w:tcPr>
          <w:p w14:paraId="4319F155" w14:textId="143ECED1" w:rsidR="00614146" w:rsidRPr="00A10D2B" w:rsidRDefault="00FA5F16" w:rsidP="00614146">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Resolution authority </w:t>
            </w:r>
            <w:r w:rsidR="0029103F" w:rsidRPr="00A10D2B">
              <w:rPr>
                <w:rFonts w:ascii="Arial" w:eastAsia="Times New Roman" w:hAnsi="Arial" w:cs="Arial"/>
                <w:lang w:val="en-GB"/>
              </w:rPr>
              <w:t xml:space="preserve">has always </w:t>
            </w:r>
            <w:r w:rsidRPr="00A10D2B">
              <w:rPr>
                <w:rFonts w:ascii="Arial" w:eastAsia="Times New Roman" w:hAnsi="Arial" w:cs="Arial"/>
                <w:lang w:val="en-GB"/>
              </w:rPr>
              <w:t>envisage</w:t>
            </w:r>
            <w:r w:rsidR="0029103F" w:rsidRPr="00A10D2B">
              <w:rPr>
                <w:rFonts w:ascii="Arial" w:eastAsia="Times New Roman" w:hAnsi="Arial" w:cs="Arial"/>
                <w:lang w:val="en-GB"/>
              </w:rPr>
              <w:t>d</w:t>
            </w:r>
            <w:r w:rsidRPr="00A10D2B">
              <w:rPr>
                <w:rFonts w:ascii="Arial" w:eastAsia="Times New Roman" w:hAnsi="Arial" w:cs="Arial"/>
                <w:lang w:val="en-GB"/>
              </w:rPr>
              <w:t xml:space="preserve"> bail-in to be the </w:t>
            </w:r>
            <w:r w:rsidR="00BB5636" w:rsidRPr="00A10D2B">
              <w:rPr>
                <w:rFonts w:ascii="Arial" w:eastAsia="Times New Roman" w:hAnsi="Arial" w:cs="Arial"/>
                <w:lang w:val="en-GB"/>
              </w:rPr>
              <w:t>preferred</w:t>
            </w:r>
            <w:r w:rsidRPr="00A10D2B">
              <w:rPr>
                <w:rFonts w:ascii="Arial" w:eastAsia="Times New Roman" w:hAnsi="Arial" w:cs="Arial"/>
                <w:lang w:val="en-GB"/>
              </w:rPr>
              <w:t xml:space="preserve"> </w:t>
            </w:r>
            <w:r w:rsidR="00BB5636" w:rsidRPr="00A10D2B">
              <w:rPr>
                <w:rFonts w:ascii="Arial" w:eastAsia="Times New Roman" w:hAnsi="Arial" w:cs="Arial"/>
                <w:lang w:val="en-GB"/>
              </w:rPr>
              <w:t xml:space="preserve">resolution tool to stabilise SIFIs in </w:t>
            </w:r>
            <w:r w:rsidR="003C3D51" w:rsidRPr="00A10D2B">
              <w:rPr>
                <w:rFonts w:ascii="Arial" w:eastAsia="Times New Roman" w:hAnsi="Arial" w:cs="Arial"/>
                <w:lang w:val="en-GB"/>
              </w:rPr>
              <w:t>resolution</w:t>
            </w:r>
            <w:r w:rsidR="00BB5636" w:rsidRPr="00A10D2B">
              <w:rPr>
                <w:rFonts w:ascii="Arial" w:eastAsia="Times New Roman" w:hAnsi="Arial" w:cs="Arial"/>
                <w:lang w:val="en-GB"/>
              </w:rPr>
              <w:t>.</w:t>
            </w:r>
            <w:r w:rsidRPr="00A10D2B">
              <w:rPr>
                <w:rFonts w:ascii="Arial" w:eastAsia="Times New Roman" w:hAnsi="Arial" w:cs="Arial"/>
                <w:lang w:val="en-GB"/>
              </w:rPr>
              <w:t xml:space="preserve"> However, that does not preclude a transfer tool from being used in conjunction with bail</w:t>
            </w:r>
            <w:r w:rsidR="0029103F" w:rsidRPr="00A10D2B">
              <w:rPr>
                <w:rFonts w:ascii="Arial" w:eastAsia="Times New Roman" w:hAnsi="Arial" w:cs="Arial"/>
                <w:lang w:val="en-GB"/>
              </w:rPr>
              <w:t>-</w:t>
            </w:r>
            <w:r w:rsidRPr="00A10D2B">
              <w:rPr>
                <w:rFonts w:ascii="Arial" w:eastAsia="Times New Roman" w:hAnsi="Arial" w:cs="Arial"/>
                <w:lang w:val="en-GB"/>
              </w:rPr>
              <w:t>in (</w:t>
            </w:r>
            <w:r w:rsidR="004760D1" w:rsidRPr="00A10D2B">
              <w:rPr>
                <w:rFonts w:ascii="Arial" w:eastAsia="Times New Roman" w:hAnsi="Arial" w:cs="Arial"/>
                <w:lang w:val="en-GB"/>
              </w:rPr>
              <w:t>i.e.,</w:t>
            </w:r>
            <w:r w:rsidRPr="00A10D2B">
              <w:rPr>
                <w:rFonts w:ascii="Arial" w:eastAsia="Times New Roman" w:hAnsi="Arial" w:cs="Arial"/>
                <w:lang w:val="en-GB"/>
              </w:rPr>
              <w:t xml:space="preserve"> </w:t>
            </w:r>
            <w:r w:rsidR="003C3D51" w:rsidRPr="00A10D2B">
              <w:rPr>
                <w:rFonts w:ascii="Arial" w:eastAsia="Times New Roman" w:hAnsi="Arial" w:cs="Arial"/>
                <w:lang w:val="en-GB"/>
              </w:rPr>
              <w:t>to remove</w:t>
            </w:r>
            <w:r w:rsidRPr="00A10D2B">
              <w:rPr>
                <w:rFonts w:ascii="Arial" w:eastAsia="Times New Roman" w:hAnsi="Arial" w:cs="Arial"/>
                <w:lang w:val="en-GB"/>
              </w:rPr>
              <w:t xml:space="preserve"> non-core or problematic portfolios, business units etc</w:t>
            </w:r>
            <w:r w:rsidR="0029103F" w:rsidRPr="00A10D2B">
              <w:rPr>
                <w:rFonts w:ascii="Arial" w:eastAsia="Times New Roman" w:hAnsi="Arial" w:cs="Arial"/>
                <w:lang w:val="en-GB"/>
              </w:rPr>
              <w:t>)</w:t>
            </w:r>
            <w:r w:rsidRPr="00A10D2B">
              <w:rPr>
                <w:rFonts w:ascii="Arial" w:eastAsia="Times New Roman" w:hAnsi="Arial" w:cs="Arial"/>
                <w:lang w:val="en-GB"/>
              </w:rPr>
              <w:t>.</w:t>
            </w:r>
            <w:r w:rsidR="003C3D51" w:rsidRPr="00A10D2B">
              <w:rPr>
                <w:rFonts w:ascii="Arial" w:eastAsia="Times New Roman" w:hAnsi="Arial" w:cs="Arial"/>
                <w:lang w:val="en-GB"/>
              </w:rPr>
              <w:t xml:space="preserve"> The application of resolution tools is not binary.</w:t>
            </w:r>
          </w:p>
        </w:tc>
      </w:tr>
      <w:tr w:rsidR="00614146" w:rsidRPr="009D05E3" w14:paraId="55FB4EF2" w14:textId="77777777" w:rsidTr="00515BD8">
        <w:tc>
          <w:tcPr>
            <w:tcW w:w="1886" w:type="dxa"/>
            <w:vAlign w:val="bottom"/>
          </w:tcPr>
          <w:p w14:paraId="65B8335E" w14:textId="34FABD22" w:rsidR="00614146" w:rsidRPr="009D05E3" w:rsidRDefault="00614146" w:rsidP="001A49EE">
            <w:pPr>
              <w:spacing w:after="4680"/>
              <w:jc w:val="center"/>
              <w:rPr>
                <w:rFonts w:ascii="Arial" w:hAnsi="Arial" w:cs="Arial"/>
                <w:lang w:val="en-GB"/>
              </w:rPr>
            </w:pPr>
            <w:r>
              <w:rPr>
                <w:rFonts w:ascii="Arial" w:hAnsi="Arial" w:cs="Arial"/>
                <w:lang w:val="en-GB"/>
              </w:rPr>
              <w:lastRenderedPageBreak/>
              <w:t>158</w:t>
            </w:r>
          </w:p>
        </w:tc>
        <w:tc>
          <w:tcPr>
            <w:tcW w:w="2078" w:type="dxa"/>
          </w:tcPr>
          <w:p w14:paraId="66977F74" w14:textId="6FCB7B77" w:rsidR="00614146" w:rsidRPr="009D05E3" w:rsidRDefault="00614146" w:rsidP="00614146">
            <w:pPr>
              <w:spacing w:after="0" w:line="240" w:lineRule="auto"/>
              <w:rPr>
                <w:rFonts w:ascii="Arial" w:hAnsi="Arial" w:cs="Arial"/>
                <w:sz w:val="20"/>
                <w:szCs w:val="20"/>
                <w:lang w:val="en-GB"/>
              </w:rPr>
            </w:pPr>
            <w:r w:rsidRPr="0035685F">
              <w:rPr>
                <w:rFonts w:ascii="Arial" w:hAnsi="Arial" w:cs="Arial"/>
                <w:sz w:val="20"/>
                <w:szCs w:val="20"/>
                <w:lang w:val="en-GB"/>
              </w:rPr>
              <w:t>BASA</w:t>
            </w:r>
          </w:p>
        </w:tc>
        <w:tc>
          <w:tcPr>
            <w:tcW w:w="2691" w:type="dxa"/>
          </w:tcPr>
          <w:p w14:paraId="5D016AF7" w14:textId="5E163DF8" w:rsidR="00614146" w:rsidRPr="00935E14" w:rsidRDefault="00614146" w:rsidP="00614146">
            <w:pPr>
              <w:spacing w:after="0" w:line="240" w:lineRule="auto"/>
              <w:rPr>
                <w:rFonts w:ascii="Arial" w:hAnsi="Arial" w:cs="Arial"/>
                <w:bCs/>
                <w:sz w:val="20"/>
                <w:szCs w:val="20"/>
              </w:rPr>
            </w:pPr>
            <w:r w:rsidRPr="00935E14">
              <w:rPr>
                <w:rFonts w:ascii="Arial" w:hAnsi="Arial" w:cs="Arial"/>
                <w:bCs/>
                <w:sz w:val="20"/>
                <w:szCs w:val="20"/>
              </w:rPr>
              <w:t>Defining the transfer parameter before the resolution strategy is complete</w:t>
            </w:r>
          </w:p>
        </w:tc>
        <w:tc>
          <w:tcPr>
            <w:tcW w:w="7903" w:type="dxa"/>
          </w:tcPr>
          <w:p w14:paraId="53DD6F29" w14:textId="77777777" w:rsidR="00614146" w:rsidRPr="00A10D2B" w:rsidRDefault="00614146" w:rsidP="00614146">
            <w:pPr>
              <w:spacing w:afterLines="40" w:after="96" w:line="240" w:lineRule="auto"/>
              <w:rPr>
                <w:rFonts w:ascii="Arial" w:hAnsi="Arial" w:cs="Arial"/>
                <w:bCs/>
              </w:rPr>
            </w:pPr>
            <w:r w:rsidRPr="00A10D2B">
              <w:rPr>
                <w:rFonts w:ascii="Arial" w:hAnsi="Arial" w:cs="Arial"/>
                <w:bCs/>
              </w:rPr>
              <w:t xml:space="preserve">Is the intention that banks define their own transfer perimeters or would the Resolution Authority/SARB not have to do this or at least agree it? It is our understanding that the resolution authority/SARB would, as part of the resolution planning process, look at all the banks individually and define their individual resolution strategy. This would then determine if the transfer of some or all the bank assets and liabilities forms part of the intended resolution strategy for the banking group. That would in turn then ensure that the transfer perimeter is clearly defined and once defined and agreed by the RA, the proposed standards would be applied to that transfer perimeter only. </w:t>
            </w:r>
          </w:p>
          <w:p w14:paraId="70FE534E" w14:textId="77777777" w:rsidR="00614146" w:rsidRPr="00A10D2B" w:rsidRDefault="00614146" w:rsidP="00614146">
            <w:pPr>
              <w:spacing w:afterLines="40" w:after="96" w:line="240" w:lineRule="auto"/>
              <w:rPr>
                <w:rFonts w:ascii="Arial" w:hAnsi="Arial" w:cs="Arial"/>
                <w:bCs/>
              </w:rPr>
            </w:pPr>
            <w:r w:rsidRPr="00A10D2B">
              <w:rPr>
                <w:rFonts w:ascii="Arial" w:hAnsi="Arial" w:cs="Arial"/>
                <w:bCs/>
              </w:rPr>
              <w:t>As stated in the SARB paper, “Proposed valuation requirements for resolution-planning purposes”, “The RA will inform the DI whether an open or closed resolution strategy will apply to it and, in line with the strategy, indicate whether the intention during a resolution will be to keep an asset (hold value) or sell it (disposal value).” This again implies that banks will, after working closely with the RA, be informed what the resolution strategy will be and what if any assets should be transferred.</w:t>
            </w:r>
          </w:p>
          <w:p w14:paraId="1A71802A" w14:textId="67CEC840" w:rsidR="00614146" w:rsidRPr="00A10D2B" w:rsidRDefault="00614146" w:rsidP="00614146">
            <w:pPr>
              <w:pStyle w:val="TableParagraph"/>
              <w:jc w:val="left"/>
              <w:rPr>
                <w:rFonts w:ascii="Arial" w:hAnsi="Arial" w:cs="Arial"/>
              </w:rPr>
            </w:pPr>
            <w:r w:rsidRPr="00A10D2B">
              <w:rPr>
                <w:rFonts w:ascii="Arial" w:hAnsi="Arial" w:cs="Arial"/>
                <w:bCs/>
              </w:rPr>
              <w:t xml:space="preserve">This standard appears to not apply until such time as the resolution strategy has been determined by the RA and the transfer perimeter that forms part of that strategy is clear. </w:t>
            </w:r>
            <w:r w:rsidRPr="00A10D2B">
              <w:rPr>
                <w:rFonts w:ascii="Arial" w:hAnsi="Arial" w:cs="Arial"/>
                <w:b/>
              </w:rPr>
              <w:t>Clarify</w:t>
            </w:r>
            <w:r w:rsidRPr="00A10D2B">
              <w:rPr>
                <w:rFonts w:ascii="Arial" w:hAnsi="Arial" w:cs="Arial"/>
                <w:bCs/>
              </w:rPr>
              <w:t xml:space="preserve"> if this this assumption is correct.</w:t>
            </w:r>
          </w:p>
        </w:tc>
        <w:tc>
          <w:tcPr>
            <w:tcW w:w="6416" w:type="dxa"/>
            <w:shd w:val="clear" w:color="auto" w:fill="auto"/>
          </w:tcPr>
          <w:p w14:paraId="42D870D4" w14:textId="77777777" w:rsidR="00F03055" w:rsidRDefault="00F03055" w:rsidP="00F03055">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w:t>
            </w:r>
            <w:r>
              <w:rPr>
                <w:rFonts w:ascii="Arial" w:eastAsia="Times New Roman" w:hAnsi="Arial" w:cs="Arial"/>
                <w:lang w:val="en-GB"/>
              </w:rPr>
              <w:t>Authorities</w:t>
            </w:r>
            <w:r w:rsidRPr="00A10D2B">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w:t>
            </w:r>
            <w:r w:rsidRPr="008171BC">
              <w:rPr>
                <w:rFonts w:ascii="Arial" w:eastAsia="Times New Roman" w:hAnsi="Arial" w:cs="Arial"/>
                <w:lang w:val="en-GB"/>
              </w:rPr>
              <w:t>requirements in the Standard.</w:t>
            </w:r>
          </w:p>
          <w:p w14:paraId="092F1836" w14:textId="77777777" w:rsidR="00F03055" w:rsidRDefault="00F03055" w:rsidP="00614146">
            <w:pPr>
              <w:spacing w:after="0" w:line="240" w:lineRule="auto"/>
              <w:jc w:val="both"/>
              <w:rPr>
                <w:rFonts w:ascii="Arial" w:eastAsia="Times New Roman" w:hAnsi="Arial" w:cs="Arial"/>
                <w:lang w:val="en-GB"/>
              </w:rPr>
            </w:pPr>
          </w:p>
          <w:p w14:paraId="08D2EC56" w14:textId="6E7136BE" w:rsidR="00614146" w:rsidRPr="00A10D2B" w:rsidRDefault="00D0530B" w:rsidP="00614146">
            <w:pPr>
              <w:spacing w:after="0" w:line="240" w:lineRule="auto"/>
              <w:jc w:val="both"/>
              <w:rPr>
                <w:rFonts w:ascii="Arial" w:eastAsia="Times New Roman" w:hAnsi="Arial" w:cs="Arial"/>
                <w:lang w:val="en-GB"/>
              </w:rPr>
            </w:pPr>
            <w:r>
              <w:rPr>
                <w:rFonts w:ascii="Arial" w:eastAsia="Times New Roman" w:hAnsi="Arial" w:cs="Arial"/>
                <w:lang w:val="en-GB"/>
              </w:rPr>
              <w:t xml:space="preserve">Compliance with the requirements in the Standard will provide the </w:t>
            </w:r>
            <w:r w:rsidR="008B1D2F">
              <w:rPr>
                <w:rFonts w:ascii="Arial" w:eastAsia="Times New Roman" w:hAnsi="Arial" w:cs="Arial"/>
                <w:lang w:val="en-GB"/>
              </w:rPr>
              <w:t>Authorities</w:t>
            </w:r>
            <w:r>
              <w:rPr>
                <w:rFonts w:ascii="Arial" w:eastAsia="Times New Roman" w:hAnsi="Arial" w:cs="Arial"/>
                <w:lang w:val="en-GB"/>
              </w:rPr>
              <w:t xml:space="preserve"> with a base and inputs into the envisaged resolution strategy </w:t>
            </w:r>
            <w:r w:rsidR="00C93C58" w:rsidRPr="00A10D2B">
              <w:rPr>
                <w:rFonts w:ascii="Arial" w:eastAsia="Times New Roman" w:hAnsi="Arial" w:cs="Arial"/>
                <w:lang w:val="en-GB"/>
              </w:rPr>
              <w:t>(because the designated institutions should have a more intimate understanding of their business).</w:t>
            </w:r>
          </w:p>
          <w:p w14:paraId="0F4E9D75" w14:textId="084DF9B5" w:rsidR="00F329D6" w:rsidRPr="00A10D2B" w:rsidRDefault="00F329D6" w:rsidP="00614146">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w:t>
            </w:r>
            <w:r w:rsidR="00D0530B">
              <w:rPr>
                <w:rFonts w:ascii="Arial" w:eastAsia="Times New Roman" w:hAnsi="Arial" w:cs="Arial"/>
                <w:lang w:val="en-GB"/>
              </w:rPr>
              <w:t>Authorities</w:t>
            </w:r>
            <w:r w:rsidRPr="00A10D2B">
              <w:rPr>
                <w:rFonts w:ascii="Arial" w:eastAsia="Times New Roman" w:hAnsi="Arial" w:cs="Arial"/>
                <w:lang w:val="en-GB"/>
              </w:rPr>
              <w:t xml:space="preserve"> will</w:t>
            </w:r>
            <w:r w:rsidR="008B1D2F">
              <w:rPr>
                <w:rFonts w:ascii="Arial" w:eastAsia="Times New Roman" w:hAnsi="Arial" w:cs="Arial"/>
                <w:lang w:val="en-GB"/>
              </w:rPr>
              <w:t xml:space="preserve"> then</w:t>
            </w:r>
            <w:r w:rsidRPr="00A10D2B">
              <w:rPr>
                <w:rFonts w:ascii="Arial" w:eastAsia="Times New Roman" w:hAnsi="Arial" w:cs="Arial"/>
                <w:lang w:val="en-GB"/>
              </w:rPr>
              <w:t xml:space="preserve"> analyse</w:t>
            </w:r>
            <w:r w:rsidR="00C93C58" w:rsidRPr="00A10D2B">
              <w:rPr>
                <w:rFonts w:ascii="Arial" w:eastAsia="Times New Roman" w:hAnsi="Arial" w:cs="Arial"/>
                <w:lang w:val="en-GB"/>
              </w:rPr>
              <w:t xml:space="preserve"> the submissions</w:t>
            </w:r>
            <w:r w:rsidRPr="00A10D2B">
              <w:rPr>
                <w:rFonts w:ascii="Arial" w:eastAsia="Times New Roman" w:hAnsi="Arial" w:cs="Arial"/>
                <w:lang w:val="en-GB"/>
              </w:rPr>
              <w:t xml:space="preserve"> and provide recommendations </w:t>
            </w:r>
            <w:r w:rsidR="00897E54" w:rsidRPr="00A10D2B">
              <w:rPr>
                <w:rFonts w:ascii="Arial" w:eastAsia="Times New Roman" w:hAnsi="Arial" w:cs="Arial"/>
                <w:lang w:val="en-GB"/>
              </w:rPr>
              <w:t>to ensure that the requirements are adequately</w:t>
            </w:r>
            <w:r w:rsidR="00C93C58" w:rsidRPr="00A10D2B">
              <w:rPr>
                <w:rFonts w:ascii="Arial" w:eastAsia="Times New Roman" w:hAnsi="Arial" w:cs="Arial"/>
                <w:lang w:val="en-GB"/>
              </w:rPr>
              <w:t xml:space="preserve"> </w:t>
            </w:r>
            <w:r w:rsidR="00242190" w:rsidRPr="00A10D2B">
              <w:rPr>
                <w:rFonts w:ascii="Arial" w:eastAsia="Times New Roman" w:hAnsi="Arial" w:cs="Arial"/>
                <w:lang w:val="en-GB"/>
              </w:rPr>
              <w:t>met,</w:t>
            </w:r>
            <w:r w:rsidR="00C93C58" w:rsidRPr="00A10D2B">
              <w:rPr>
                <w:rFonts w:ascii="Arial" w:eastAsia="Times New Roman" w:hAnsi="Arial" w:cs="Arial"/>
                <w:lang w:val="en-GB"/>
              </w:rPr>
              <w:t xml:space="preserve"> and separability barriers are addressed to</w:t>
            </w:r>
            <w:r w:rsidR="00897E54" w:rsidRPr="00A10D2B">
              <w:rPr>
                <w:rFonts w:ascii="Arial" w:eastAsia="Times New Roman" w:hAnsi="Arial" w:cs="Arial"/>
                <w:lang w:val="en-GB"/>
              </w:rPr>
              <w:t xml:space="preserve"> </w:t>
            </w:r>
            <w:r w:rsidR="00400C21" w:rsidRPr="00A10D2B">
              <w:rPr>
                <w:rFonts w:ascii="Arial" w:eastAsia="Times New Roman" w:hAnsi="Arial" w:cs="Arial"/>
                <w:lang w:val="en-GB"/>
              </w:rPr>
              <w:t>meet the objectives of the</w:t>
            </w:r>
            <w:r w:rsidR="00897E54" w:rsidRPr="00A10D2B">
              <w:rPr>
                <w:rFonts w:ascii="Arial" w:eastAsia="Times New Roman" w:hAnsi="Arial" w:cs="Arial"/>
                <w:lang w:val="en-GB"/>
              </w:rPr>
              <w:t xml:space="preserve"> resolution strategy.</w:t>
            </w:r>
          </w:p>
        </w:tc>
      </w:tr>
      <w:tr w:rsidR="00614146" w:rsidRPr="009D05E3" w14:paraId="090A019A" w14:textId="77777777" w:rsidTr="00515BD8">
        <w:trPr>
          <w:trHeight w:val="2747"/>
        </w:trPr>
        <w:tc>
          <w:tcPr>
            <w:tcW w:w="1886" w:type="dxa"/>
            <w:vAlign w:val="bottom"/>
          </w:tcPr>
          <w:p w14:paraId="251071A8" w14:textId="685F17E5" w:rsidR="00614146" w:rsidRPr="009D05E3" w:rsidRDefault="00614146" w:rsidP="00224537">
            <w:pPr>
              <w:spacing w:after="2760"/>
              <w:jc w:val="center"/>
              <w:rPr>
                <w:rFonts w:ascii="Arial" w:hAnsi="Arial" w:cs="Arial"/>
                <w:lang w:val="en-GB"/>
              </w:rPr>
            </w:pPr>
            <w:r>
              <w:rPr>
                <w:rFonts w:ascii="Arial" w:hAnsi="Arial" w:cs="Arial"/>
                <w:lang w:val="en-GB"/>
              </w:rPr>
              <w:t>159</w:t>
            </w:r>
          </w:p>
        </w:tc>
        <w:tc>
          <w:tcPr>
            <w:tcW w:w="2078" w:type="dxa"/>
          </w:tcPr>
          <w:p w14:paraId="02E50869" w14:textId="702B77B1" w:rsidR="00614146" w:rsidRPr="009D05E3" w:rsidRDefault="00614146" w:rsidP="00614146">
            <w:pPr>
              <w:spacing w:after="0" w:line="240" w:lineRule="auto"/>
              <w:rPr>
                <w:rFonts w:ascii="Arial" w:hAnsi="Arial" w:cs="Arial"/>
                <w:sz w:val="20"/>
                <w:szCs w:val="20"/>
                <w:lang w:val="en-GB"/>
              </w:rPr>
            </w:pPr>
            <w:r>
              <w:rPr>
                <w:rFonts w:ascii="Arial" w:hAnsi="Arial" w:cs="Arial"/>
                <w:sz w:val="20"/>
                <w:szCs w:val="20"/>
                <w:lang w:val="en-GB"/>
              </w:rPr>
              <w:t>BASA</w:t>
            </w:r>
          </w:p>
        </w:tc>
        <w:tc>
          <w:tcPr>
            <w:tcW w:w="2691" w:type="dxa"/>
          </w:tcPr>
          <w:p w14:paraId="27805779" w14:textId="7E899FB1" w:rsidR="00614146" w:rsidRPr="00935E14" w:rsidRDefault="00614146" w:rsidP="00614146">
            <w:pPr>
              <w:spacing w:after="0" w:line="240" w:lineRule="auto"/>
              <w:rPr>
                <w:rFonts w:ascii="Arial" w:hAnsi="Arial" w:cs="Arial"/>
                <w:bCs/>
                <w:sz w:val="20"/>
                <w:szCs w:val="20"/>
              </w:rPr>
            </w:pPr>
            <w:r w:rsidRPr="00935E14">
              <w:rPr>
                <w:rFonts w:ascii="Arial" w:hAnsi="Arial" w:cs="Arial"/>
                <w:bCs/>
                <w:sz w:val="20"/>
                <w:szCs w:val="20"/>
              </w:rPr>
              <w:t>General: This Standard sets out the requirements for designated institutions to comply with.</w:t>
            </w:r>
          </w:p>
        </w:tc>
        <w:tc>
          <w:tcPr>
            <w:tcW w:w="7903" w:type="dxa"/>
          </w:tcPr>
          <w:p w14:paraId="01A880B3" w14:textId="2AF2C923" w:rsidR="00614146" w:rsidRPr="00A10D2B" w:rsidRDefault="00614146" w:rsidP="00614146">
            <w:pPr>
              <w:pStyle w:val="TableParagraph"/>
              <w:jc w:val="left"/>
              <w:rPr>
                <w:rFonts w:ascii="Arial" w:hAnsi="Arial" w:cs="Arial"/>
              </w:rPr>
            </w:pPr>
            <w:r w:rsidRPr="00A10D2B">
              <w:rPr>
                <w:rFonts w:ascii="Arial" w:hAnsi="Arial" w:cs="Arial"/>
                <w:bCs/>
              </w:rPr>
              <w:t>The proposed standard is set for all designated institutions. As the current proposed framework has stated that all institutions within a banking group are deemed to be designated institutions unless they are specifically exempt as such by the Governor of SARB. Until such time as the governor has reviewed all SA banking groups and all the designated institutions have been defined, we must assume that this proposed standard would need to be applied to every entity within the banking group regardless of size, materiality, or complexity.</w:t>
            </w:r>
          </w:p>
        </w:tc>
        <w:tc>
          <w:tcPr>
            <w:tcW w:w="6416" w:type="dxa"/>
            <w:shd w:val="clear" w:color="auto" w:fill="auto"/>
          </w:tcPr>
          <w:p w14:paraId="7CC15003" w14:textId="61381303" w:rsidR="008171BC" w:rsidRDefault="008171BC" w:rsidP="008171BC">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w:t>
            </w:r>
            <w:r w:rsidR="00DA560E">
              <w:rPr>
                <w:rFonts w:ascii="Arial" w:eastAsia="Times New Roman" w:hAnsi="Arial" w:cs="Arial"/>
                <w:lang w:val="en-GB"/>
              </w:rPr>
              <w:t>Authorities</w:t>
            </w:r>
            <w:r w:rsidRPr="00A10D2B">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w:t>
            </w:r>
            <w:r w:rsidRPr="008171BC">
              <w:rPr>
                <w:rFonts w:ascii="Arial" w:eastAsia="Times New Roman" w:hAnsi="Arial" w:cs="Arial"/>
                <w:lang w:val="en-GB"/>
              </w:rPr>
              <w:t>requirements in the Standard.</w:t>
            </w:r>
          </w:p>
          <w:p w14:paraId="0CDCAF4C" w14:textId="77777777" w:rsidR="008171BC" w:rsidRPr="00A10D2B" w:rsidRDefault="008171BC" w:rsidP="008171BC">
            <w:pPr>
              <w:spacing w:after="0" w:line="240" w:lineRule="auto"/>
              <w:jc w:val="both"/>
              <w:rPr>
                <w:rFonts w:ascii="Arial" w:eastAsia="Times New Roman" w:hAnsi="Arial" w:cs="Arial"/>
                <w:lang w:val="en-GB"/>
              </w:rPr>
            </w:pPr>
          </w:p>
          <w:p w14:paraId="3BEDEE0F" w14:textId="51F610A3" w:rsidR="008171BC" w:rsidRDefault="008171BC" w:rsidP="008171BC">
            <w:pPr>
              <w:spacing w:after="0" w:line="240" w:lineRule="auto"/>
              <w:jc w:val="both"/>
              <w:rPr>
                <w:rFonts w:ascii="Arial" w:eastAsia="Times New Roman" w:hAnsi="Arial" w:cs="Arial"/>
                <w:lang w:val="en-GB"/>
              </w:rPr>
            </w:pPr>
            <w:r>
              <w:rPr>
                <w:rFonts w:ascii="Arial" w:eastAsia="Times New Roman" w:hAnsi="Arial" w:cs="Arial"/>
                <w:lang w:val="en-GB"/>
              </w:rPr>
              <w:t xml:space="preserve">In addition, as per section 29(A)(2) of the Act, the </w:t>
            </w:r>
            <w:r w:rsidR="00DA560E">
              <w:rPr>
                <w:rFonts w:ascii="Arial" w:eastAsia="Times New Roman" w:hAnsi="Arial" w:cs="Arial"/>
                <w:lang w:val="en-GB"/>
              </w:rPr>
              <w:t>Authorities</w:t>
            </w:r>
            <w:r>
              <w:rPr>
                <w:rFonts w:ascii="Arial" w:eastAsia="Times New Roman" w:hAnsi="Arial" w:cs="Arial"/>
                <w:lang w:val="en-GB"/>
              </w:rPr>
              <w:t xml:space="preserve"> will follow a process for the Governor to indicate which entities within a conglomerate will be exempted for resolution purposes. </w:t>
            </w:r>
          </w:p>
          <w:p w14:paraId="385DFEF0" w14:textId="1F276DF1" w:rsidR="008171BC" w:rsidRPr="00A10D2B" w:rsidRDefault="008171BC" w:rsidP="00614146">
            <w:pPr>
              <w:spacing w:after="0" w:line="240" w:lineRule="auto"/>
              <w:jc w:val="both"/>
              <w:rPr>
                <w:rFonts w:ascii="Arial" w:eastAsia="Times New Roman" w:hAnsi="Arial" w:cs="Arial"/>
                <w:lang w:val="en-GB"/>
              </w:rPr>
            </w:pPr>
          </w:p>
        </w:tc>
      </w:tr>
      <w:tr w:rsidR="00614146" w:rsidRPr="009D05E3" w14:paraId="2228DDA9" w14:textId="77777777" w:rsidTr="00515BD8">
        <w:tc>
          <w:tcPr>
            <w:tcW w:w="1886" w:type="dxa"/>
            <w:vAlign w:val="bottom"/>
          </w:tcPr>
          <w:p w14:paraId="60BF92FF" w14:textId="11C50607" w:rsidR="00614146" w:rsidRPr="009D05E3" w:rsidRDefault="00614146" w:rsidP="001A49EE">
            <w:pPr>
              <w:spacing w:after="3360"/>
              <w:jc w:val="center"/>
              <w:rPr>
                <w:rFonts w:ascii="Arial" w:hAnsi="Arial" w:cs="Arial"/>
                <w:lang w:val="en-GB"/>
              </w:rPr>
            </w:pPr>
            <w:r>
              <w:rPr>
                <w:rFonts w:ascii="Arial" w:hAnsi="Arial" w:cs="Arial"/>
                <w:lang w:val="en-GB"/>
              </w:rPr>
              <w:t>160</w:t>
            </w:r>
          </w:p>
        </w:tc>
        <w:tc>
          <w:tcPr>
            <w:tcW w:w="2078" w:type="dxa"/>
          </w:tcPr>
          <w:p w14:paraId="30771921" w14:textId="03DF8B60" w:rsidR="00614146" w:rsidRPr="009D05E3" w:rsidRDefault="00614146" w:rsidP="00614146">
            <w:pPr>
              <w:spacing w:after="0" w:line="240" w:lineRule="auto"/>
              <w:rPr>
                <w:rFonts w:ascii="Arial" w:hAnsi="Arial" w:cs="Arial"/>
                <w:sz w:val="20"/>
                <w:szCs w:val="20"/>
                <w:lang w:val="en-GB"/>
              </w:rPr>
            </w:pPr>
            <w:r w:rsidRPr="00740BB1">
              <w:rPr>
                <w:rFonts w:ascii="Arial" w:hAnsi="Arial" w:cs="Arial"/>
                <w:sz w:val="20"/>
                <w:szCs w:val="20"/>
                <w:lang w:val="en-GB"/>
              </w:rPr>
              <w:t>BASA</w:t>
            </w:r>
          </w:p>
        </w:tc>
        <w:tc>
          <w:tcPr>
            <w:tcW w:w="2691" w:type="dxa"/>
          </w:tcPr>
          <w:p w14:paraId="640BCE51" w14:textId="0C11A493" w:rsidR="00614146" w:rsidRPr="00935E14" w:rsidRDefault="00614146" w:rsidP="00614146">
            <w:pPr>
              <w:spacing w:after="0" w:line="240" w:lineRule="auto"/>
              <w:rPr>
                <w:rFonts w:ascii="Arial" w:hAnsi="Arial" w:cs="Arial"/>
                <w:bCs/>
                <w:sz w:val="20"/>
                <w:szCs w:val="20"/>
              </w:rPr>
            </w:pPr>
            <w:r w:rsidRPr="00935E14">
              <w:rPr>
                <w:rFonts w:ascii="Arial" w:hAnsi="Arial" w:cs="Arial"/>
                <w:bCs/>
                <w:sz w:val="20"/>
                <w:szCs w:val="20"/>
              </w:rPr>
              <w:t>General: Recovery plans and operational reliance detail</w:t>
            </w:r>
          </w:p>
        </w:tc>
        <w:tc>
          <w:tcPr>
            <w:tcW w:w="7903" w:type="dxa"/>
          </w:tcPr>
          <w:p w14:paraId="77F9F776" w14:textId="77777777" w:rsidR="00614146" w:rsidRPr="00A10D2B" w:rsidRDefault="00614146" w:rsidP="00614146">
            <w:pPr>
              <w:spacing w:afterLines="40" w:after="96" w:line="240" w:lineRule="auto"/>
              <w:rPr>
                <w:rFonts w:ascii="Arial" w:hAnsi="Arial" w:cs="Arial"/>
                <w:bCs/>
              </w:rPr>
            </w:pPr>
            <w:r w:rsidRPr="00A10D2B">
              <w:rPr>
                <w:rFonts w:ascii="Arial" w:hAnsi="Arial" w:cs="Arial"/>
                <w:bCs/>
              </w:rPr>
              <w:t xml:space="preserve">Recovery planning is seen to be the foundation for the resolution planning process but recovery planning in South Africa has focused on the South African economy and entities that fall within the South African bank entities largely. This proposed standard is aimed at all designated institutions which will require a lot of duplication of processes for every entity to ensure all entities have detailed recovery plans with core business line and critical function analysis, operational interconnectedness mapping etc performed before this resolution planning process was performed. </w:t>
            </w:r>
          </w:p>
          <w:p w14:paraId="33F6F6A2" w14:textId="4B975E01" w:rsidR="00614146" w:rsidRPr="00A10D2B" w:rsidRDefault="00614146" w:rsidP="00614146">
            <w:pPr>
              <w:pStyle w:val="TableParagraph"/>
              <w:jc w:val="left"/>
              <w:rPr>
                <w:rFonts w:ascii="Arial" w:hAnsi="Arial" w:cs="Arial"/>
              </w:rPr>
            </w:pPr>
            <w:r w:rsidRPr="00A10D2B">
              <w:rPr>
                <w:rFonts w:ascii="Arial" w:hAnsi="Arial" w:cs="Arial"/>
                <w:bCs/>
              </w:rPr>
              <w:t>Also, the detail of the operational continuity mapping of core business lines and critical functions as suggested in the proposed standard appears to be required at an even more granular level as to what is currently required for recovery planning purposes which will require a lot of additional work to be performed on the existing recovery plan mapping to be able to meet these requirements.</w:t>
            </w:r>
          </w:p>
        </w:tc>
        <w:tc>
          <w:tcPr>
            <w:tcW w:w="6416" w:type="dxa"/>
            <w:shd w:val="clear" w:color="auto" w:fill="auto"/>
          </w:tcPr>
          <w:p w14:paraId="3A4900E2" w14:textId="4199C3C5" w:rsidR="003F53C4" w:rsidRDefault="003F53C4" w:rsidP="003F53C4">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w:t>
            </w:r>
            <w:r w:rsidR="00DA560E">
              <w:rPr>
                <w:rFonts w:ascii="Arial" w:eastAsia="Times New Roman" w:hAnsi="Arial" w:cs="Arial"/>
                <w:lang w:val="en-GB"/>
              </w:rPr>
              <w:t>Authorities</w:t>
            </w:r>
            <w:r w:rsidRPr="00A10D2B">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w:t>
            </w:r>
            <w:r w:rsidRPr="008171BC">
              <w:rPr>
                <w:rFonts w:ascii="Arial" w:eastAsia="Times New Roman" w:hAnsi="Arial" w:cs="Arial"/>
                <w:lang w:val="en-GB"/>
              </w:rPr>
              <w:t>requirements in the Standard.</w:t>
            </w:r>
          </w:p>
          <w:p w14:paraId="34AD31B6" w14:textId="77777777" w:rsidR="00614146" w:rsidRDefault="00614146" w:rsidP="00614146">
            <w:pPr>
              <w:spacing w:after="0" w:line="240" w:lineRule="auto"/>
              <w:jc w:val="both"/>
              <w:rPr>
                <w:rFonts w:ascii="Arial" w:eastAsia="Times New Roman" w:hAnsi="Arial" w:cs="Arial"/>
                <w:lang w:val="en-GB"/>
              </w:rPr>
            </w:pPr>
          </w:p>
          <w:p w14:paraId="7358DE91" w14:textId="42F8301D" w:rsidR="003F53C4" w:rsidRPr="00A10D2B" w:rsidRDefault="003F53C4" w:rsidP="003F53C4">
            <w:pPr>
              <w:spacing w:after="0" w:line="240" w:lineRule="auto"/>
              <w:rPr>
                <w:rFonts w:ascii="Arial" w:eastAsia="Times New Roman" w:hAnsi="Arial" w:cs="Arial"/>
                <w:lang w:val="en-GB"/>
              </w:rPr>
            </w:pPr>
            <w:r w:rsidRPr="00A10D2B">
              <w:rPr>
                <w:rFonts w:ascii="Arial" w:hAnsi="Arial" w:cs="Arial"/>
              </w:rPr>
              <w:t xml:space="preserve">Where there are </w:t>
            </w:r>
            <w:r w:rsidRPr="00A10D2B">
              <w:rPr>
                <w:rFonts w:ascii="Arial" w:eastAsia="Times New Roman" w:hAnsi="Arial" w:cs="Arial"/>
                <w:lang w:val="en-GB"/>
              </w:rPr>
              <w:t>similar requirements between this Standard and other Standards to follow designated institutions will not be expected to duplicate efforts.</w:t>
            </w:r>
          </w:p>
          <w:p w14:paraId="24606C56" w14:textId="13B57DF1" w:rsidR="003F53C4" w:rsidRPr="00A10D2B" w:rsidRDefault="003F53C4" w:rsidP="00614146">
            <w:pPr>
              <w:spacing w:after="0" w:line="240" w:lineRule="auto"/>
              <w:jc w:val="both"/>
              <w:rPr>
                <w:rFonts w:ascii="Arial" w:eastAsia="Times New Roman" w:hAnsi="Arial" w:cs="Arial"/>
                <w:lang w:val="en-GB"/>
              </w:rPr>
            </w:pPr>
          </w:p>
        </w:tc>
      </w:tr>
      <w:tr w:rsidR="00614146" w:rsidRPr="009D05E3" w14:paraId="54FF868C" w14:textId="77777777" w:rsidTr="00515BD8">
        <w:tc>
          <w:tcPr>
            <w:tcW w:w="1886" w:type="dxa"/>
            <w:vAlign w:val="bottom"/>
          </w:tcPr>
          <w:p w14:paraId="14CC5BA3" w14:textId="0B131B11" w:rsidR="00614146" w:rsidRPr="009D05E3" w:rsidRDefault="00614146" w:rsidP="008171BC">
            <w:pPr>
              <w:spacing w:after="4440"/>
              <w:jc w:val="center"/>
              <w:rPr>
                <w:rFonts w:ascii="Arial" w:hAnsi="Arial" w:cs="Arial"/>
                <w:lang w:val="en-GB"/>
              </w:rPr>
            </w:pPr>
            <w:r>
              <w:rPr>
                <w:rFonts w:ascii="Arial" w:hAnsi="Arial" w:cs="Arial"/>
                <w:lang w:val="en-GB"/>
              </w:rPr>
              <w:lastRenderedPageBreak/>
              <w:t>161</w:t>
            </w:r>
          </w:p>
        </w:tc>
        <w:tc>
          <w:tcPr>
            <w:tcW w:w="2078" w:type="dxa"/>
          </w:tcPr>
          <w:p w14:paraId="7EE43B60" w14:textId="31F2A11E" w:rsidR="00614146" w:rsidRPr="009D05E3" w:rsidRDefault="00614146" w:rsidP="00614146">
            <w:pPr>
              <w:spacing w:after="0" w:line="240" w:lineRule="auto"/>
              <w:rPr>
                <w:rFonts w:ascii="Arial" w:hAnsi="Arial" w:cs="Arial"/>
                <w:sz w:val="20"/>
                <w:szCs w:val="20"/>
                <w:lang w:val="en-GB"/>
              </w:rPr>
            </w:pPr>
            <w:r w:rsidRPr="00740BB1">
              <w:rPr>
                <w:rFonts w:ascii="Arial" w:hAnsi="Arial" w:cs="Arial"/>
                <w:sz w:val="20"/>
                <w:szCs w:val="20"/>
                <w:lang w:val="en-GB"/>
              </w:rPr>
              <w:t>BASA</w:t>
            </w:r>
          </w:p>
        </w:tc>
        <w:tc>
          <w:tcPr>
            <w:tcW w:w="2691" w:type="dxa"/>
          </w:tcPr>
          <w:p w14:paraId="14C6D6CD" w14:textId="59037C09" w:rsidR="00614146" w:rsidRPr="00935E14" w:rsidRDefault="00614146" w:rsidP="00614146">
            <w:pPr>
              <w:spacing w:after="0" w:line="240" w:lineRule="auto"/>
              <w:rPr>
                <w:rFonts w:ascii="Arial" w:hAnsi="Arial" w:cs="Arial"/>
                <w:bCs/>
                <w:sz w:val="20"/>
                <w:szCs w:val="20"/>
              </w:rPr>
            </w:pPr>
            <w:r w:rsidRPr="00935E14">
              <w:rPr>
                <w:rFonts w:ascii="Arial" w:hAnsi="Arial" w:cs="Arial"/>
                <w:bCs/>
                <w:sz w:val="20"/>
                <w:szCs w:val="20"/>
              </w:rPr>
              <w:t>General: Timeframe</w:t>
            </w:r>
          </w:p>
        </w:tc>
        <w:tc>
          <w:tcPr>
            <w:tcW w:w="7903" w:type="dxa"/>
          </w:tcPr>
          <w:p w14:paraId="0009157A" w14:textId="77777777" w:rsidR="00614146" w:rsidRPr="00A10D2B" w:rsidRDefault="00614146" w:rsidP="00614146">
            <w:pPr>
              <w:spacing w:afterLines="40" w:after="96" w:line="240" w:lineRule="auto"/>
              <w:rPr>
                <w:rFonts w:ascii="Arial" w:hAnsi="Arial" w:cs="Arial"/>
                <w:bCs/>
              </w:rPr>
            </w:pPr>
            <w:r w:rsidRPr="00A10D2B">
              <w:rPr>
                <w:rFonts w:ascii="Arial" w:hAnsi="Arial" w:cs="Arial"/>
                <w:b/>
              </w:rPr>
              <w:t>Clarify</w:t>
            </w:r>
            <w:r w:rsidRPr="00A10D2B">
              <w:rPr>
                <w:rFonts w:ascii="Arial" w:hAnsi="Arial" w:cs="Arial"/>
                <w:bCs/>
              </w:rPr>
              <w:t xml:space="preserve"> the process to consider the comments raised by the industry regarding the proposed standards? </w:t>
            </w:r>
          </w:p>
          <w:p w14:paraId="778992D4" w14:textId="77777777" w:rsidR="00614146" w:rsidRPr="00A10D2B" w:rsidRDefault="00614146" w:rsidP="00614146">
            <w:pPr>
              <w:spacing w:afterLines="40" w:after="96" w:line="240" w:lineRule="auto"/>
              <w:rPr>
                <w:rFonts w:ascii="Arial" w:hAnsi="Arial" w:cs="Arial"/>
                <w:bCs/>
              </w:rPr>
            </w:pPr>
            <w:r w:rsidRPr="00A10D2B">
              <w:rPr>
                <w:rFonts w:ascii="Arial" w:hAnsi="Arial" w:cs="Arial"/>
                <w:b/>
              </w:rPr>
              <w:t>Clarify</w:t>
            </w:r>
            <w:r w:rsidRPr="00A10D2B">
              <w:rPr>
                <w:rFonts w:ascii="Arial" w:hAnsi="Arial" w:cs="Arial"/>
                <w:bCs/>
              </w:rPr>
              <w:t xml:space="preserve"> how many further iterations or drafts are likely to be publicly released for comment before any proposed standard will then become an official standard? </w:t>
            </w:r>
          </w:p>
          <w:p w14:paraId="73D2C0FB" w14:textId="77777777" w:rsidR="00614146" w:rsidRPr="00A10D2B" w:rsidRDefault="00614146" w:rsidP="00614146">
            <w:pPr>
              <w:spacing w:afterLines="40" w:after="96" w:line="240" w:lineRule="auto"/>
              <w:rPr>
                <w:rFonts w:ascii="Arial" w:hAnsi="Arial" w:cs="Arial"/>
                <w:bCs/>
              </w:rPr>
            </w:pPr>
            <w:r w:rsidRPr="00A10D2B">
              <w:rPr>
                <w:rFonts w:ascii="Arial" w:hAnsi="Arial" w:cs="Arial"/>
                <w:b/>
              </w:rPr>
              <w:t>Clarify</w:t>
            </w:r>
            <w:r w:rsidRPr="00A10D2B">
              <w:rPr>
                <w:rFonts w:ascii="Arial" w:hAnsi="Arial" w:cs="Arial"/>
                <w:bCs/>
              </w:rPr>
              <w:t xml:space="preserve"> the consultation process for this standard and timeline going forward.</w:t>
            </w:r>
          </w:p>
          <w:p w14:paraId="1A6EA75E" w14:textId="77777777" w:rsidR="00B13C56" w:rsidRPr="00A10D2B" w:rsidRDefault="00614146" w:rsidP="00614146">
            <w:pPr>
              <w:spacing w:afterLines="40" w:after="96" w:line="240" w:lineRule="auto"/>
              <w:rPr>
                <w:rFonts w:ascii="Arial" w:hAnsi="Arial" w:cs="Arial"/>
                <w:bCs/>
              </w:rPr>
            </w:pPr>
            <w:r w:rsidRPr="00A10D2B">
              <w:rPr>
                <w:rFonts w:ascii="Arial" w:hAnsi="Arial" w:cs="Arial"/>
                <w:bCs/>
              </w:rPr>
              <w:t xml:space="preserve">Considering the queries raised above around first clearly defining the scope based on the resolution strategy and transfer perimeter, </w:t>
            </w:r>
          </w:p>
          <w:p w14:paraId="77424F4C" w14:textId="61C33FAC" w:rsidR="00614146" w:rsidRPr="00A10D2B" w:rsidRDefault="00614146" w:rsidP="00614146">
            <w:pPr>
              <w:spacing w:afterLines="40" w:after="96" w:line="240" w:lineRule="auto"/>
              <w:rPr>
                <w:rFonts w:ascii="Arial" w:hAnsi="Arial" w:cs="Arial"/>
                <w:bCs/>
              </w:rPr>
            </w:pPr>
            <w:r w:rsidRPr="00A10D2B">
              <w:rPr>
                <w:rFonts w:ascii="Arial" w:hAnsi="Arial" w:cs="Arial"/>
                <w:b/>
              </w:rPr>
              <w:t>recommend</w:t>
            </w:r>
            <w:r w:rsidRPr="00A10D2B">
              <w:rPr>
                <w:rFonts w:ascii="Arial" w:hAnsi="Arial" w:cs="Arial"/>
                <w:bCs/>
              </w:rPr>
              <w:t xml:space="preserve"> more guidance on the envisaged timeframe that is expected before any of the proposed standard would be enforced. This timeframe will materially impact the costs required to ensure the industry are able to make the enhancements required to meet any proposed standard. </w:t>
            </w:r>
            <w:r w:rsidRPr="00A10D2B">
              <w:rPr>
                <w:rFonts w:ascii="Arial" w:hAnsi="Arial" w:cs="Arial"/>
                <w:b/>
              </w:rPr>
              <w:t>Clarify</w:t>
            </w:r>
            <w:r w:rsidRPr="00A10D2B">
              <w:rPr>
                <w:rFonts w:ascii="Arial" w:hAnsi="Arial" w:cs="Arial"/>
                <w:bCs/>
              </w:rPr>
              <w:t xml:space="preserve"> the envisaged timeframe for compliance, as well as submission of the impact assessments?</w:t>
            </w:r>
          </w:p>
          <w:p w14:paraId="2B2B32F1" w14:textId="45E90906" w:rsidR="00614146" w:rsidRPr="00A10D2B" w:rsidRDefault="00614146" w:rsidP="00614146">
            <w:pPr>
              <w:pStyle w:val="TableParagraph"/>
              <w:jc w:val="left"/>
              <w:rPr>
                <w:rFonts w:ascii="Arial" w:hAnsi="Arial" w:cs="Arial"/>
              </w:rPr>
            </w:pPr>
            <w:r w:rsidRPr="00A10D2B">
              <w:rPr>
                <w:rFonts w:ascii="Arial" w:hAnsi="Arial" w:cs="Arial"/>
                <w:bCs/>
              </w:rPr>
              <w:t>The release of other regulatory standards, amendments to regulations and reporting requirements need to also be considered in managing timelines and deadlines for submissions from banks.</w:t>
            </w:r>
          </w:p>
        </w:tc>
        <w:tc>
          <w:tcPr>
            <w:tcW w:w="6416" w:type="dxa"/>
            <w:shd w:val="clear" w:color="auto" w:fill="auto"/>
          </w:tcPr>
          <w:p w14:paraId="79C7E573" w14:textId="1C042957" w:rsidR="00614146" w:rsidRDefault="00ED3674" w:rsidP="00614146">
            <w:pPr>
              <w:spacing w:after="0" w:line="240" w:lineRule="auto"/>
              <w:jc w:val="both"/>
              <w:rPr>
                <w:rFonts w:ascii="Arial" w:eastAsia="Times New Roman" w:hAnsi="Arial" w:cs="Arial"/>
                <w:lang w:val="en-GB"/>
              </w:rPr>
            </w:pPr>
            <w:r>
              <w:rPr>
                <w:rFonts w:ascii="Arial" w:eastAsia="Times New Roman" w:hAnsi="Arial" w:cs="Arial"/>
                <w:lang w:val="en-GB"/>
              </w:rPr>
              <w:t xml:space="preserve">The process to consider the public comments and </w:t>
            </w:r>
            <w:r w:rsidR="00EB29BC">
              <w:rPr>
                <w:rFonts w:ascii="Arial" w:eastAsia="Times New Roman" w:hAnsi="Arial" w:cs="Arial"/>
                <w:lang w:val="en-GB"/>
              </w:rPr>
              <w:t xml:space="preserve">the </w:t>
            </w:r>
            <w:r>
              <w:rPr>
                <w:rFonts w:ascii="Arial" w:eastAsia="Times New Roman" w:hAnsi="Arial" w:cs="Arial"/>
                <w:lang w:val="en-GB"/>
              </w:rPr>
              <w:t>way forward:</w:t>
            </w:r>
          </w:p>
          <w:p w14:paraId="55C2A886" w14:textId="27C80A87" w:rsidR="00ED3674" w:rsidRDefault="00ED3674" w:rsidP="00614146">
            <w:pPr>
              <w:spacing w:after="0" w:line="240" w:lineRule="auto"/>
              <w:jc w:val="both"/>
              <w:rPr>
                <w:rFonts w:ascii="Arial" w:eastAsia="Times New Roman" w:hAnsi="Arial" w:cs="Arial"/>
                <w:lang w:val="en-GB"/>
              </w:rPr>
            </w:pPr>
          </w:p>
          <w:p w14:paraId="4CF56710" w14:textId="0F4342FB" w:rsidR="009473EF" w:rsidRDefault="00ED3674" w:rsidP="00614146">
            <w:pPr>
              <w:spacing w:after="0" w:line="240" w:lineRule="auto"/>
              <w:jc w:val="both"/>
              <w:rPr>
                <w:rFonts w:ascii="Arial" w:eastAsia="Times New Roman" w:hAnsi="Arial" w:cs="Arial"/>
                <w:lang w:val="en-GB"/>
              </w:rPr>
            </w:pPr>
            <w:r>
              <w:rPr>
                <w:rFonts w:ascii="Arial" w:eastAsia="Times New Roman" w:hAnsi="Arial" w:cs="Arial"/>
                <w:lang w:val="en-GB"/>
              </w:rPr>
              <w:t xml:space="preserve">The comments </w:t>
            </w:r>
            <w:r w:rsidR="009473EF">
              <w:rPr>
                <w:rFonts w:ascii="Arial" w:eastAsia="Times New Roman" w:hAnsi="Arial" w:cs="Arial"/>
                <w:lang w:val="en-GB"/>
              </w:rPr>
              <w:t>raised</w:t>
            </w:r>
            <w:r>
              <w:rPr>
                <w:rFonts w:ascii="Arial" w:eastAsia="Times New Roman" w:hAnsi="Arial" w:cs="Arial"/>
                <w:lang w:val="en-GB"/>
              </w:rPr>
              <w:t xml:space="preserve"> together with Authority’s response will </w:t>
            </w:r>
            <w:r w:rsidR="009473EF">
              <w:rPr>
                <w:rFonts w:ascii="Arial" w:eastAsia="Times New Roman" w:hAnsi="Arial" w:cs="Arial"/>
                <w:lang w:val="en-GB"/>
              </w:rPr>
              <w:t>be</w:t>
            </w:r>
            <w:r w:rsidR="00AC6087">
              <w:rPr>
                <w:rFonts w:ascii="Arial" w:eastAsia="Times New Roman" w:hAnsi="Arial" w:cs="Arial"/>
                <w:lang w:val="en-GB"/>
              </w:rPr>
              <w:t xml:space="preserve"> consolidated </w:t>
            </w:r>
            <w:r w:rsidR="009473EF">
              <w:rPr>
                <w:rFonts w:ascii="Arial" w:eastAsia="Times New Roman" w:hAnsi="Arial" w:cs="Arial"/>
                <w:lang w:val="en-GB"/>
              </w:rPr>
              <w:t>in a c</w:t>
            </w:r>
            <w:r w:rsidR="00D0530B">
              <w:rPr>
                <w:rFonts w:ascii="Arial" w:eastAsia="Times New Roman" w:hAnsi="Arial" w:cs="Arial"/>
                <w:lang w:val="en-GB"/>
              </w:rPr>
              <w:t>onsultation</w:t>
            </w:r>
            <w:r w:rsidR="009473EF">
              <w:rPr>
                <w:rFonts w:ascii="Arial" w:eastAsia="Times New Roman" w:hAnsi="Arial" w:cs="Arial"/>
                <w:lang w:val="en-GB"/>
              </w:rPr>
              <w:t xml:space="preserve"> report and </w:t>
            </w:r>
            <w:r w:rsidR="00AC6087">
              <w:rPr>
                <w:rFonts w:ascii="Arial" w:eastAsia="Times New Roman" w:hAnsi="Arial" w:cs="Arial"/>
                <w:lang w:val="en-GB"/>
              </w:rPr>
              <w:t xml:space="preserve">amendments will be made to </w:t>
            </w:r>
            <w:r w:rsidR="003C1E20">
              <w:rPr>
                <w:rFonts w:ascii="Arial" w:eastAsia="Times New Roman" w:hAnsi="Arial" w:cs="Arial"/>
                <w:lang w:val="en-GB"/>
              </w:rPr>
              <w:t>the Standard</w:t>
            </w:r>
            <w:r w:rsidR="00D0530B">
              <w:rPr>
                <w:rFonts w:ascii="Arial" w:eastAsia="Times New Roman" w:hAnsi="Arial" w:cs="Arial"/>
                <w:lang w:val="en-GB"/>
              </w:rPr>
              <w:t xml:space="preserve"> and the </w:t>
            </w:r>
            <w:r w:rsidR="00054DBB">
              <w:rPr>
                <w:rFonts w:ascii="Arial" w:eastAsia="Times New Roman" w:hAnsi="Arial" w:cs="Arial"/>
                <w:lang w:val="en-GB"/>
              </w:rPr>
              <w:t>Statement, where</w:t>
            </w:r>
            <w:r w:rsidR="00AC6087">
              <w:rPr>
                <w:rFonts w:ascii="Arial" w:eastAsia="Times New Roman" w:hAnsi="Arial" w:cs="Arial"/>
                <w:lang w:val="en-GB"/>
              </w:rPr>
              <w:t xml:space="preserve"> relevant.</w:t>
            </w:r>
            <w:r w:rsidR="009473EF">
              <w:rPr>
                <w:rFonts w:ascii="Arial" w:eastAsia="Times New Roman" w:hAnsi="Arial" w:cs="Arial"/>
                <w:lang w:val="en-GB"/>
              </w:rPr>
              <w:t xml:space="preserve"> </w:t>
            </w:r>
          </w:p>
          <w:p w14:paraId="1C9EB67C" w14:textId="77777777" w:rsidR="003E139D" w:rsidRDefault="003E139D" w:rsidP="00614146">
            <w:pPr>
              <w:spacing w:after="0" w:line="240" w:lineRule="auto"/>
              <w:jc w:val="both"/>
              <w:rPr>
                <w:rFonts w:ascii="Arial" w:eastAsia="Times New Roman" w:hAnsi="Arial" w:cs="Arial"/>
                <w:lang w:val="en-GB"/>
              </w:rPr>
            </w:pPr>
          </w:p>
          <w:p w14:paraId="37490B3D" w14:textId="7A6C1422" w:rsidR="00AC6087" w:rsidRDefault="009473EF" w:rsidP="00614146">
            <w:pPr>
              <w:spacing w:after="0" w:line="240" w:lineRule="auto"/>
              <w:jc w:val="both"/>
              <w:rPr>
                <w:rFonts w:ascii="Arial" w:eastAsia="Times New Roman" w:hAnsi="Arial" w:cs="Arial"/>
                <w:lang w:val="en-GB"/>
              </w:rPr>
            </w:pPr>
            <w:r>
              <w:rPr>
                <w:rFonts w:ascii="Arial" w:eastAsia="Times New Roman" w:hAnsi="Arial" w:cs="Arial"/>
                <w:lang w:val="en-GB"/>
              </w:rPr>
              <w:t>The amended Standard</w:t>
            </w:r>
            <w:r w:rsidR="003E139D">
              <w:rPr>
                <w:rFonts w:ascii="Arial" w:eastAsia="Times New Roman" w:hAnsi="Arial" w:cs="Arial"/>
                <w:lang w:val="en-GB"/>
              </w:rPr>
              <w:t xml:space="preserve"> and</w:t>
            </w:r>
            <w:r>
              <w:rPr>
                <w:rFonts w:ascii="Arial" w:eastAsia="Times New Roman" w:hAnsi="Arial" w:cs="Arial"/>
                <w:lang w:val="en-GB"/>
              </w:rPr>
              <w:t xml:space="preserve"> </w:t>
            </w:r>
            <w:r w:rsidR="00D0530B">
              <w:rPr>
                <w:rFonts w:ascii="Arial" w:eastAsia="Times New Roman" w:hAnsi="Arial" w:cs="Arial"/>
                <w:lang w:val="en-GB"/>
              </w:rPr>
              <w:t xml:space="preserve">Statement </w:t>
            </w:r>
            <w:r>
              <w:rPr>
                <w:rFonts w:ascii="Arial" w:eastAsia="Times New Roman" w:hAnsi="Arial" w:cs="Arial"/>
                <w:lang w:val="en-GB"/>
              </w:rPr>
              <w:t xml:space="preserve">together with the </w:t>
            </w:r>
            <w:r w:rsidR="001739C8">
              <w:rPr>
                <w:rFonts w:ascii="Arial" w:eastAsia="Times New Roman" w:hAnsi="Arial" w:cs="Arial"/>
                <w:lang w:val="en-GB"/>
              </w:rPr>
              <w:t>C</w:t>
            </w:r>
            <w:r w:rsidR="00D0530B">
              <w:rPr>
                <w:rFonts w:ascii="Arial" w:eastAsia="Times New Roman" w:hAnsi="Arial" w:cs="Arial"/>
                <w:lang w:val="en-GB"/>
              </w:rPr>
              <w:t xml:space="preserve">onsultation </w:t>
            </w:r>
            <w:r>
              <w:rPr>
                <w:rFonts w:ascii="Arial" w:eastAsia="Times New Roman" w:hAnsi="Arial" w:cs="Arial"/>
                <w:lang w:val="en-GB"/>
              </w:rPr>
              <w:t>repo</w:t>
            </w:r>
            <w:r w:rsidR="00C9029E">
              <w:rPr>
                <w:rFonts w:ascii="Arial" w:eastAsia="Times New Roman" w:hAnsi="Arial" w:cs="Arial"/>
                <w:lang w:val="en-GB"/>
              </w:rPr>
              <w:t>r</w:t>
            </w:r>
            <w:r>
              <w:rPr>
                <w:rFonts w:ascii="Arial" w:eastAsia="Times New Roman" w:hAnsi="Arial" w:cs="Arial"/>
                <w:lang w:val="en-GB"/>
              </w:rPr>
              <w:t>t</w:t>
            </w:r>
            <w:r w:rsidR="00C9029E">
              <w:rPr>
                <w:rFonts w:ascii="Arial" w:eastAsia="Times New Roman" w:hAnsi="Arial" w:cs="Arial"/>
                <w:lang w:val="en-GB"/>
              </w:rPr>
              <w:t xml:space="preserve"> (</w:t>
            </w:r>
            <w:r>
              <w:rPr>
                <w:rFonts w:ascii="Arial" w:eastAsia="Times New Roman" w:hAnsi="Arial" w:cs="Arial"/>
                <w:lang w:val="en-GB"/>
              </w:rPr>
              <w:t>and other supporting document</w:t>
            </w:r>
            <w:r w:rsidR="00C9029E">
              <w:rPr>
                <w:rFonts w:ascii="Arial" w:eastAsia="Times New Roman" w:hAnsi="Arial" w:cs="Arial"/>
                <w:lang w:val="en-GB"/>
              </w:rPr>
              <w:t xml:space="preserve">ation) </w:t>
            </w:r>
            <w:r>
              <w:rPr>
                <w:rFonts w:ascii="Arial" w:eastAsia="Times New Roman" w:hAnsi="Arial" w:cs="Arial"/>
                <w:lang w:val="en-GB"/>
              </w:rPr>
              <w:t xml:space="preserve">will have another round </w:t>
            </w:r>
            <w:r w:rsidR="00696593">
              <w:rPr>
                <w:rFonts w:ascii="Arial" w:eastAsia="Times New Roman" w:hAnsi="Arial" w:cs="Arial"/>
                <w:lang w:val="en-GB"/>
              </w:rPr>
              <w:t>of</w:t>
            </w:r>
            <w:r>
              <w:rPr>
                <w:rFonts w:ascii="Arial" w:eastAsia="Times New Roman" w:hAnsi="Arial" w:cs="Arial"/>
                <w:lang w:val="en-GB"/>
              </w:rPr>
              <w:t xml:space="preserve"> being tabled at </w:t>
            </w:r>
            <w:r w:rsidR="00D0530B">
              <w:rPr>
                <w:rFonts w:ascii="Arial" w:eastAsia="Times New Roman" w:hAnsi="Arial" w:cs="Arial"/>
                <w:lang w:val="en-GB"/>
              </w:rPr>
              <w:t>governance</w:t>
            </w:r>
            <w:r>
              <w:rPr>
                <w:rFonts w:ascii="Arial" w:eastAsia="Times New Roman" w:hAnsi="Arial" w:cs="Arial"/>
                <w:lang w:val="en-GB"/>
              </w:rPr>
              <w:t xml:space="preserve"> committees</w:t>
            </w:r>
            <w:r w:rsidR="00D0530B">
              <w:rPr>
                <w:rFonts w:ascii="Arial" w:eastAsia="Times New Roman" w:hAnsi="Arial" w:cs="Arial"/>
                <w:lang w:val="en-GB"/>
              </w:rPr>
              <w:t xml:space="preserve"> within </w:t>
            </w:r>
            <w:r w:rsidR="00054DBB">
              <w:rPr>
                <w:rFonts w:ascii="Arial" w:eastAsia="Times New Roman" w:hAnsi="Arial" w:cs="Arial"/>
                <w:lang w:val="en-GB"/>
              </w:rPr>
              <w:t>the Prudential</w:t>
            </w:r>
            <w:r w:rsidR="008B1D2F">
              <w:rPr>
                <w:rFonts w:ascii="Arial" w:eastAsia="Times New Roman" w:hAnsi="Arial" w:cs="Arial"/>
                <w:lang w:val="en-GB"/>
              </w:rPr>
              <w:t xml:space="preserve"> Authority </w:t>
            </w:r>
            <w:r w:rsidR="00D21FFA">
              <w:rPr>
                <w:rFonts w:ascii="Arial" w:eastAsia="Times New Roman" w:hAnsi="Arial" w:cs="Arial"/>
                <w:lang w:val="en-GB"/>
              </w:rPr>
              <w:t>and</w:t>
            </w:r>
            <w:r w:rsidR="00D0530B">
              <w:rPr>
                <w:rFonts w:ascii="Arial" w:eastAsia="Times New Roman" w:hAnsi="Arial" w:cs="Arial"/>
                <w:lang w:val="en-GB"/>
              </w:rPr>
              <w:t xml:space="preserve"> then</w:t>
            </w:r>
            <w:r w:rsidR="00D21FFA">
              <w:rPr>
                <w:rFonts w:ascii="Arial" w:eastAsia="Times New Roman" w:hAnsi="Arial" w:cs="Arial"/>
                <w:lang w:val="en-GB"/>
              </w:rPr>
              <w:t xml:space="preserve"> </w:t>
            </w:r>
            <w:r w:rsidR="00D0530B">
              <w:rPr>
                <w:rFonts w:ascii="Arial" w:eastAsia="Times New Roman" w:hAnsi="Arial" w:cs="Arial"/>
                <w:lang w:val="en-GB"/>
              </w:rPr>
              <w:t>be</w:t>
            </w:r>
            <w:r w:rsidR="00D21FFA">
              <w:rPr>
                <w:rFonts w:ascii="Arial" w:eastAsia="Times New Roman" w:hAnsi="Arial" w:cs="Arial"/>
                <w:lang w:val="en-GB"/>
              </w:rPr>
              <w:t xml:space="preserve"> tabled in Parliament</w:t>
            </w:r>
            <w:r w:rsidR="003E139D">
              <w:rPr>
                <w:rFonts w:ascii="Arial" w:eastAsia="Times New Roman" w:hAnsi="Arial" w:cs="Arial"/>
                <w:lang w:val="en-GB"/>
              </w:rPr>
              <w:t xml:space="preserve"> by the Minister of Finance</w:t>
            </w:r>
            <w:r w:rsidR="00850002">
              <w:rPr>
                <w:rFonts w:ascii="Arial" w:eastAsia="Times New Roman" w:hAnsi="Arial" w:cs="Arial"/>
                <w:lang w:val="en-GB"/>
              </w:rPr>
              <w:t xml:space="preserve">, </w:t>
            </w:r>
            <w:r w:rsidR="00D21FFA">
              <w:rPr>
                <w:rFonts w:ascii="Arial" w:eastAsia="Times New Roman" w:hAnsi="Arial" w:cs="Arial"/>
                <w:lang w:val="en-GB"/>
              </w:rPr>
              <w:t xml:space="preserve">before </w:t>
            </w:r>
            <w:r w:rsidR="00D0530B">
              <w:rPr>
                <w:rFonts w:ascii="Arial" w:eastAsia="Times New Roman" w:hAnsi="Arial" w:cs="Arial"/>
                <w:lang w:val="en-GB"/>
              </w:rPr>
              <w:t xml:space="preserve">the Standard </w:t>
            </w:r>
            <w:r w:rsidR="003E139D">
              <w:rPr>
                <w:rFonts w:ascii="Arial" w:eastAsia="Times New Roman" w:hAnsi="Arial" w:cs="Arial"/>
                <w:lang w:val="en-GB"/>
              </w:rPr>
              <w:t>can be</w:t>
            </w:r>
            <w:r w:rsidR="00D21FFA">
              <w:rPr>
                <w:rFonts w:ascii="Arial" w:eastAsia="Times New Roman" w:hAnsi="Arial" w:cs="Arial"/>
                <w:lang w:val="en-GB"/>
              </w:rPr>
              <w:t xml:space="preserve"> made </w:t>
            </w:r>
            <w:r w:rsidR="008A445C">
              <w:rPr>
                <w:rFonts w:ascii="Arial" w:eastAsia="Times New Roman" w:hAnsi="Arial" w:cs="Arial"/>
                <w:lang w:val="en-GB"/>
              </w:rPr>
              <w:t xml:space="preserve">     </w:t>
            </w:r>
            <w:proofErr w:type="gramStart"/>
            <w:r w:rsidR="008A445C">
              <w:rPr>
                <w:rFonts w:ascii="Arial" w:eastAsia="Times New Roman" w:hAnsi="Arial" w:cs="Arial"/>
                <w:lang w:val="en-GB"/>
              </w:rPr>
              <w:t xml:space="preserve">   </w:t>
            </w:r>
            <w:r w:rsidR="00850002">
              <w:rPr>
                <w:rFonts w:ascii="Arial" w:eastAsia="Times New Roman" w:hAnsi="Arial" w:cs="Arial"/>
                <w:lang w:val="en-GB"/>
              </w:rPr>
              <w:t>(</w:t>
            </w:r>
            <w:proofErr w:type="gramEnd"/>
            <w:r w:rsidR="008A445C">
              <w:rPr>
                <w:rFonts w:ascii="Arial" w:eastAsia="Times New Roman" w:hAnsi="Arial" w:cs="Arial"/>
                <w:lang w:val="en-GB"/>
              </w:rPr>
              <w:t xml:space="preserve">or </w:t>
            </w:r>
            <w:r w:rsidR="00850002">
              <w:rPr>
                <w:rFonts w:ascii="Arial" w:eastAsia="Times New Roman" w:hAnsi="Arial" w:cs="Arial"/>
                <w:lang w:val="en-GB"/>
              </w:rPr>
              <w:t>be promulgated)</w:t>
            </w:r>
            <w:r w:rsidR="008A445C">
              <w:rPr>
                <w:rFonts w:ascii="Arial" w:eastAsia="Times New Roman" w:hAnsi="Arial" w:cs="Arial"/>
                <w:lang w:val="en-GB"/>
              </w:rPr>
              <w:t xml:space="preserve"> </w:t>
            </w:r>
            <w:r w:rsidR="00D21FFA">
              <w:rPr>
                <w:rFonts w:ascii="Arial" w:eastAsia="Times New Roman" w:hAnsi="Arial" w:cs="Arial"/>
                <w:lang w:val="en-GB"/>
              </w:rPr>
              <w:t xml:space="preserve">by the </w:t>
            </w:r>
            <w:r w:rsidR="00AC6087">
              <w:rPr>
                <w:rFonts w:ascii="Arial" w:eastAsia="Times New Roman" w:hAnsi="Arial" w:cs="Arial"/>
                <w:lang w:val="en-GB"/>
              </w:rPr>
              <w:t xml:space="preserve">Prudential </w:t>
            </w:r>
            <w:r w:rsidR="00EB29BC">
              <w:rPr>
                <w:rFonts w:ascii="Arial" w:eastAsia="Times New Roman" w:hAnsi="Arial" w:cs="Arial"/>
                <w:lang w:val="en-GB"/>
              </w:rPr>
              <w:t>Committee</w:t>
            </w:r>
            <w:r w:rsidR="008A445C">
              <w:rPr>
                <w:rFonts w:ascii="Arial" w:eastAsia="Times New Roman" w:hAnsi="Arial" w:cs="Arial"/>
                <w:lang w:val="en-GB"/>
              </w:rPr>
              <w:t>.</w:t>
            </w:r>
            <w:r w:rsidR="00D0530B">
              <w:rPr>
                <w:rFonts w:ascii="Arial" w:eastAsia="Times New Roman" w:hAnsi="Arial" w:cs="Arial"/>
                <w:lang w:val="en-GB"/>
              </w:rPr>
              <w:t>.</w:t>
            </w:r>
          </w:p>
          <w:p w14:paraId="3EC3EB5B" w14:textId="77777777" w:rsidR="00AC6087" w:rsidRDefault="00AC6087" w:rsidP="00614146">
            <w:pPr>
              <w:spacing w:after="0" w:line="240" w:lineRule="auto"/>
              <w:jc w:val="both"/>
              <w:rPr>
                <w:rFonts w:ascii="Arial" w:eastAsia="Times New Roman" w:hAnsi="Arial" w:cs="Arial"/>
                <w:lang w:val="en-GB"/>
              </w:rPr>
            </w:pPr>
          </w:p>
          <w:p w14:paraId="334E116E" w14:textId="772069E4" w:rsidR="00B13C56" w:rsidRPr="00A10D2B" w:rsidRDefault="00B13C56" w:rsidP="00AC6087">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Refer to comment </w:t>
            </w:r>
            <w:r w:rsidR="007D337E">
              <w:rPr>
                <w:rFonts w:ascii="Arial" w:eastAsia="Times New Roman" w:hAnsi="Arial" w:cs="Arial"/>
                <w:lang w:val="en-GB"/>
              </w:rPr>
              <w:t>149</w:t>
            </w:r>
            <w:r w:rsidRPr="00A10D2B">
              <w:rPr>
                <w:rFonts w:ascii="Arial" w:eastAsia="Times New Roman" w:hAnsi="Arial" w:cs="Arial"/>
                <w:lang w:val="en-GB"/>
              </w:rPr>
              <w:t xml:space="preserve"> regarding the tim</w:t>
            </w:r>
            <w:r w:rsidR="007D337E">
              <w:rPr>
                <w:rFonts w:ascii="Arial" w:eastAsia="Times New Roman" w:hAnsi="Arial" w:cs="Arial"/>
                <w:lang w:val="en-GB"/>
              </w:rPr>
              <w:t>e frames.</w:t>
            </w:r>
          </w:p>
        </w:tc>
      </w:tr>
      <w:tr w:rsidR="00614146" w:rsidRPr="009D05E3" w14:paraId="6D9BE5FC" w14:textId="77777777" w:rsidTr="00515BD8">
        <w:tc>
          <w:tcPr>
            <w:tcW w:w="1886" w:type="dxa"/>
            <w:vAlign w:val="bottom"/>
          </w:tcPr>
          <w:p w14:paraId="69D97DAD" w14:textId="38102699" w:rsidR="00614146" w:rsidRPr="009D05E3" w:rsidRDefault="00614146" w:rsidP="008171BC">
            <w:pPr>
              <w:spacing w:after="1440"/>
              <w:jc w:val="center"/>
              <w:rPr>
                <w:rFonts w:ascii="Arial" w:hAnsi="Arial" w:cs="Arial"/>
                <w:lang w:val="en-GB"/>
              </w:rPr>
            </w:pPr>
            <w:r>
              <w:rPr>
                <w:rFonts w:ascii="Arial" w:hAnsi="Arial" w:cs="Arial"/>
                <w:lang w:val="en-GB"/>
              </w:rPr>
              <w:t>162</w:t>
            </w:r>
          </w:p>
        </w:tc>
        <w:tc>
          <w:tcPr>
            <w:tcW w:w="2078" w:type="dxa"/>
          </w:tcPr>
          <w:p w14:paraId="57B7475D" w14:textId="441BBB10" w:rsidR="00614146" w:rsidRPr="009D05E3" w:rsidRDefault="00614146" w:rsidP="00614146">
            <w:pPr>
              <w:spacing w:after="0" w:line="240" w:lineRule="auto"/>
              <w:rPr>
                <w:rFonts w:ascii="Arial" w:hAnsi="Arial" w:cs="Arial"/>
                <w:sz w:val="20"/>
                <w:szCs w:val="20"/>
                <w:lang w:val="en-GB"/>
              </w:rPr>
            </w:pPr>
            <w:r w:rsidRPr="00740BB1">
              <w:rPr>
                <w:rFonts w:ascii="Arial" w:hAnsi="Arial" w:cs="Arial"/>
                <w:sz w:val="20"/>
                <w:szCs w:val="20"/>
                <w:lang w:val="en-GB"/>
              </w:rPr>
              <w:t>BASA</w:t>
            </w:r>
          </w:p>
        </w:tc>
        <w:tc>
          <w:tcPr>
            <w:tcW w:w="2691" w:type="dxa"/>
          </w:tcPr>
          <w:p w14:paraId="2D399BBE" w14:textId="47741EC1" w:rsidR="00614146" w:rsidRPr="00935E14" w:rsidRDefault="00614146" w:rsidP="00614146">
            <w:pPr>
              <w:spacing w:after="0" w:line="240" w:lineRule="auto"/>
              <w:rPr>
                <w:rFonts w:ascii="Arial" w:hAnsi="Arial" w:cs="Arial"/>
                <w:bCs/>
                <w:sz w:val="20"/>
                <w:szCs w:val="20"/>
              </w:rPr>
            </w:pPr>
            <w:r w:rsidRPr="00935E14">
              <w:rPr>
                <w:rFonts w:ascii="Arial" w:hAnsi="Arial" w:cs="Arial"/>
                <w:bCs/>
                <w:sz w:val="20"/>
                <w:szCs w:val="20"/>
              </w:rPr>
              <w:t>General</w:t>
            </w:r>
          </w:p>
        </w:tc>
        <w:tc>
          <w:tcPr>
            <w:tcW w:w="7903" w:type="dxa"/>
          </w:tcPr>
          <w:p w14:paraId="1618A384" w14:textId="6520DEF2" w:rsidR="00614146" w:rsidRPr="00A10D2B" w:rsidRDefault="00614146" w:rsidP="00614146">
            <w:pPr>
              <w:pStyle w:val="TableParagraph"/>
              <w:jc w:val="left"/>
              <w:rPr>
                <w:rFonts w:ascii="Arial" w:hAnsi="Arial" w:cs="Arial"/>
              </w:rPr>
            </w:pPr>
            <w:r w:rsidRPr="00A10D2B">
              <w:rPr>
                <w:rFonts w:ascii="Arial" w:hAnsi="Arial" w:cs="Arial"/>
                <w:bCs/>
              </w:rPr>
              <w:t>Banks are concerned about the amount of work required to execute on this proposed standard.  Regular workshops should be scheduled to ensure the banking industry interpret the standards similarly and to provide opportunity to share ideas.</w:t>
            </w:r>
          </w:p>
        </w:tc>
        <w:tc>
          <w:tcPr>
            <w:tcW w:w="6416" w:type="dxa"/>
            <w:shd w:val="clear" w:color="auto" w:fill="auto"/>
          </w:tcPr>
          <w:p w14:paraId="6214EF4B" w14:textId="3F15E69C" w:rsidR="00E371E7" w:rsidRPr="00A10D2B" w:rsidRDefault="00E371E7" w:rsidP="00E371E7">
            <w:pPr>
              <w:spacing w:after="0" w:line="240" w:lineRule="auto"/>
              <w:jc w:val="both"/>
              <w:rPr>
                <w:rFonts w:ascii="Arial" w:eastAsia="Times New Roman" w:hAnsi="Arial" w:cs="Arial"/>
                <w:lang w:val="en-GB"/>
              </w:rPr>
            </w:pPr>
            <w:r w:rsidRPr="00A10D2B">
              <w:rPr>
                <w:rFonts w:ascii="Arial" w:eastAsia="Times New Roman" w:hAnsi="Arial" w:cs="Arial"/>
                <w:lang w:val="en-GB"/>
              </w:rPr>
              <w:t xml:space="preserve">The </w:t>
            </w:r>
            <w:r w:rsidR="00DA560E">
              <w:rPr>
                <w:rFonts w:ascii="Arial" w:eastAsia="Times New Roman" w:hAnsi="Arial" w:cs="Arial"/>
                <w:lang w:val="en-GB"/>
              </w:rPr>
              <w:t>Authorities</w:t>
            </w:r>
            <w:r w:rsidRPr="00A10D2B">
              <w:rPr>
                <w:rFonts w:ascii="Arial" w:eastAsia="Times New Roman" w:hAnsi="Arial" w:cs="Arial"/>
                <w:lang w:val="en-GB"/>
              </w:rPr>
              <w:t xml:space="preserve"> amended the Application section (section 5), to clarify that the Standard is applicable to all designated institutions, however only institutions that will have been informed by the Reserve Bank that transfers will form part of their resolution strategy, will need to comply with the requirements in the Standard.</w:t>
            </w:r>
          </w:p>
          <w:p w14:paraId="4A45AA1D" w14:textId="7931BB1C" w:rsidR="00614146" w:rsidRPr="00A10D2B" w:rsidRDefault="00614146" w:rsidP="00614146">
            <w:pPr>
              <w:spacing w:after="0" w:line="240" w:lineRule="auto"/>
              <w:jc w:val="both"/>
              <w:rPr>
                <w:rFonts w:ascii="Arial" w:eastAsia="Times New Roman" w:hAnsi="Arial" w:cs="Arial"/>
                <w:lang w:val="en-GB"/>
              </w:rPr>
            </w:pPr>
          </w:p>
        </w:tc>
      </w:tr>
      <w:bookmarkEnd w:id="3"/>
    </w:tbl>
    <w:p w14:paraId="4A859F99" w14:textId="26682D1F" w:rsidR="00A701F9" w:rsidRDefault="00A701F9" w:rsidP="00D440AD">
      <w:pPr>
        <w:spacing w:after="0" w:line="240" w:lineRule="auto"/>
        <w:rPr>
          <w:rFonts w:ascii="Arial" w:hAnsi="Arial" w:cs="Arial"/>
          <w:sz w:val="20"/>
          <w:szCs w:val="20"/>
        </w:rPr>
      </w:pPr>
    </w:p>
    <w:p w14:paraId="0597D4E2" w14:textId="5A954B63" w:rsidR="00495063" w:rsidRDefault="00495063" w:rsidP="00D440AD">
      <w:pPr>
        <w:spacing w:after="0" w:line="240" w:lineRule="auto"/>
        <w:rPr>
          <w:rFonts w:ascii="Arial" w:hAnsi="Arial" w:cs="Arial"/>
          <w:sz w:val="20"/>
          <w:szCs w:val="20"/>
        </w:rPr>
      </w:pPr>
    </w:p>
    <w:p w14:paraId="49F99717" w14:textId="072624F3" w:rsidR="006F6E30" w:rsidRDefault="006F6E30" w:rsidP="00D440AD">
      <w:pPr>
        <w:spacing w:after="0" w:line="240" w:lineRule="auto"/>
        <w:rPr>
          <w:rFonts w:ascii="Arial" w:hAnsi="Arial" w:cs="Arial"/>
          <w:sz w:val="20"/>
          <w:szCs w:val="20"/>
        </w:rPr>
      </w:pPr>
    </w:p>
    <w:p w14:paraId="5D643EB7" w14:textId="69C6D469" w:rsidR="006F6E30" w:rsidRDefault="006F6E30" w:rsidP="00D440AD">
      <w:pPr>
        <w:spacing w:after="0" w:line="240" w:lineRule="auto"/>
        <w:rPr>
          <w:rFonts w:ascii="Arial" w:hAnsi="Arial" w:cs="Arial"/>
          <w:sz w:val="20"/>
          <w:szCs w:val="20"/>
        </w:rPr>
      </w:pPr>
    </w:p>
    <w:p w14:paraId="0BCFA97F" w14:textId="38A62F73" w:rsidR="006F6E30" w:rsidRDefault="006F6E30" w:rsidP="00D440AD">
      <w:pPr>
        <w:spacing w:after="0" w:line="240" w:lineRule="auto"/>
        <w:rPr>
          <w:rFonts w:ascii="Arial" w:hAnsi="Arial" w:cs="Arial"/>
          <w:sz w:val="20"/>
          <w:szCs w:val="20"/>
        </w:rPr>
      </w:pPr>
    </w:p>
    <w:p w14:paraId="5A771F19" w14:textId="26F0F77F" w:rsidR="006F6E30" w:rsidRDefault="006F6E30" w:rsidP="00D440AD">
      <w:pPr>
        <w:spacing w:after="0" w:line="240" w:lineRule="auto"/>
        <w:rPr>
          <w:rFonts w:ascii="Arial" w:hAnsi="Arial" w:cs="Arial"/>
          <w:sz w:val="20"/>
          <w:szCs w:val="20"/>
        </w:rPr>
      </w:pPr>
    </w:p>
    <w:p w14:paraId="05538ED1" w14:textId="719AACEF" w:rsidR="006F6E30" w:rsidRDefault="006F6E30" w:rsidP="00D440AD">
      <w:pPr>
        <w:spacing w:after="0" w:line="240" w:lineRule="auto"/>
        <w:rPr>
          <w:rFonts w:ascii="Arial" w:hAnsi="Arial" w:cs="Arial"/>
          <w:sz w:val="20"/>
          <w:szCs w:val="20"/>
        </w:rPr>
      </w:pPr>
    </w:p>
    <w:p w14:paraId="55E931D4" w14:textId="77777777" w:rsidR="006F6E30" w:rsidRDefault="006F6E30" w:rsidP="00D440AD">
      <w:pPr>
        <w:spacing w:after="0" w:line="240" w:lineRule="auto"/>
        <w:rPr>
          <w:rFonts w:ascii="Arial" w:hAnsi="Arial" w:cs="Arial"/>
          <w:sz w:val="20"/>
          <w:szCs w:val="20"/>
        </w:rPr>
      </w:pPr>
    </w:p>
    <w:sectPr w:rsidR="006F6E30" w:rsidSect="00A701F9">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2B2C" w14:textId="77777777" w:rsidR="00471CAC" w:rsidRDefault="00471CAC" w:rsidP="00A701F9">
      <w:pPr>
        <w:spacing w:after="0" w:line="240" w:lineRule="auto"/>
      </w:pPr>
      <w:r>
        <w:separator/>
      </w:r>
    </w:p>
  </w:endnote>
  <w:endnote w:type="continuationSeparator" w:id="0">
    <w:p w14:paraId="730B44AE" w14:textId="77777777" w:rsidR="00471CAC" w:rsidRDefault="00471CAC" w:rsidP="00A7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9CE4" w14:textId="77777777" w:rsidR="009A60EE" w:rsidRDefault="009A6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363980"/>
      <w:docPartObj>
        <w:docPartGallery w:val="Page Numbers (Bottom of Page)"/>
        <w:docPartUnique/>
      </w:docPartObj>
    </w:sdtPr>
    <w:sdtEndPr>
      <w:rPr>
        <w:noProof/>
      </w:rPr>
    </w:sdtEndPr>
    <w:sdtContent>
      <w:p w14:paraId="212CE4F5" w14:textId="2169E371" w:rsidR="001D2105" w:rsidRDefault="001D2105">
        <w:pPr>
          <w:pStyle w:val="Footer"/>
          <w:jc w:val="right"/>
        </w:pPr>
        <w:r w:rsidRPr="006C29EF">
          <w:rPr>
            <w:rFonts w:ascii="Arial" w:hAnsi="Arial" w:cs="Arial"/>
          </w:rPr>
          <w:fldChar w:fldCharType="begin"/>
        </w:r>
        <w:r w:rsidRPr="006C29EF">
          <w:rPr>
            <w:rFonts w:ascii="Arial" w:hAnsi="Arial" w:cs="Arial"/>
          </w:rPr>
          <w:instrText xml:space="preserve"> PAGE   \* MERGEFORMAT </w:instrText>
        </w:r>
        <w:r w:rsidRPr="006C29EF">
          <w:rPr>
            <w:rFonts w:ascii="Arial" w:hAnsi="Arial" w:cs="Arial"/>
          </w:rPr>
          <w:fldChar w:fldCharType="separate"/>
        </w:r>
        <w:r w:rsidRPr="006C29EF">
          <w:rPr>
            <w:rFonts w:ascii="Arial" w:hAnsi="Arial" w:cs="Arial"/>
            <w:noProof/>
          </w:rPr>
          <w:t>2</w:t>
        </w:r>
        <w:r w:rsidRPr="006C29EF">
          <w:rPr>
            <w:rFonts w:ascii="Arial" w:hAnsi="Arial" w:cs="Arial"/>
            <w:noProof/>
          </w:rPr>
          <w:fldChar w:fldCharType="end"/>
        </w:r>
      </w:p>
    </w:sdtContent>
  </w:sdt>
  <w:p w14:paraId="3092DCAE" w14:textId="77777777" w:rsidR="001D2105" w:rsidRDefault="001D2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BC7D" w14:textId="77777777" w:rsidR="009A60EE" w:rsidRDefault="009A6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132C" w14:textId="77777777" w:rsidR="00471CAC" w:rsidRDefault="00471CAC" w:rsidP="00A701F9">
      <w:pPr>
        <w:spacing w:after="0" w:line="240" w:lineRule="auto"/>
      </w:pPr>
      <w:r>
        <w:separator/>
      </w:r>
    </w:p>
  </w:footnote>
  <w:footnote w:type="continuationSeparator" w:id="0">
    <w:p w14:paraId="0236BE42" w14:textId="77777777" w:rsidR="00471CAC" w:rsidRDefault="00471CAC" w:rsidP="00A7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E41B" w14:textId="77777777" w:rsidR="009A60EE" w:rsidRDefault="009A6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71E6" w14:textId="77777777" w:rsidR="009A60EE" w:rsidRDefault="009A6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556E" w14:textId="77777777" w:rsidR="009A60EE" w:rsidRDefault="009A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73BB"/>
    <w:multiLevelType w:val="hybridMultilevel"/>
    <w:tmpl w:val="56A8CF48"/>
    <w:lvl w:ilvl="0" w:tplc="A0FC61C4">
      <w:start w:val="1"/>
      <w:numFmt w:val="decimal"/>
      <w:lvlText w:val="%1."/>
      <w:lvlJc w:val="left"/>
      <w:pPr>
        <w:ind w:left="1070" w:hanging="360"/>
      </w:pPr>
    </w:lvl>
    <w:lvl w:ilvl="1" w:tplc="33105E40">
      <w:start w:val="1"/>
      <w:numFmt w:val="lowerLetter"/>
      <w:lvlText w:val="%2."/>
      <w:lvlJc w:val="left"/>
      <w:pPr>
        <w:ind w:left="1440" w:hanging="360"/>
      </w:pPr>
    </w:lvl>
    <w:lvl w:ilvl="2" w:tplc="15F4999A">
      <w:start w:val="1"/>
      <w:numFmt w:val="lowerRoman"/>
      <w:lvlText w:val="%3."/>
      <w:lvlJc w:val="right"/>
      <w:pPr>
        <w:ind w:left="2160" w:hanging="180"/>
      </w:pPr>
    </w:lvl>
    <w:lvl w:ilvl="3" w:tplc="4CFA62D6">
      <w:start w:val="1"/>
      <w:numFmt w:val="decimal"/>
      <w:lvlText w:val="%4."/>
      <w:lvlJc w:val="left"/>
      <w:pPr>
        <w:ind w:left="2880" w:hanging="360"/>
      </w:pPr>
    </w:lvl>
    <w:lvl w:ilvl="4" w:tplc="159C63A4">
      <w:start w:val="1"/>
      <w:numFmt w:val="lowerLetter"/>
      <w:lvlText w:val="%5."/>
      <w:lvlJc w:val="left"/>
      <w:pPr>
        <w:ind w:left="3600" w:hanging="360"/>
      </w:pPr>
    </w:lvl>
    <w:lvl w:ilvl="5" w:tplc="11B228D2">
      <w:start w:val="1"/>
      <w:numFmt w:val="lowerRoman"/>
      <w:lvlText w:val="%6."/>
      <w:lvlJc w:val="right"/>
      <w:pPr>
        <w:ind w:left="4320" w:hanging="180"/>
      </w:pPr>
    </w:lvl>
    <w:lvl w:ilvl="6" w:tplc="8AFC7728">
      <w:start w:val="1"/>
      <w:numFmt w:val="decimal"/>
      <w:lvlText w:val="%7."/>
      <w:lvlJc w:val="left"/>
      <w:pPr>
        <w:ind w:left="5040" w:hanging="360"/>
      </w:pPr>
    </w:lvl>
    <w:lvl w:ilvl="7" w:tplc="B0FE87A4">
      <w:start w:val="1"/>
      <w:numFmt w:val="lowerLetter"/>
      <w:lvlText w:val="%8."/>
      <w:lvlJc w:val="left"/>
      <w:pPr>
        <w:ind w:left="5760" w:hanging="360"/>
      </w:pPr>
    </w:lvl>
    <w:lvl w:ilvl="8" w:tplc="3342E892">
      <w:start w:val="1"/>
      <w:numFmt w:val="lowerRoman"/>
      <w:lvlText w:val="%9."/>
      <w:lvlJc w:val="right"/>
      <w:pPr>
        <w:ind w:left="6480" w:hanging="180"/>
      </w:pPr>
    </w:lvl>
  </w:abstractNum>
  <w:abstractNum w:abstractNumId="1" w15:restartNumberingAfterBreak="0">
    <w:nsid w:val="0C2470FE"/>
    <w:multiLevelType w:val="hybridMultilevel"/>
    <w:tmpl w:val="25FEC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F3BEE"/>
    <w:multiLevelType w:val="hybridMultilevel"/>
    <w:tmpl w:val="99D40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017FF3"/>
    <w:multiLevelType w:val="hybridMultilevel"/>
    <w:tmpl w:val="3F60A9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2746A20"/>
    <w:multiLevelType w:val="hybridMultilevel"/>
    <w:tmpl w:val="45F65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D94A44"/>
    <w:multiLevelType w:val="hybridMultilevel"/>
    <w:tmpl w:val="1908C3DC"/>
    <w:lvl w:ilvl="0" w:tplc="9E767FC4">
      <w:start w:val="14"/>
      <w:numFmt w:val="decimal"/>
      <w:lvlText w:val="%1."/>
      <w:lvlJc w:val="left"/>
      <w:pPr>
        <w:ind w:left="1070" w:hanging="36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6" w15:restartNumberingAfterBreak="0">
    <w:nsid w:val="25C93945"/>
    <w:multiLevelType w:val="multilevel"/>
    <w:tmpl w:val="86A267B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7" w15:restartNumberingAfterBreak="0">
    <w:nsid w:val="27E37456"/>
    <w:multiLevelType w:val="multilevel"/>
    <w:tmpl w:val="E86286B8"/>
    <w:lvl w:ilvl="0">
      <w:start w:val="1"/>
      <w:numFmt w:val="decimal"/>
      <w:pStyle w:val="BCHeading1"/>
      <w:lvlText w:val="%1."/>
      <w:lvlJc w:val="left"/>
      <w:pPr>
        <w:tabs>
          <w:tab w:val="num" w:pos="851"/>
        </w:tabs>
        <w:ind w:left="851" w:hanging="851"/>
      </w:pPr>
      <w:rPr>
        <w:b w:val="0"/>
        <w:i w:val="0"/>
        <w:sz w:val="24"/>
        <w:u w:val="none"/>
      </w:rPr>
    </w:lvl>
    <w:lvl w:ilvl="1">
      <w:start w:val="1"/>
      <w:numFmt w:val="decimal"/>
      <w:pStyle w:val="BCHeading2"/>
      <w:lvlText w:val="%1.%2"/>
      <w:lvlJc w:val="left"/>
      <w:pPr>
        <w:tabs>
          <w:tab w:val="num" w:pos="851"/>
        </w:tabs>
        <w:ind w:left="851" w:hanging="851"/>
      </w:pPr>
      <w:rPr>
        <w:u w:val="none"/>
      </w:rPr>
    </w:lvl>
    <w:lvl w:ilvl="2">
      <w:start w:val="1"/>
      <w:numFmt w:val="decimal"/>
      <w:pStyle w:val="BCHeading3"/>
      <w:lvlText w:val="%1.%2.%3"/>
      <w:lvlJc w:val="left"/>
      <w:pPr>
        <w:tabs>
          <w:tab w:val="num" w:pos="1134"/>
        </w:tabs>
        <w:ind w:left="1134" w:hanging="1134"/>
      </w:pPr>
      <w:rPr>
        <w:b w:val="0"/>
        <w:i w:val="0"/>
        <w:sz w:val="24"/>
        <w:u w:val="none"/>
      </w:rPr>
    </w:lvl>
    <w:lvl w:ilvl="3">
      <w:start w:val="1"/>
      <w:numFmt w:val="decimal"/>
      <w:pStyle w:val="BCHeading4"/>
      <w:lvlText w:val="%1.%2.%3.%4"/>
      <w:lvlJc w:val="left"/>
      <w:pPr>
        <w:tabs>
          <w:tab w:val="num" w:pos="1134"/>
        </w:tabs>
        <w:ind w:left="1134" w:hanging="1134"/>
      </w:pPr>
      <w:rPr>
        <w:u w:val="none"/>
      </w:rPr>
    </w:lvl>
    <w:lvl w:ilvl="4">
      <w:start w:val="1"/>
      <w:numFmt w:val="decimal"/>
      <w:pStyle w:val="BCNumber4"/>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8A44ABF"/>
    <w:multiLevelType w:val="hybridMultilevel"/>
    <w:tmpl w:val="881E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11862"/>
    <w:multiLevelType w:val="hybridMultilevel"/>
    <w:tmpl w:val="48C2B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9AA20A0"/>
    <w:multiLevelType w:val="hybridMultilevel"/>
    <w:tmpl w:val="9C32CF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B837F09"/>
    <w:multiLevelType w:val="hybridMultilevel"/>
    <w:tmpl w:val="BD74B6B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C183FB4"/>
    <w:multiLevelType w:val="hybridMultilevel"/>
    <w:tmpl w:val="B62A173C"/>
    <w:lvl w:ilvl="0" w:tplc="BBD21E48">
      <w:start w:val="1"/>
      <w:numFmt w:val="bullet"/>
      <w:lvlText w:val="·"/>
      <w:lvlJc w:val="left"/>
      <w:pPr>
        <w:ind w:left="720" w:hanging="360"/>
      </w:pPr>
      <w:rPr>
        <w:rFonts w:ascii="Symbol" w:hAnsi="Symbol" w:hint="default"/>
      </w:rPr>
    </w:lvl>
    <w:lvl w:ilvl="1" w:tplc="1576B27A">
      <w:start w:val="1"/>
      <w:numFmt w:val="bullet"/>
      <w:lvlText w:val="o"/>
      <w:lvlJc w:val="left"/>
      <w:pPr>
        <w:ind w:left="1440" w:hanging="360"/>
      </w:pPr>
      <w:rPr>
        <w:rFonts w:ascii="Courier New" w:hAnsi="Courier New" w:hint="default"/>
      </w:rPr>
    </w:lvl>
    <w:lvl w:ilvl="2" w:tplc="8A123E1A">
      <w:start w:val="1"/>
      <w:numFmt w:val="bullet"/>
      <w:lvlText w:val=""/>
      <w:lvlJc w:val="left"/>
      <w:pPr>
        <w:ind w:left="2160" w:hanging="360"/>
      </w:pPr>
      <w:rPr>
        <w:rFonts w:ascii="Wingdings" w:hAnsi="Wingdings" w:hint="default"/>
      </w:rPr>
    </w:lvl>
    <w:lvl w:ilvl="3" w:tplc="F70E81B8">
      <w:start w:val="1"/>
      <w:numFmt w:val="bullet"/>
      <w:lvlText w:val=""/>
      <w:lvlJc w:val="left"/>
      <w:pPr>
        <w:ind w:left="2880" w:hanging="360"/>
      </w:pPr>
      <w:rPr>
        <w:rFonts w:ascii="Symbol" w:hAnsi="Symbol" w:hint="default"/>
      </w:rPr>
    </w:lvl>
    <w:lvl w:ilvl="4" w:tplc="CE9CF0B8">
      <w:start w:val="1"/>
      <w:numFmt w:val="bullet"/>
      <w:lvlText w:val="o"/>
      <w:lvlJc w:val="left"/>
      <w:pPr>
        <w:ind w:left="3600" w:hanging="360"/>
      </w:pPr>
      <w:rPr>
        <w:rFonts w:ascii="Courier New" w:hAnsi="Courier New" w:hint="default"/>
      </w:rPr>
    </w:lvl>
    <w:lvl w:ilvl="5" w:tplc="4C7CC8DA">
      <w:start w:val="1"/>
      <w:numFmt w:val="bullet"/>
      <w:lvlText w:val=""/>
      <w:lvlJc w:val="left"/>
      <w:pPr>
        <w:ind w:left="4320" w:hanging="360"/>
      </w:pPr>
      <w:rPr>
        <w:rFonts w:ascii="Wingdings" w:hAnsi="Wingdings" w:hint="default"/>
      </w:rPr>
    </w:lvl>
    <w:lvl w:ilvl="6" w:tplc="F0A6B8BE">
      <w:start w:val="1"/>
      <w:numFmt w:val="bullet"/>
      <w:lvlText w:val=""/>
      <w:lvlJc w:val="left"/>
      <w:pPr>
        <w:ind w:left="5040" w:hanging="360"/>
      </w:pPr>
      <w:rPr>
        <w:rFonts w:ascii="Symbol" w:hAnsi="Symbol" w:hint="default"/>
      </w:rPr>
    </w:lvl>
    <w:lvl w:ilvl="7" w:tplc="D1D2FA9E">
      <w:start w:val="1"/>
      <w:numFmt w:val="bullet"/>
      <w:lvlText w:val="o"/>
      <w:lvlJc w:val="left"/>
      <w:pPr>
        <w:ind w:left="5760" w:hanging="360"/>
      </w:pPr>
      <w:rPr>
        <w:rFonts w:ascii="Courier New" w:hAnsi="Courier New" w:hint="default"/>
      </w:rPr>
    </w:lvl>
    <w:lvl w:ilvl="8" w:tplc="00A4D476">
      <w:start w:val="1"/>
      <w:numFmt w:val="bullet"/>
      <w:lvlText w:val=""/>
      <w:lvlJc w:val="left"/>
      <w:pPr>
        <w:ind w:left="6480" w:hanging="360"/>
      </w:pPr>
      <w:rPr>
        <w:rFonts w:ascii="Wingdings" w:hAnsi="Wingdings" w:hint="default"/>
      </w:rPr>
    </w:lvl>
  </w:abstractNum>
  <w:abstractNum w:abstractNumId="13" w15:restartNumberingAfterBreak="0">
    <w:nsid w:val="2CAF6F66"/>
    <w:multiLevelType w:val="hybridMultilevel"/>
    <w:tmpl w:val="88E673D8"/>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FAF0505"/>
    <w:multiLevelType w:val="hybridMultilevel"/>
    <w:tmpl w:val="5CF0E6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6117E0"/>
    <w:multiLevelType w:val="hybridMultilevel"/>
    <w:tmpl w:val="52702C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8CE065A"/>
    <w:multiLevelType w:val="hybridMultilevel"/>
    <w:tmpl w:val="17A20076"/>
    <w:lvl w:ilvl="0" w:tplc="CED43328">
      <w:numFmt w:val="bullet"/>
      <w:lvlText w:val="-"/>
      <w:lvlJc w:val="left"/>
      <w:pPr>
        <w:ind w:left="360" w:hanging="360"/>
      </w:pPr>
      <w:rPr>
        <w:rFonts w:ascii="Calibri" w:eastAsiaTheme="minorHAnsi" w:hAnsi="Calibri" w:cs="Calibri" w:hint="default"/>
        <w:color w:val="000000"/>
        <w:sz w:val="27"/>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D4E0986"/>
    <w:multiLevelType w:val="hybridMultilevel"/>
    <w:tmpl w:val="90F45DB2"/>
    <w:lvl w:ilvl="0" w:tplc="2E783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2098"/>
    <w:multiLevelType w:val="hybridMultilevel"/>
    <w:tmpl w:val="DB68CA08"/>
    <w:lvl w:ilvl="0" w:tplc="2CC6EBB8">
      <w:start w:val="1"/>
      <w:numFmt w:val="decimal"/>
      <w:lvlText w:val="%1."/>
      <w:lvlJc w:val="left"/>
      <w:pPr>
        <w:ind w:left="1080" w:hanging="360"/>
      </w:pPr>
      <w:rPr>
        <w:rFonts w:hint="default"/>
        <w:sz w:val="36"/>
        <w:szCs w:val="36"/>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4163333D"/>
    <w:multiLevelType w:val="hybridMultilevel"/>
    <w:tmpl w:val="DE38B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A20456"/>
    <w:multiLevelType w:val="hybridMultilevel"/>
    <w:tmpl w:val="0F98BC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9DA7B69"/>
    <w:multiLevelType w:val="hybridMultilevel"/>
    <w:tmpl w:val="3D78B29C"/>
    <w:lvl w:ilvl="0" w:tplc="B36E0854">
      <w:start w:val="1"/>
      <w:numFmt w:val="bullet"/>
      <w:lvlText w:val="·"/>
      <w:lvlJc w:val="left"/>
      <w:pPr>
        <w:ind w:left="720" w:hanging="360"/>
      </w:pPr>
      <w:rPr>
        <w:rFonts w:ascii="Symbol" w:hAnsi="Symbol" w:hint="default"/>
      </w:rPr>
    </w:lvl>
    <w:lvl w:ilvl="1" w:tplc="F78A14E8">
      <w:start w:val="1"/>
      <w:numFmt w:val="bullet"/>
      <w:lvlText w:val="o"/>
      <w:lvlJc w:val="left"/>
      <w:pPr>
        <w:ind w:left="1440" w:hanging="360"/>
      </w:pPr>
      <w:rPr>
        <w:rFonts w:ascii="Courier New" w:hAnsi="Courier New" w:hint="default"/>
      </w:rPr>
    </w:lvl>
    <w:lvl w:ilvl="2" w:tplc="6BA297B6">
      <w:start w:val="1"/>
      <w:numFmt w:val="bullet"/>
      <w:lvlText w:val=""/>
      <w:lvlJc w:val="left"/>
      <w:pPr>
        <w:ind w:left="2160" w:hanging="360"/>
      </w:pPr>
      <w:rPr>
        <w:rFonts w:ascii="Wingdings" w:hAnsi="Wingdings" w:hint="default"/>
      </w:rPr>
    </w:lvl>
    <w:lvl w:ilvl="3" w:tplc="BB3A1760">
      <w:start w:val="1"/>
      <w:numFmt w:val="bullet"/>
      <w:lvlText w:val=""/>
      <w:lvlJc w:val="left"/>
      <w:pPr>
        <w:ind w:left="2880" w:hanging="360"/>
      </w:pPr>
      <w:rPr>
        <w:rFonts w:ascii="Symbol" w:hAnsi="Symbol" w:hint="default"/>
      </w:rPr>
    </w:lvl>
    <w:lvl w:ilvl="4" w:tplc="14F8AB00">
      <w:start w:val="1"/>
      <w:numFmt w:val="bullet"/>
      <w:lvlText w:val="o"/>
      <w:lvlJc w:val="left"/>
      <w:pPr>
        <w:ind w:left="3600" w:hanging="360"/>
      </w:pPr>
      <w:rPr>
        <w:rFonts w:ascii="Courier New" w:hAnsi="Courier New" w:hint="default"/>
      </w:rPr>
    </w:lvl>
    <w:lvl w:ilvl="5" w:tplc="A8101942">
      <w:start w:val="1"/>
      <w:numFmt w:val="bullet"/>
      <w:lvlText w:val=""/>
      <w:lvlJc w:val="left"/>
      <w:pPr>
        <w:ind w:left="4320" w:hanging="360"/>
      </w:pPr>
      <w:rPr>
        <w:rFonts w:ascii="Wingdings" w:hAnsi="Wingdings" w:hint="default"/>
      </w:rPr>
    </w:lvl>
    <w:lvl w:ilvl="6" w:tplc="7280F69A">
      <w:start w:val="1"/>
      <w:numFmt w:val="bullet"/>
      <w:lvlText w:val=""/>
      <w:lvlJc w:val="left"/>
      <w:pPr>
        <w:ind w:left="5040" w:hanging="360"/>
      </w:pPr>
      <w:rPr>
        <w:rFonts w:ascii="Symbol" w:hAnsi="Symbol" w:hint="default"/>
      </w:rPr>
    </w:lvl>
    <w:lvl w:ilvl="7" w:tplc="11683416">
      <w:start w:val="1"/>
      <w:numFmt w:val="bullet"/>
      <w:lvlText w:val="o"/>
      <w:lvlJc w:val="left"/>
      <w:pPr>
        <w:ind w:left="5760" w:hanging="360"/>
      </w:pPr>
      <w:rPr>
        <w:rFonts w:ascii="Courier New" w:hAnsi="Courier New" w:hint="default"/>
      </w:rPr>
    </w:lvl>
    <w:lvl w:ilvl="8" w:tplc="79ECC810">
      <w:start w:val="1"/>
      <w:numFmt w:val="bullet"/>
      <w:lvlText w:val=""/>
      <w:lvlJc w:val="left"/>
      <w:pPr>
        <w:ind w:left="6480" w:hanging="360"/>
      </w:pPr>
      <w:rPr>
        <w:rFonts w:ascii="Wingdings" w:hAnsi="Wingdings" w:hint="default"/>
      </w:rPr>
    </w:lvl>
  </w:abstractNum>
  <w:abstractNum w:abstractNumId="22" w15:restartNumberingAfterBreak="0">
    <w:nsid w:val="59CB0144"/>
    <w:multiLevelType w:val="hybridMultilevel"/>
    <w:tmpl w:val="2B92CFF4"/>
    <w:lvl w:ilvl="0" w:tplc="6D18890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F4A6B71"/>
    <w:multiLevelType w:val="hybridMultilevel"/>
    <w:tmpl w:val="1BDE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75564D"/>
    <w:multiLevelType w:val="hybridMultilevel"/>
    <w:tmpl w:val="142C5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1367F1"/>
    <w:multiLevelType w:val="hybridMultilevel"/>
    <w:tmpl w:val="B7A493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AB874A9"/>
    <w:multiLevelType w:val="hybridMultilevel"/>
    <w:tmpl w:val="8DF6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C6781"/>
    <w:multiLevelType w:val="hybridMultilevel"/>
    <w:tmpl w:val="DB062860"/>
    <w:lvl w:ilvl="0" w:tplc="30BC0216">
      <w:start w:val="1"/>
      <w:numFmt w:val="decimal"/>
      <w:lvlText w:val="%1."/>
      <w:lvlJc w:val="left"/>
      <w:pPr>
        <w:ind w:left="720" w:hanging="360"/>
      </w:pPr>
    </w:lvl>
    <w:lvl w:ilvl="1" w:tplc="725E0626">
      <w:start w:val="1"/>
      <w:numFmt w:val="lowerLetter"/>
      <w:lvlText w:val="%2."/>
      <w:lvlJc w:val="left"/>
      <w:pPr>
        <w:ind w:left="1440" w:hanging="360"/>
      </w:pPr>
    </w:lvl>
    <w:lvl w:ilvl="2" w:tplc="42180500">
      <w:start w:val="1"/>
      <w:numFmt w:val="lowerRoman"/>
      <w:lvlText w:val="%3."/>
      <w:lvlJc w:val="right"/>
      <w:pPr>
        <w:ind w:left="2160" w:hanging="180"/>
      </w:pPr>
    </w:lvl>
    <w:lvl w:ilvl="3" w:tplc="4C7EF13A">
      <w:start w:val="1"/>
      <w:numFmt w:val="decimal"/>
      <w:lvlText w:val="%4."/>
      <w:lvlJc w:val="left"/>
      <w:pPr>
        <w:ind w:left="2880" w:hanging="360"/>
      </w:pPr>
    </w:lvl>
    <w:lvl w:ilvl="4" w:tplc="CFA21212">
      <w:start w:val="1"/>
      <w:numFmt w:val="lowerLetter"/>
      <w:lvlText w:val="%5."/>
      <w:lvlJc w:val="left"/>
      <w:pPr>
        <w:ind w:left="3600" w:hanging="360"/>
      </w:pPr>
    </w:lvl>
    <w:lvl w:ilvl="5" w:tplc="B052B8C6">
      <w:start w:val="1"/>
      <w:numFmt w:val="lowerRoman"/>
      <w:lvlText w:val="%6."/>
      <w:lvlJc w:val="right"/>
      <w:pPr>
        <w:ind w:left="4320" w:hanging="180"/>
      </w:pPr>
    </w:lvl>
    <w:lvl w:ilvl="6" w:tplc="22C424BC">
      <w:start w:val="1"/>
      <w:numFmt w:val="decimal"/>
      <w:lvlText w:val="%7."/>
      <w:lvlJc w:val="left"/>
      <w:pPr>
        <w:ind w:left="5040" w:hanging="360"/>
      </w:pPr>
    </w:lvl>
    <w:lvl w:ilvl="7" w:tplc="A3DCD8B8">
      <w:start w:val="1"/>
      <w:numFmt w:val="lowerLetter"/>
      <w:lvlText w:val="%8."/>
      <w:lvlJc w:val="left"/>
      <w:pPr>
        <w:ind w:left="5760" w:hanging="360"/>
      </w:pPr>
    </w:lvl>
    <w:lvl w:ilvl="8" w:tplc="92E8649E">
      <w:start w:val="1"/>
      <w:numFmt w:val="lowerRoman"/>
      <w:lvlText w:val="%9."/>
      <w:lvlJc w:val="right"/>
      <w:pPr>
        <w:ind w:left="6480" w:hanging="180"/>
      </w:pPr>
    </w:lvl>
  </w:abstractNum>
  <w:abstractNum w:abstractNumId="28" w15:restartNumberingAfterBreak="0">
    <w:nsid w:val="716F7940"/>
    <w:multiLevelType w:val="hybridMultilevel"/>
    <w:tmpl w:val="B4B28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81512F6"/>
    <w:multiLevelType w:val="hybridMultilevel"/>
    <w:tmpl w:val="32AE85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02089480">
    <w:abstractNumId w:val="18"/>
  </w:num>
  <w:num w:numId="2" w16cid:durableId="109201951">
    <w:abstractNumId w:val="6"/>
  </w:num>
  <w:num w:numId="3" w16cid:durableId="668406258">
    <w:abstractNumId w:val="17"/>
  </w:num>
  <w:num w:numId="4" w16cid:durableId="1435399217">
    <w:abstractNumId w:val="21"/>
  </w:num>
  <w:num w:numId="5" w16cid:durableId="1602763950">
    <w:abstractNumId w:val="12"/>
  </w:num>
  <w:num w:numId="6" w16cid:durableId="1055277830">
    <w:abstractNumId w:val="27"/>
  </w:num>
  <w:num w:numId="7" w16cid:durableId="183787719">
    <w:abstractNumId w:val="0"/>
  </w:num>
  <w:num w:numId="8" w16cid:durableId="129058923">
    <w:abstractNumId w:val="5"/>
  </w:num>
  <w:num w:numId="9" w16cid:durableId="2002928695">
    <w:abstractNumId w:val="22"/>
  </w:num>
  <w:num w:numId="10" w16cid:durableId="1097870074">
    <w:abstractNumId w:val="8"/>
  </w:num>
  <w:num w:numId="11" w16cid:durableId="186065994">
    <w:abstractNumId w:val="11"/>
  </w:num>
  <w:num w:numId="12" w16cid:durableId="930042938">
    <w:abstractNumId w:val="24"/>
  </w:num>
  <w:num w:numId="13" w16cid:durableId="1157645285">
    <w:abstractNumId w:val="26"/>
  </w:num>
  <w:num w:numId="14" w16cid:durableId="260799540">
    <w:abstractNumId w:val="7"/>
  </w:num>
  <w:num w:numId="15" w16cid:durableId="2048991228">
    <w:abstractNumId w:val="23"/>
  </w:num>
  <w:num w:numId="16" w16cid:durableId="817377055">
    <w:abstractNumId w:val="3"/>
  </w:num>
  <w:num w:numId="17" w16cid:durableId="14699493">
    <w:abstractNumId w:val="16"/>
  </w:num>
  <w:num w:numId="18" w16cid:durableId="1023896432">
    <w:abstractNumId w:val="28"/>
  </w:num>
  <w:num w:numId="19" w16cid:durableId="176508644">
    <w:abstractNumId w:val="1"/>
  </w:num>
  <w:num w:numId="20" w16cid:durableId="1940260702">
    <w:abstractNumId w:val="19"/>
  </w:num>
  <w:num w:numId="21" w16cid:durableId="1662587764">
    <w:abstractNumId w:val="29"/>
  </w:num>
  <w:num w:numId="22" w16cid:durableId="1261913400">
    <w:abstractNumId w:val="14"/>
  </w:num>
  <w:num w:numId="23" w16cid:durableId="2068794771">
    <w:abstractNumId w:val="20"/>
  </w:num>
  <w:num w:numId="24" w16cid:durableId="1612513330">
    <w:abstractNumId w:val="15"/>
  </w:num>
  <w:num w:numId="25" w16cid:durableId="603928888">
    <w:abstractNumId w:val="25"/>
  </w:num>
  <w:num w:numId="26" w16cid:durableId="2031878504">
    <w:abstractNumId w:val="10"/>
  </w:num>
  <w:num w:numId="27" w16cid:durableId="356857752">
    <w:abstractNumId w:val="2"/>
  </w:num>
  <w:num w:numId="28" w16cid:durableId="388067336">
    <w:abstractNumId w:val="9"/>
  </w:num>
  <w:num w:numId="29" w16cid:durableId="975796206">
    <w:abstractNumId w:val="13"/>
  </w:num>
  <w:num w:numId="30" w16cid:durableId="97557313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F9"/>
    <w:rsid w:val="0000006D"/>
    <w:rsid w:val="000009F4"/>
    <w:rsid w:val="000013F9"/>
    <w:rsid w:val="000014F6"/>
    <w:rsid w:val="000015A1"/>
    <w:rsid w:val="000020CF"/>
    <w:rsid w:val="000020DE"/>
    <w:rsid w:val="00002637"/>
    <w:rsid w:val="0000291E"/>
    <w:rsid w:val="00002ABD"/>
    <w:rsid w:val="00002E9E"/>
    <w:rsid w:val="000030E7"/>
    <w:rsid w:val="00004B55"/>
    <w:rsid w:val="00005062"/>
    <w:rsid w:val="00005246"/>
    <w:rsid w:val="00006098"/>
    <w:rsid w:val="0000695E"/>
    <w:rsid w:val="00006CA1"/>
    <w:rsid w:val="0000707C"/>
    <w:rsid w:val="0000734D"/>
    <w:rsid w:val="00007745"/>
    <w:rsid w:val="00007AC7"/>
    <w:rsid w:val="00010AB0"/>
    <w:rsid w:val="00010DF7"/>
    <w:rsid w:val="00011C5E"/>
    <w:rsid w:val="00011EEF"/>
    <w:rsid w:val="00012604"/>
    <w:rsid w:val="00012813"/>
    <w:rsid w:val="00012F3B"/>
    <w:rsid w:val="00013822"/>
    <w:rsid w:val="0001476A"/>
    <w:rsid w:val="000151B0"/>
    <w:rsid w:val="00015DDF"/>
    <w:rsid w:val="0001693E"/>
    <w:rsid w:val="0001722B"/>
    <w:rsid w:val="000174D2"/>
    <w:rsid w:val="00017BBC"/>
    <w:rsid w:val="00017C2E"/>
    <w:rsid w:val="000200F0"/>
    <w:rsid w:val="0002072D"/>
    <w:rsid w:val="00020823"/>
    <w:rsid w:val="000210ED"/>
    <w:rsid w:val="00021894"/>
    <w:rsid w:val="00022B7E"/>
    <w:rsid w:val="0002316E"/>
    <w:rsid w:val="00025200"/>
    <w:rsid w:val="00025528"/>
    <w:rsid w:val="00026BE3"/>
    <w:rsid w:val="000303E4"/>
    <w:rsid w:val="0003076C"/>
    <w:rsid w:val="00031A9D"/>
    <w:rsid w:val="00031AFE"/>
    <w:rsid w:val="00033225"/>
    <w:rsid w:val="00033537"/>
    <w:rsid w:val="00033D94"/>
    <w:rsid w:val="00034164"/>
    <w:rsid w:val="00034AE8"/>
    <w:rsid w:val="00034C5E"/>
    <w:rsid w:val="00035D71"/>
    <w:rsid w:val="00036353"/>
    <w:rsid w:val="000365E9"/>
    <w:rsid w:val="000365ED"/>
    <w:rsid w:val="00036795"/>
    <w:rsid w:val="00036BD3"/>
    <w:rsid w:val="00036FEF"/>
    <w:rsid w:val="00037346"/>
    <w:rsid w:val="00040221"/>
    <w:rsid w:val="00041640"/>
    <w:rsid w:val="00041C53"/>
    <w:rsid w:val="00041CC4"/>
    <w:rsid w:val="000425BF"/>
    <w:rsid w:val="000425C1"/>
    <w:rsid w:val="00042CEB"/>
    <w:rsid w:val="00042E56"/>
    <w:rsid w:val="0004314C"/>
    <w:rsid w:val="0004344B"/>
    <w:rsid w:val="00043899"/>
    <w:rsid w:val="000438E5"/>
    <w:rsid w:val="000446B2"/>
    <w:rsid w:val="000446F2"/>
    <w:rsid w:val="0004470C"/>
    <w:rsid w:val="00045156"/>
    <w:rsid w:val="00046420"/>
    <w:rsid w:val="0004651A"/>
    <w:rsid w:val="00047872"/>
    <w:rsid w:val="00047874"/>
    <w:rsid w:val="00047BEB"/>
    <w:rsid w:val="00051405"/>
    <w:rsid w:val="000519C6"/>
    <w:rsid w:val="0005223D"/>
    <w:rsid w:val="000525C4"/>
    <w:rsid w:val="00052941"/>
    <w:rsid w:val="00052E43"/>
    <w:rsid w:val="000545DB"/>
    <w:rsid w:val="00054A20"/>
    <w:rsid w:val="00054D20"/>
    <w:rsid w:val="00054DBB"/>
    <w:rsid w:val="00056042"/>
    <w:rsid w:val="00056555"/>
    <w:rsid w:val="0005691B"/>
    <w:rsid w:val="00060064"/>
    <w:rsid w:val="00060557"/>
    <w:rsid w:val="00060579"/>
    <w:rsid w:val="00060853"/>
    <w:rsid w:val="00061C3A"/>
    <w:rsid w:val="00062433"/>
    <w:rsid w:val="00063AE4"/>
    <w:rsid w:val="00063F5A"/>
    <w:rsid w:val="00063FB7"/>
    <w:rsid w:val="0006406D"/>
    <w:rsid w:val="0006410A"/>
    <w:rsid w:val="00064724"/>
    <w:rsid w:val="00064AD3"/>
    <w:rsid w:val="00064F4A"/>
    <w:rsid w:val="00065FF6"/>
    <w:rsid w:val="00066793"/>
    <w:rsid w:val="000667B0"/>
    <w:rsid w:val="00066A9F"/>
    <w:rsid w:val="00066DAE"/>
    <w:rsid w:val="00066F44"/>
    <w:rsid w:val="000701BE"/>
    <w:rsid w:val="00070975"/>
    <w:rsid w:val="00070BF6"/>
    <w:rsid w:val="00071737"/>
    <w:rsid w:val="000724CB"/>
    <w:rsid w:val="00072576"/>
    <w:rsid w:val="00073791"/>
    <w:rsid w:val="00074401"/>
    <w:rsid w:val="0007471B"/>
    <w:rsid w:val="00074D9E"/>
    <w:rsid w:val="00075A94"/>
    <w:rsid w:val="00075BCD"/>
    <w:rsid w:val="00075D6C"/>
    <w:rsid w:val="0007636A"/>
    <w:rsid w:val="00077519"/>
    <w:rsid w:val="00077564"/>
    <w:rsid w:val="0007761D"/>
    <w:rsid w:val="00077A16"/>
    <w:rsid w:val="00077F3D"/>
    <w:rsid w:val="00081256"/>
    <w:rsid w:val="00081507"/>
    <w:rsid w:val="00081540"/>
    <w:rsid w:val="00081A60"/>
    <w:rsid w:val="00082DE4"/>
    <w:rsid w:val="000846BE"/>
    <w:rsid w:val="00084CF0"/>
    <w:rsid w:val="00086678"/>
    <w:rsid w:val="00087D9C"/>
    <w:rsid w:val="00090A81"/>
    <w:rsid w:val="0009113D"/>
    <w:rsid w:val="000918D0"/>
    <w:rsid w:val="00091CE6"/>
    <w:rsid w:val="00092070"/>
    <w:rsid w:val="00092DA3"/>
    <w:rsid w:val="000939DF"/>
    <w:rsid w:val="00094EA9"/>
    <w:rsid w:val="00094EDB"/>
    <w:rsid w:val="00095EAC"/>
    <w:rsid w:val="00096005"/>
    <w:rsid w:val="00096959"/>
    <w:rsid w:val="00096BEF"/>
    <w:rsid w:val="0009708E"/>
    <w:rsid w:val="000972EC"/>
    <w:rsid w:val="0009769C"/>
    <w:rsid w:val="000976F0"/>
    <w:rsid w:val="00097794"/>
    <w:rsid w:val="000977F1"/>
    <w:rsid w:val="000A00CC"/>
    <w:rsid w:val="000A16FE"/>
    <w:rsid w:val="000A198E"/>
    <w:rsid w:val="000A1C6C"/>
    <w:rsid w:val="000A2033"/>
    <w:rsid w:val="000A21E7"/>
    <w:rsid w:val="000A35EF"/>
    <w:rsid w:val="000A5E3E"/>
    <w:rsid w:val="000A657C"/>
    <w:rsid w:val="000A6686"/>
    <w:rsid w:val="000A68DF"/>
    <w:rsid w:val="000A7684"/>
    <w:rsid w:val="000A78E0"/>
    <w:rsid w:val="000B01F1"/>
    <w:rsid w:val="000B08E1"/>
    <w:rsid w:val="000B2235"/>
    <w:rsid w:val="000B451D"/>
    <w:rsid w:val="000B46D5"/>
    <w:rsid w:val="000B477D"/>
    <w:rsid w:val="000B4A85"/>
    <w:rsid w:val="000B4CA3"/>
    <w:rsid w:val="000B4CA6"/>
    <w:rsid w:val="000B525E"/>
    <w:rsid w:val="000B5952"/>
    <w:rsid w:val="000B5C8F"/>
    <w:rsid w:val="000B6C16"/>
    <w:rsid w:val="000B7755"/>
    <w:rsid w:val="000C0A39"/>
    <w:rsid w:val="000C0D84"/>
    <w:rsid w:val="000C1B5C"/>
    <w:rsid w:val="000C1BBC"/>
    <w:rsid w:val="000C436E"/>
    <w:rsid w:val="000C43E8"/>
    <w:rsid w:val="000C461C"/>
    <w:rsid w:val="000C5A2E"/>
    <w:rsid w:val="000C6C8F"/>
    <w:rsid w:val="000D0B6F"/>
    <w:rsid w:val="000D2DAD"/>
    <w:rsid w:val="000D322B"/>
    <w:rsid w:val="000D4069"/>
    <w:rsid w:val="000D42E4"/>
    <w:rsid w:val="000D436E"/>
    <w:rsid w:val="000D458E"/>
    <w:rsid w:val="000D462C"/>
    <w:rsid w:val="000D4C82"/>
    <w:rsid w:val="000D5FFF"/>
    <w:rsid w:val="000D652A"/>
    <w:rsid w:val="000D7492"/>
    <w:rsid w:val="000D7C27"/>
    <w:rsid w:val="000D7E36"/>
    <w:rsid w:val="000D7E70"/>
    <w:rsid w:val="000E13D0"/>
    <w:rsid w:val="000E15A2"/>
    <w:rsid w:val="000E1908"/>
    <w:rsid w:val="000E1E97"/>
    <w:rsid w:val="000E20CF"/>
    <w:rsid w:val="000E213B"/>
    <w:rsid w:val="000E26E3"/>
    <w:rsid w:val="000E2ED6"/>
    <w:rsid w:val="000E3567"/>
    <w:rsid w:val="000E3F17"/>
    <w:rsid w:val="000E40DC"/>
    <w:rsid w:val="000E4139"/>
    <w:rsid w:val="000E41D0"/>
    <w:rsid w:val="000E43EB"/>
    <w:rsid w:val="000E4844"/>
    <w:rsid w:val="000E4892"/>
    <w:rsid w:val="000E4C6F"/>
    <w:rsid w:val="000E5BD2"/>
    <w:rsid w:val="000E624D"/>
    <w:rsid w:val="000E6E4B"/>
    <w:rsid w:val="000E6E72"/>
    <w:rsid w:val="000E78FE"/>
    <w:rsid w:val="000F0082"/>
    <w:rsid w:val="000F05F7"/>
    <w:rsid w:val="000F0C96"/>
    <w:rsid w:val="000F0E6E"/>
    <w:rsid w:val="000F0FDC"/>
    <w:rsid w:val="000F1965"/>
    <w:rsid w:val="000F20F2"/>
    <w:rsid w:val="000F47F3"/>
    <w:rsid w:val="000F5AD3"/>
    <w:rsid w:val="000F69F8"/>
    <w:rsid w:val="000F6AEB"/>
    <w:rsid w:val="000F6C89"/>
    <w:rsid w:val="000F7605"/>
    <w:rsid w:val="001000AF"/>
    <w:rsid w:val="00100B46"/>
    <w:rsid w:val="001012B6"/>
    <w:rsid w:val="00101636"/>
    <w:rsid w:val="00101990"/>
    <w:rsid w:val="00102C81"/>
    <w:rsid w:val="001031B5"/>
    <w:rsid w:val="00103D60"/>
    <w:rsid w:val="0010421F"/>
    <w:rsid w:val="00105354"/>
    <w:rsid w:val="00105401"/>
    <w:rsid w:val="0010623F"/>
    <w:rsid w:val="00106381"/>
    <w:rsid w:val="00106CEA"/>
    <w:rsid w:val="001074A6"/>
    <w:rsid w:val="001109C7"/>
    <w:rsid w:val="00110CC7"/>
    <w:rsid w:val="00110D52"/>
    <w:rsid w:val="00110D55"/>
    <w:rsid w:val="00111BD6"/>
    <w:rsid w:val="00111F32"/>
    <w:rsid w:val="0011237A"/>
    <w:rsid w:val="0011285B"/>
    <w:rsid w:val="00113749"/>
    <w:rsid w:val="001147CD"/>
    <w:rsid w:val="001147F6"/>
    <w:rsid w:val="00114C9A"/>
    <w:rsid w:val="00114E1C"/>
    <w:rsid w:val="001156D6"/>
    <w:rsid w:val="00115A54"/>
    <w:rsid w:val="00116575"/>
    <w:rsid w:val="00116CB2"/>
    <w:rsid w:val="00117246"/>
    <w:rsid w:val="00117524"/>
    <w:rsid w:val="00117730"/>
    <w:rsid w:val="00117FE9"/>
    <w:rsid w:val="001208F4"/>
    <w:rsid w:val="00120E78"/>
    <w:rsid w:val="00121779"/>
    <w:rsid w:val="00121B4A"/>
    <w:rsid w:val="00121BFD"/>
    <w:rsid w:val="00121C95"/>
    <w:rsid w:val="00122517"/>
    <w:rsid w:val="0012306C"/>
    <w:rsid w:val="001230B2"/>
    <w:rsid w:val="00124CC6"/>
    <w:rsid w:val="001250C5"/>
    <w:rsid w:val="001253FB"/>
    <w:rsid w:val="00125A09"/>
    <w:rsid w:val="00125C2D"/>
    <w:rsid w:val="00126024"/>
    <w:rsid w:val="00126BDD"/>
    <w:rsid w:val="00127ADC"/>
    <w:rsid w:val="00130152"/>
    <w:rsid w:val="0013028D"/>
    <w:rsid w:val="0013032A"/>
    <w:rsid w:val="00130D22"/>
    <w:rsid w:val="001320E9"/>
    <w:rsid w:val="00133533"/>
    <w:rsid w:val="00133D5F"/>
    <w:rsid w:val="00133E6F"/>
    <w:rsid w:val="00133EB8"/>
    <w:rsid w:val="00133EF5"/>
    <w:rsid w:val="00133FF8"/>
    <w:rsid w:val="0013470E"/>
    <w:rsid w:val="00134A96"/>
    <w:rsid w:val="00134E8D"/>
    <w:rsid w:val="00135333"/>
    <w:rsid w:val="00136A54"/>
    <w:rsid w:val="00136C1E"/>
    <w:rsid w:val="00137AFF"/>
    <w:rsid w:val="00137E11"/>
    <w:rsid w:val="001401B0"/>
    <w:rsid w:val="001404BF"/>
    <w:rsid w:val="00140A20"/>
    <w:rsid w:val="00140C3B"/>
    <w:rsid w:val="00140CE7"/>
    <w:rsid w:val="00141572"/>
    <w:rsid w:val="00141D14"/>
    <w:rsid w:val="0014347F"/>
    <w:rsid w:val="0014361B"/>
    <w:rsid w:val="00143C73"/>
    <w:rsid w:val="00144223"/>
    <w:rsid w:val="00145A99"/>
    <w:rsid w:val="001467AA"/>
    <w:rsid w:val="00147BBA"/>
    <w:rsid w:val="00147D12"/>
    <w:rsid w:val="0015077F"/>
    <w:rsid w:val="001514DE"/>
    <w:rsid w:val="00151DAC"/>
    <w:rsid w:val="00152357"/>
    <w:rsid w:val="00152DA4"/>
    <w:rsid w:val="00154747"/>
    <w:rsid w:val="001547B8"/>
    <w:rsid w:val="00154944"/>
    <w:rsid w:val="00154B66"/>
    <w:rsid w:val="00155C50"/>
    <w:rsid w:val="00155E78"/>
    <w:rsid w:val="00155FCB"/>
    <w:rsid w:val="00160290"/>
    <w:rsid w:val="00160463"/>
    <w:rsid w:val="0016073F"/>
    <w:rsid w:val="00160A30"/>
    <w:rsid w:val="00160F9B"/>
    <w:rsid w:val="001616C4"/>
    <w:rsid w:val="00163929"/>
    <w:rsid w:val="00164473"/>
    <w:rsid w:val="00164C48"/>
    <w:rsid w:val="001651DA"/>
    <w:rsid w:val="001654EF"/>
    <w:rsid w:val="00165F25"/>
    <w:rsid w:val="0016609E"/>
    <w:rsid w:val="001716D9"/>
    <w:rsid w:val="00171B95"/>
    <w:rsid w:val="00171EB2"/>
    <w:rsid w:val="001722DF"/>
    <w:rsid w:val="00172723"/>
    <w:rsid w:val="00172955"/>
    <w:rsid w:val="00173084"/>
    <w:rsid w:val="0017310B"/>
    <w:rsid w:val="001739C8"/>
    <w:rsid w:val="0017440A"/>
    <w:rsid w:val="001747EB"/>
    <w:rsid w:val="00174C62"/>
    <w:rsid w:val="001755B0"/>
    <w:rsid w:val="001764A4"/>
    <w:rsid w:val="001764D5"/>
    <w:rsid w:val="00177539"/>
    <w:rsid w:val="001803BF"/>
    <w:rsid w:val="00180436"/>
    <w:rsid w:val="00180D2D"/>
    <w:rsid w:val="00180D8A"/>
    <w:rsid w:val="00180E54"/>
    <w:rsid w:val="0018109C"/>
    <w:rsid w:val="0018137C"/>
    <w:rsid w:val="00182605"/>
    <w:rsid w:val="00183A94"/>
    <w:rsid w:val="00183BBE"/>
    <w:rsid w:val="0018420D"/>
    <w:rsid w:val="001843B7"/>
    <w:rsid w:val="00184CB0"/>
    <w:rsid w:val="001863D2"/>
    <w:rsid w:val="00187B96"/>
    <w:rsid w:val="00187F73"/>
    <w:rsid w:val="001909C9"/>
    <w:rsid w:val="00190F47"/>
    <w:rsid w:val="00191799"/>
    <w:rsid w:val="00191CC7"/>
    <w:rsid w:val="0019244B"/>
    <w:rsid w:val="00193943"/>
    <w:rsid w:val="0019406A"/>
    <w:rsid w:val="0019426A"/>
    <w:rsid w:val="001942B1"/>
    <w:rsid w:val="00194BB7"/>
    <w:rsid w:val="00195587"/>
    <w:rsid w:val="00196916"/>
    <w:rsid w:val="001A10AB"/>
    <w:rsid w:val="001A10B9"/>
    <w:rsid w:val="001A38D8"/>
    <w:rsid w:val="001A3982"/>
    <w:rsid w:val="001A49EE"/>
    <w:rsid w:val="001A50F8"/>
    <w:rsid w:val="001A5831"/>
    <w:rsid w:val="001A5E81"/>
    <w:rsid w:val="001A5FCE"/>
    <w:rsid w:val="001A6821"/>
    <w:rsid w:val="001A7407"/>
    <w:rsid w:val="001A79D9"/>
    <w:rsid w:val="001B367C"/>
    <w:rsid w:val="001B386E"/>
    <w:rsid w:val="001B3FE9"/>
    <w:rsid w:val="001B4348"/>
    <w:rsid w:val="001B6157"/>
    <w:rsid w:val="001B6FFC"/>
    <w:rsid w:val="001B78DA"/>
    <w:rsid w:val="001C03C7"/>
    <w:rsid w:val="001C0496"/>
    <w:rsid w:val="001C0674"/>
    <w:rsid w:val="001C0959"/>
    <w:rsid w:val="001C2BC8"/>
    <w:rsid w:val="001C2DCA"/>
    <w:rsid w:val="001C4198"/>
    <w:rsid w:val="001C41A7"/>
    <w:rsid w:val="001C4311"/>
    <w:rsid w:val="001C59EB"/>
    <w:rsid w:val="001C6BCB"/>
    <w:rsid w:val="001C7329"/>
    <w:rsid w:val="001C73EA"/>
    <w:rsid w:val="001C7728"/>
    <w:rsid w:val="001D17B8"/>
    <w:rsid w:val="001D1C0D"/>
    <w:rsid w:val="001D1E53"/>
    <w:rsid w:val="001D2105"/>
    <w:rsid w:val="001D287C"/>
    <w:rsid w:val="001D3837"/>
    <w:rsid w:val="001D3A82"/>
    <w:rsid w:val="001D3FFE"/>
    <w:rsid w:val="001D43E8"/>
    <w:rsid w:val="001D5FBF"/>
    <w:rsid w:val="001D67C4"/>
    <w:rsid w:val="001D7BB5"/>
    <w:rsid w:val="001D7C83"/>
    <w:rsid w:val="001E07C2"/>
    <w:rsid w:val="001E100A"/>
    <w:rsid w:val="001E2931"/>
    <w:rsid w:val="001E39AC"/>
    <w:rsid w:val="001E502A"/>
    <w:rsid w:val="001E5558"/>
    <w:rsid w:val="001E5839"/>
    <w:rsid w:val="001E69A8"/>
    <w:rsid w:val="001E6EE2"/>
    <w:rsid w:val="001E7194"/>
    <w:rsid w:val="001F0559"/>
    <w:rsid w:val="001F0C5C"/>
    <w:rsid w:val="001F10CE"/>
    <w:rsid w:val="001F23AE"/>
    <w:rsid w:val="001F2B22"/>
    <w:rsid w:val="001F3985"/>
    <w:rsid w:val="001F4508"/>
    <w:rsid w:val="001F450B"/>
    <w:rsid w:val="001F4F1A"/>
    <w:rsid w:val="001F5011"/>
    <w:rsid w:val="001F60A2"/>
    <w:rsid w:val="001F66D1"/>
    <w:rsid w:val="001F72C2"/>
    <w:rsid w:val="00201343"/>
    <w:rsid w:val="00201837"/>
    <w:rsid w:val="00202606"/>
    <w:rsid w:val="00202640"/>
    <w:rsid w:val="002026E3"/>
    <w:rsid w:val="00202D11"/>
    <w:rsid w:val="00202DAE"/>
    <w:rsid w:val="00203F83"/>
    <w:rsid w:val="00204B42"/>
    <w:rsid w:val="00204C36"/>
    <w:rsid w:val="002052D5"/>
    <w:rsid w:val="002059E6"/>
    <w:rsid w:val="002059FD"/>
    <w:rsid w:val="00205A34"/>
    <w:rsid w:val="0020640C"/>
    <w:rsid w:val="00207242"/>
    <w:rsid w:val="00207AED"/>
    <w:rsid w:val="00210A68"/>
    <w:rsid w:val="002111AC"/>
    <w:rsid w:val="0021158C"/>
    <w:rsid w:val="00211869"/>
    <w:rsid w:val="00211B8A"/>
    <w:rsid w:val="00212179"/>
    <w:rsid w:val="00212B5A"/>
    <w:rsid w:val="0021346A"/>
    <w:rsid w:val="002134B1"/>
    <w:rsid w:val="002134C8"/>
    <w:rsid w:val="00213FAA"/>
    <w:rsid w:val="002142A1"/>
    <w:rsid w:val="002151F5"/>
    <w:rsid w:val="0021575A"/>
    <w:rsid w:val="0021584F"/>
    <w:rsid w:val="0021599B"/>
    <w:rsid w:val="00216BAF"/>
    <w:rsid w:val="00216F7C"/>
    <w:rsid w:val="00216F7D"/>
    <w:rsid w:val="00217472"/>
    <w:rsid w:val="00220179"/>
    <w:rsid w:val="00220594"/>
    <w:rsid w:val="002207BD"/>
    <w:rsid w:val="002218E8"/>
    <w:rsid w:val="002238DF"/>
    <w:rsid w:val="00223B95"/>
    <w:rsid w:val="00224537"/>
    <w:rsid w:val="00224A75"/>
    <w:rsid w:val="00225010"/>
    <w:rsid w:val="00225430"/>
    <w:rsid w:val="002254AA"/>
    <w:rsid w:val="0022587C"/>
    <w:rsid w:val="00226D8C"/>
    <w:rsid w:val="00230046"/>
    <w:rsid w:val="002308A2"/>
    <w:rsid w:val="00231590"/>
    <w:rsid w:val="00232669"/>
    <w:rsid w:val="00232D88"/>
    <w:rsid w:val="002344BD"/>
    <w:rsid w:val="00235498"/>
    <w:rsid w:val="00235B0E"/>
    <w:rsid w:val="00235E7E"/>
    <w:rsid w:val="00237242"/>
    <w:rsid w:val="002376F9"/>
    <w:rsid w:val="00240300"/>
    <w:rsid w:val="002407A0"/>
    <w:rsid w:val="00240AC9"/>
    <w:rsid w:val="00242190"/>
    <w:rsid w:val="0024284E"/>
    <w:rsid w:val="00243184"/>
    <w:rsid w:val="00244DD3"/>
    <w:rsid w:val="002453A3"/>
    <w:rsid w:val="002458B3"/>
    <w:rsid w:val="00245BC3"/>
    <w:rsid w:val="00245C95"/>
    <w:rsid w:val="00246571"/>
    <w:rsid w:val="0024769F"/>
    <w:rsid w:val="00250043"/>
    <w:rsid w:val="00251537"/>
    <w:rsid w:val="00251D14"/>
    <w:rsid w:val="00252006"/>
    <w:rsid w:val="00253F20"/>
    <w:rsid w:val="00254283"/>
    <w:rsid w:val="00254637"/>
    <w:rsid w:val="00254E51"/>
    <w:rsid w:val="00254ECD"/>
    <w:rsid w:val="0025524E"/>
    <w:rsid w:val="00255708"/>
    <w:rsid w:val="00255F6C"/>
    <w:rsid w:val="00256126"/>
    <w:rsid w:val="00256B79"/>
    <w:rsid w:val="00260158"/>
    <w:rsid w:val="002606D9"/>
    <w:rsid w:val="002607EF"/>
    <w:rsid w:val="00260B9A"/>
    <w:rsid w:val="00260EAF"/>
    <w:rsid w:val="0026148A"/>
    <w:rsid w:val="002618F8"/>
    <w:rsid w:val="00262652"/>
    <w:rsid w:val="00262DB7"/>
    <w:rsid w:val="0026315F"/>
    <w:rsid w:val="00263BA2"/>
    <w:rsid w:val="00263CF8"/>
    <w:rsid w:val="00265DAA"/>
    <w:rsid w:val="002664DE"/>
    <w:rsid w:val="00266830"/>
    <w:rsid w:val="00266AA0"/>
    <w:rsid w:val="00266AAA"/>
    <w:rsid w:val="002703D1"/>
    <w:rsid w:val="00270DEF"/>
    <w:rsid w:val="00273423"/>
    <w:rsid w:val="00273488"/>
    <w:rsid w:val="002735FD"/>
    <w:rsid w:val="00273D23"/>
    <w:rsid w:val="002742F0"/>
    <w:rsid w:val="00275AFE"/>
    <w:rsid w:val="00275B4C"/>
    <w:rsid w:val="002760D7"/>
    <w:rsid w:val="002809EF"/>
    <w:rsid w:val="00280C08"/>
    <w:rsid w:val="00280C5D"/>
    <w:rsid w:val="00281399"/>
    <w:rsid w:val="002828B0"/>
    <w:rsid w:val="00282D16"/>
    <w:rsid w:val="00283129"/>
    <w:rsid w:val="00283EB5"/>
    <w:rsid w:val="002856AE"/>
    <w:rsid w:val="00285778"/>
    <w:rsid w:val="0028677B"/>
    <w:rsid w:val="00286903"/>
    <w:rsid w:val="00286BBC"/>
    <w:rsid w:val="00286ECC"/>
    <w:rsid w:val="002903F0"/>
    <w:rsid w:val="0029103F"/>
    <w:rsid w:val="002913FF"/>
    <w:rsid w:val="002916BF"/>
    <w:rsid w:val="002919E1"/>
    <w:rsid w:val="00292F9B"/>
    <w:rsid w:val="002931D7"/>
    <w:rsid w:val="00293818"/>
    <w:rsid w:val="002941ED"/>
    <w:rsid w:val="00294423"/>
    <w:rsid w:val="00295B8D"/>
    <w:rsid w:val="00296519"/>
    <w:rsid w:val="00296986"/>
    <w:rsid w:val="00297A27"/>
    <w:rsid w:val="002A0359"/>
    <w:rsid w:val="002A07A3"/>
    <w:rsid w:val="002A0E5C"/>
    <w:rsid w:val="002A10AE"/>
    <w:rsid w:val="002A11FF"/>
    <w:rsid w:val="002A1DA1"/>
    <w:rsid w:val="002A2F10"/>
    <w:rsid w:val="002A4151"/>
    <w:rsid w:val="002A4C3E"/>
    <w:rsid w:val="002A4F61"/>
    <w:rsid w:val="002A5721"/>
    <w:rsid w:val="002A5987"/>
    <w:rsid w:val="002A5AFE"/>
    <w:rsid w:val="002A6815"/>
    <w:rsid w:val="002B00CD"/>
    <w:rsid w:val="002B030A"/>
    <w:rsid w:val="002B0BC4"/>
    <w:rsid w:val="002B117F"/>
    <w:rsid w:val="002B2BAC"/>
    <w:rsid w:val="002B2E5A"/>
    <w:rsid w:val="002B2FC9"/>
    <w:rsid w:val="002B3405"/>
    <w:rsid w:val="002B35B9"/>
    <w:rsid w:val="002B3838"/>
    <w:rsid w:val="002B4F9E"/>
    <w:rsid w:val="002B58C5"/>
    <w:rsid w:val="002B5BCC"/>
    <w:rsid w:val="002B6185"/>
    <w:rsid w:val="002B639C"/>
    <w:rsid w:val="002B6A82"/>
    <w:rsid w:val="002B6E7A"/>
    <w:rsid w:val="002B7A73"/>
    <w:rsid w:val="002C050B"/>
    <w:rsid w:val="002C0539"/>
    <w:rsid w:val="002C06B0"/>
    <w:rsid w:val="002C1778"/>
    <w:rsid w:val="002C246D"/>
    <w:rsid w:val="002C3EAC"/>
    <w:rsid w:val="002C4EF8"/>
    <w:rsid w:val="002C518E"/>
    <w:rsid w:val="002C69B1"/>
    <w:rsid w:val="002C6F71"/>
    <w:rsid w:val="002C798B"/>
    <w:rsid w:val="002C7AA5"/>
    <w:rsid w:val="002C7BAB"/>
    <w:rsid w:val="002D1F04"/>
    <w:rsid w:val="002D1F2A"/>
    <w:rsid w:val="002D28AD"/>
    <w:rsid w:val="002D2A5E"/>
    <w:rsid w:val="002D2E7C"/>
    <w:rsid w:val="002D3444"/>
    <w:rsid w:val="002D41CF"/>
    <w:rsid w:val="002D4BDC"/>
    <w:rsid w:val="002D4FB7"/>
    <w:rsid w:val="002D5157"/>
    <w:rsid w:val="002D54BF"/>
    <w:rsid w:val="002D550A"/>
    <w:rsid w:val="002D76F5"/>
    <w:rsid w:val="002D78D7"/>
    <w:rsid w:val="002D78DB"/>
    <w:rsid w:val="002E1AA8"/>
    <w:rsid w:val="002E1D2F"/>
    <w:rsid w:val="002E2D73"/>
    <w:rsid w:val="002E5D96"/>
    <w:rsid w:val="002E6181"/>
    <w:rsid w:val="002E669E"/>
    <w:rsid w:val="002E701A"/>
    <w:rsid w:val="002E70A0"/>
    <w:rsid w:val="002E7407"/>
    <w:rsid w:val="002F21B0"/>
    <w:rsid w:val="002F379B"/>
    <w:rsid w:val="002F3A9A"/>
    <w:rsid w:val="002F539E"/>
    <w:rsid w:val="002F6601"/>
    <w:rsid w:val="002F735B"/>
    <w:rsid w:val="002F7A94"/>
    <w:rsid w:val="003014D6"/>
    <w:rsid w:val="003019E1"/>
    <w:rsid w:val="00302544"/>
    <w:rsid w:val="00302D41"/>
    <w:rsid w:val="003034D4"/>
    <w:rsid w:val="003036F2"/>
    <w:rsid w:val="003042DF"/>
    <w:rsid w:val="00304C48"/>
    <w:rsid w:val="00304E9B"/>
    <w:rsid w:val="00304F2C"/>
    <w:rsid w:val="00305937"/>
    <w:rsid w:val="00305EA6"/>
    <w:rsid w:val="0030643E"/>
    <w:rsid w:val="0030677C"/>
    <w:rsid w:val="0030776B"/>
    <w:rsid w:val="00310507"/>
    <w:rsid w:val="003107ED"/>
    <w:rsid w:val="00310BB8"/>
    <w:rsid w:val="00312DCF"/>
    <w:rsid w:val="00312F45"/>
    <w:rsid w:val="00312F73"/>
    <w:rsid w:val="00313328"/>
    <w:rsid w:val="00313466"/>
    <w:rsid w:val="00315604"/>
    <w:rsid w:val="00315652"/>
    <w:rsid w:val="003176AC"/>
    <w:rsid w:val="003205C9"/>
    <w:rsid w:val="00321456"/>
    <w:rsid w:val="003216D1"/>
    <w:rsid w:val="00321B85"/>
    <w:rsid w:val="00322C72"/>
    <w:rsid w:val="00322DF5"/>
    <w:rsid w:val="00322F99"/>
    <w:rsid w:val="003241C3"/>
    <w:rsid w:val="003243E7"/>
    <w:rsid w:val="003245FE"/>
    <w:rsid w:val="00324D4A"/>
    <w:rsid w:val="003251B6"/>
    <w:rsid w:val="00325B6B"/>
    <w:rsid w:val="00327220"/>
    <w:rsid w:val="00327AE4"/>
    <w:rsid w:val="00327DC1"/>
    <w:rsid w:val="00330501"/>
    <w:rsid w:val="0033064F"/>
    <w:rsid w:val="00330FD0"/>
    <w:rsid w:val="003315D8"/>
    <w:rsid w:val="003321DC"/>
    <w:rsid w:val="00332964"/>
    <w:rsid w:val="0033448E"/>
    <w:rsid w:val="0033574B"/>
    <w:rsid w:val="00335AE3"/>
    <w:rsid w:val="00335E66"/>
    <w:rsid w:val="00340A56"/>
    <w:rsid w:val="00340C01"/>
    <w:rsid w:val="003418A7"/>
    <w:rsid w:val="003419EF"/>
    <w:rsid w:val="003423AC"/>
    <w:rsid w:val="003437C8"/>
    <w:rsid w:val="00344292"/>
    <w:rsid w:val="00345135"/>
    <w:rsid w:val="0035100B"/>
    <w:rsid w:val="00351810"/>
    <w:rsid w:val="00353AF3"/>
    <w:rsid w:val="00355B44"/>
    <w:rsid w:val="00355B6C"/>
    <w:rsid w:val="003560D9"/>
    <w:rsid w:val="003577C9"/>
    <w:rsid w:val="00357A85"/>
    <w:rsid w:val="0036033D"/>
    <w:rsid w:val="00360A28"/>
    <w:rsid w:val="00360ED2"/>
    <w:rsid w:val="00360ED6"/>
    <w:rsid w:val="00361E97"/>
    <w:rsid w:val="00361FB9"/>
    <w:rsid w:val="003620AE"/>
    <w:rsid w:val="003621C9"/>
    <w:rsid w:val="003630F2"/>
    <w:rsid w:val="00363584"/>
    <w:rsid w:val="0036363E"/>
    <w:rsid w:val="00363C7A"/>
    <w:rsid w:val="00364348"/>
    <w:rsid w:val="0036456F"/>
    <w:rsid w:val="00367523"/>
    <w:rsid w:val="003677A2"/>
    <w:rsid w:val="0037004B"/>
    <w:rsid w:val="0037024A"/>
    <w:rsid w:val="003708AE"/>
    <w:rsid w:val="003709EA"/>
    <w:rsid w:val="00370A5C"/>
    <w:rsid w:val="00370D8A"/>
    <w:rsid w:val="00371B20"/>
    <w:rsid w:val="00372302"/>
    <w:rsid w:val="003726CD"/>
    <w:rsid w:val="00372E50"/>
    <w:rsid w:val="0037335C"/>
    <w:rsid w:val="00374CAB"/>
    <w:rsid w:val="00376EA8"/>
    <w:rsid w:val="0038028D"/>
    <w:rsid w:val="00380C46"/>
    <w:rsid w:val="00381496"/>
    <w:rsid w:val="00382628"/>
    <w:rsid w:val="0038268F"/>
    <w:rsid w:val="00382ACF"/>
    <w:rsid w:val="003833BB"/>
    <w:rsid w:val="0038369E"/>
    <w:rsid w:val="00383C53"/>
    <w:rsid w:val="00384120"/>
    <w:rsid w:val="0038507D"/>
    <w:rsid w:val="0038509C"/>
    <w:rsid w:val="00385AA1"/>
    <w:rsid w:val="00385DAA"/>
    <w:rsid w:val="00386222"/>
    <w:rsid w:val="00386C81"/>
    <w:rsid w:val="003874F5"/>
    <w:rsid w:val="00387652"/>
    <w:rsid w:val="00387A50"/>
    <w:rsid w:val="00387DEC"/>
    <w:rsid w:val="0039277D"/>
    <w:rsid w:val="00393368"/>
    <w:rsid w:val="00393771"/>
    <w:rsid w:val="003937AB"/>
    <w:rsid w:val="00393AA5"/>
    <w:rsid w:val="00393C7C"/>
    <w:rsid w:val="00394983"/>
    <w:rsid w:val="00394A66"/>
    <w:rsid w:val="00395C8A"/>
    <w:rsid w:val="003962C4"/>
    <w:rsid w:val="00397183"/>
    <w:rsid w:val="00397220"/>
    <w:rsid w:val="00397607"/>
    <w:rsid w:val="003A0844"/>
    <w:rsid w:val="003A0919"/>
    <w:rsid w:val="003A0970"/>
    <w:rsid w:val="003A1CBE"/>
    <w:rsid w:val="003A2A77"/>
    <w:rsid w:val="003A3A25"/>
    <w:rsid w:val="003A459B"/>
    <w:rsid w:val="003A4674"/>
    <w:rsid w:val="003A5705"/>
    <w:rsid w:val="003A5F50"/>
    <w:rsid w:val="003A62A7"/>
    <w:rsid w:val="003A672C"/>
    <w:rsid w:val="003A7C47"/>
    <w:rsid w:val="003B098A"/>
    <w:rsid w:val="003B202E"/>
    <w:rsid w:val="003B2834"/>
    <w:rsid w:val="003B5820"/>
    <w:rsid w:val="003B5C93"/>
    <w:rsid w:val="003B68ED"/>
    <w:rsid w:val="003B6DE6"/>
    <w:rsid w:val="003B700D"/>
    <w:rsid w:val="003B70C8"/>
    <w:rsid w:val="003B70E5"/>
    <w:rsid w:val="003B7AAF"/>
    <w:rsid w:val="003B7D9E"/>
    <w:rsid w:val="003C0761"/>
    <w:rsid w:val="003C15A5"/>
    <w:rsid w:val="003C1E20"/>
    <w:rsid w:val="003C2EB6"/>
    <w:rsid w:val="003C34E5"/>
    <w:rsid w:val="003C3D51"/>
    <w:rsid w:val="003C4413"/>
    <w:rsid w:val="003C4621"/>
    <w:rsid w:val="003C4637"/>
    <w:rsid w:val="003C4AF6"/>
    <w:rsid w:val="003C5A02"/>
    <w:rsid w:val="003C5DC5"/>
    <w:rsid w:val="003C6B0B"/>
    <w:rsid w:val="003D1E11"/>
    <w:rsid w:val="003D235D"/>
    <w:rsid w:val="003D3B1F"/>
    <w:rsid w:val="003D4E97"/>
    <w:rsid w:val="003D5726"/>
    <w:rsid w:val="003D5A90"/>
    <w:rsid w:val="003D5F47"/>
    <w:rsid w:val="003D5F61"/>
    <w:rsid w:val="003D6E25"/>
    <w:rsid w:val="003D7A25"/>
    <w:rsid w:val="003E0721"/>
    <w:rsid w:val="003E139D"/>
    <w:rsid w:val="003E2315"/>
    <w:rsid w:val="003E2BE8"/>
    <w:rsid w:val="003E3397"/>
    <w:rsid w:val="003E3486"/>
    <w:rsid w:val="003E3BF7"/>
    <w:rsid w:val="003E4550"/>
    <w:rsid w:val="003E4B82"/>
    <w:rsid w:val="003E539C"/>
    <w:rsid w:val="003E57AF"/>
    <w:rsid w:val="003E5AC5"/>
    <w:rsid w:val="003E640E"/>
    <w:rsid w:val="003E6721"/>
    <w:rsid w:val="003E6CD4"/>
    <w:rsid w:val="003E6DC3"/>
    <w:rsid w:val="003E7157"/>
    <w:rsid w:val="003E7159"/>
    <w:rsid w:val="003E7ECB"/>
    <w:rsid w:val="003F0004"/>
    <w:rsid w:val="003F0883"/>
    <w:rsid w:val="003F1A3B"/>
    <w:rsid w:val="003F1A62"/>
    <w:rsid w:val="003F35A4"/>
    <w:rsid w:val="003F3B7D"/>
    <w:rsid w:val="003F3F3E"/>
    <w:rsid w:val="003F4B12"/>
    <w:rsid w:val="003F53C4"/>
    <w:rsid w:val="003F5F11"/>
    <w:rsid w:val="003F64F2"/>
    <w:rsid w:val="003F6B82"/>
    <w:rsid w:val="003F6C2C"/>
    <w:rsid w:val="003F70EB"/>
    <w:rsid w:val="003F7A7E"/>
    <w:rsid w:val="003F7EE6"/>
    <w:rsid w:val="00400C21"/>
    <w:rsid w:val="00403309"/>
    <w:rsid w:val="0040509B"/>
    <w:rsid w:val="004052AC"/>
    <w:rsid w:val="004060C0"/>
    <w:rsid w:val="004063E3"/>
    <w:rsid w:val="00406531"/>
    <w:rsid w:val="00406E31"/>
    <w:rsid w:val="00407062"/>
    <w:rsid w:val="00407792"/>
    <w:rsid w:val="00411032"/>
    <w:rsid w:val="0041197E"/>
    <w:rsid w:val="00411B1B"/>
    <w:rsid w:val="00411BFC"/>
    <w:rsid w:val="00411E28"/>
    <w:rsid w:val="00411FCE"/>
    <w:rsid w:val="0041240F"/>
    <w:rsid w:val="004141DE"/>
    <w:rsid w:val="0041531F"/>
    <w:rsid w:val="00416144"/>
    <w:rsid w:val="00417A3C"/>
    <w:rsid w:val="0042005E"/>
    <w:rsid w:val="004221FE"/>
    <w:rsid w:val="004235FE"/>
    <w:rsid w:val="00423BA9"/>
    <w:rsid w:val="00424BD3"/>
    <w:rsid w:val="004255B0"/>
    <w:rsid w:val="00425991"/>
    <w:rsid w:val="00425998"/>
    <w:rsid w:val="00426075"/>
    <w:rsid w:val="00426172"/>
    <w:rsid w:val="00426174"/>
    <w:rsid w:val="004263F2"/>
    <w:rsid w:val="00426501"/>
    <w:rsid w:val="00426A33"/>
    <w:rsid w:val="00430A7E"/>
    <w:rsid w:val="00430C12"/>
    <w:rsid w:val="00432220"/>
    <w:rsid w:val="00432282"/>
    <w:rsid w:val="00433A2E"/>
    <w:rsid w:val="00433A61"/>
    <w:rsid w:val="00434285"/>
    <w:rsid w:val="004353B7"/>
    <w:rsid w:val="004357CB"/>
    <w:rsid w:val="004362F4"/>
    <w:rsid w:val="0043691B"/>
    <w:rsid w:val="00436AD6"/>
    <w:rsid w:val="00436D95"/>
    <w:rsid w:val="00436F0D"/>
    <w:rsid w:val="00437464"/>
    <w:rsid w:val="004378E6"/>
    <w:rsid w:val="00441F67"/>
    <w:rsid w:val="00442AD4"/>
    <w:rsid w:val="00443E4C"/>
    <w:rsid w:val="0044771B"/>
    <w:rsid w:val="00447F40"/>
    <w:rsid w:val="00450D93"/>
    <w:rsid w:val="004526DD"/>
    <w:rsid w:val="004528BF"/>
    <w:rsid w:val="004530F4"/>
    <w:rsid w:val="0045431A"/>
    <w:rsid w:val="00454643"/>
    <w:rsid w:val="00455647"/>
    <w:rsid w:val="00456761"/>
    <w:rsid w:val="00456DBB"/>
    <w:rsid w:val="00457B11"/>
    <w:rsid w:val="004610FC"/>
    <w:rsid w:val="00461E8F"/>
    <w:rsid w:val="00461FD9"/>
    <w:rsid w:val="0046211D"/>
    <w:rsid w:val="00462586"/>
    <w:rsid w:val="0046301D"/>
    <w:rsid w:val="00463AF1"/>
    <w:rsid w:val="00463C30"/>
    <w:rsid w:val="004643C5"/>
    <w:rsid w:val="00465916"/>
    <w:rsid w:val="00465C18"/>
    <w:rsid w:val="00466780"/>
    <w:rsid w:val="0046690C"/>
    <w:rsid w:val="0046779E"/>
    <w:rsid w:val="004702B0"/>
    <w:rsid w:val="0047043F"/>
    <w:rsid w:val="0047196F"/>
    <w:rsid w:val="00471CAC"/>
    <w:rsid w:val="004724D3"/>
    <w:rsid w:val="00473288"/>
    <w:rsid w:val="00473443"/>
    <w:rsid w:val="00473E16"/>
    <w:rsid w:val="00473E95"/>
    <w:rsid w:val="0047571F"/>
    <w:rsid w:val="00475907"/>
    <w:rsid w:val="00475F0D"/>
    <w:rsid w:val="004760D1"/>
    <w:rsid w:val="0047659C"/>
    <w:rsid w:val="00477419"/>
    <w:rsid w:val="00477AFE"/>
    <w:rsid w:val="00480007"/>
    <w:rsid w:val="004801E0"/>
    <w:rsid w:val="004807F4"/>
    <w:rsid w:val="00481D87"/>
    <w:rsid w:val="00481E93"/>
    <w:rsid w:val="00482DFA"/>
    <w:rsid w:val="004833FC"/>
    <w:rsid w:val="004835A5"/>
    <w:rsid w:val="004844A6"/>
    <w:rsid w:val="00484FF4"/>
    <w:rsid w:val="00485ECA"/>
    <w:rsid w:val="004864DC"/>
    <w:rsid w:val="004869E4"/>
    <w:rsid w:val="00486B5B"/>
    <w:rsid w:val="00486EB1"/>
    <w:rsid w:val="0049007E"/>
    <w:rsid w:val="00490ED7"/>
    <w:rsid w:val="00491011"/>
    <w:rsid w:val="004917FE"/>
    <w:rsid w:val="00491FF3"/>
    <w:rsid w:val="0049310C"/>
    <w:rsid w:val="004935B0"/>
    <w:rsid w:val="00494A50"/>
    <w:rsid w:val="00494C77"/>
    <w:rsid w:val="00495063"/>
    <w:rsid w:val="004961A2"/>
    <w:rsid w:val="00496903"/>
    <w:rsid w:val="00496F00"/>
    <w:rsid w:val="004978CC"/>
    <w:rsid w:val="00497E28"/>
    <w:rsid w:val="004A0B0D"/>
    <w:rsid w:val="004A276E"/>
    <w:rsid w:val="004A32FD"/>
    <w:rsid w:val="004A4205"/>
    <w:rsid w:val="004A4DF5"/>
    <w:rsid w:val="004A65A3"/>
    <w:rsid w:val="004A694C"/>
    <w:rsid w:val="004A6E09"/>
    <w:rsid w:val="004A716B"/>
    <w:rsid w:val="004A74CD"/>
    <w:rsid w:val="004A78E1"/>
    <w:rsid w:val="004B14DD"/>
    <w:rsid w:val="004B2E2A"/>
    <w:rsid w:val="004B33D5"/>
    <w:rsid w:val="004B340C"/>
    <w:rsid w:val="004B5383"/>
    <w:rsid w:val="004B610F"/>
    <w:rsid w:val="004B6656"/>
    <w:rsid w:val="004B70A9"/>
    <w:rsid w:val="004B7F8C"/>
    <w:rsid w:val="004C0303"/>
    <w:rsid w:val="004C03FC"/>
    <w:rsid w:val="004C0D32"/>
    <w:rsid w:val="004C17E9"/>
    <w:rsid w:val="004C2CE2"/>
    <w:rsid w:val="004C317E"/>
    <w:rsid w:val="004C3841"/>
    <w:rsid w:val="004C3A93"/>
    <w:rsid w:val="004C3E7D"/>
    <w:rsid w:val="004C3F13"/>
    <w:rsid w:val="004C3F68"/>
    <w:rsid w:val="004C47CC"/>
    <w:rsid w:val="004C4EBE"/>
    <w:rsid w:val="004C525A"/>
    <w:rsid w:val="004C531B"/>
    <w:rsid w:val="004C5CFA"/>
    <w:rsid w:val="004C5D52"/>
    <w:rsid w:val="004C6158"/>
    <w:rsid w:val="004C6AA8"/>
    <w:rsid w:val="004C6BCF"/>
    <w:rsid w:val="004C752E"/>
    <w:rsid w:val="004C7A76"/>
    <w:rsid w:val="004D0771"/>
    <w:rsid w:val="004D156A"/>
    <w:rsid w:val="004D17B9"/>
    <w:rsid w:val="004D1F77"/>
    <w:rsid w:val="004D25E5"/>
    <w:rsid w:val="004D3B16"/>
    <w:rsid w:val="004D3D0C"/>
    <w:rsid w:val="004D5068"/>
    <w:rsid w:val="004D5144"/>
    <w:rsid w:val="004D5F3B"/>
    <w:rsid w:val="004D5F91"/>
    <w:rsid w:val="004D5FEF"/>
    <w:rsid w:val="004D67BB"/>
    <w:rsid w:val="004D7117"/>
    <w:rsid w:val="004D79AD"/>
    <w:rsid w:val="004E0C6A"/>
    <w:rsid w:val="004E0D7A"/>
    <w:rsid w:val="004E1853"/>
    <w:rsid w:val="004E1B37"/>
    <w:rsid w:val="004E34A6"/>
    <w:rsid w:val="004E3753"/>
    <w:rsid w:val="004E37BD"/>
    <w:rsid w:val="004E3C31"/>
    <w:rsid w:val="004E422B"/>
    <w:rsid w:val="004E49F1"/>
    <w:rsid w:val="004E4AAA"/>
    <w:rsid w:val="004E4FEB"/>
    <w:rsid w:val="004E5D75"/>
    <w:rsid w:val="004E637E"/>
    <w:rsid w:val="004E68F7"/>
    <w:rsid w:val="004E6992"/>
    <w:rsid w:val="004E7238"/>
    <w:rsid w:val="004F0B64"/>
    <w:rsid w:val="004F0E38"/>
    <w:rsid w:val="004F0EE2"/>
    <w:rsid w:val="004F338E"/>
    <w:rsid w:val="004F35D3"/>
    <w:rsid w:val="004F3D0F"/>
    <w:rsid w:val="004F3FF1"/>
    <w:rsid w:val="004F44C1"/>
    <w:rsid w:val="004F530A"/>
    <w:rsid w:val="004F5393"/>
    <w:rsid w:val="004F5DC2"/>
    <w:rsid w:val="004F5FA1"/>
    <w:rsid w:val="004F607A"/>
    <w:rsid w:val="004F6C5B"/>
    <w:rsid w:val="004F6CF1"/>
    <w:rsid w:val="00500117"/>
    <w:rsid w:val="00500B09"/>
    <w:rsid w:val="00500FA8"/>
    <w:rsid w:val="005014EE"/>
    <w:rsid w:val="0050277A"/>
    <w:rsid w:val="00502930"/>
    <w:rsid w:val="00503CA4"/>
    <w:rsid w:val="00503E01"/>
    <w:rsid w:val="00504005"/>
    <w:rsid w:val="0050442E"/>
    <w:rsid w:val="00504955"/>
    <w:rsid w:val="0050582B"/>
    <w:rsid w:val="00505F24"/>
    <w:rsid w:val="00506F18"/>
    <w:rsid w:val="00506F9C"/>
    <w:rsid w:val="00507A2A"/>
    <w:rsid w:val="0051060F"/>
    <w:rsid w:val="00510D5F"/>
    <w:rsid w:val="005118A5"/>
    <w:rsid w:val="00513A36"/>
    <w:rsid w:val="00514154"/>
    <w:rsid w:val="0051427F"/>
    <w:rsid w:val="00514375"/>
    <w:rsid w:val="005154B3"/>
    <w:rsid w:val="00515604"/>
    <w:rsid w:val="005156A9"/>
    <w:rsid w:val="00515BD8"/>
    <w:rsid w:val="00515C20"/>
    <w:rsid w:val="00515D9C"/>
    <w:rsid w:val="00516CA8"/>
    <w:rsid w:val="00517619"/>
    <w:rsid w:val="00517689"/>
    <w:rsid w:val="0051776E"/>
    <w:rsid w:val="005201C0"/>
    <w:rsid w:val="005205F1"/>
    <w:rsid w:val="005207F5"/>
    <w:rsid w:val="00520BB8"/>
    <w:rsid w:val="00520C42"/>
    <w:rsid w:val="00522372"/>
    <w:rsid w:val="005226CA"/>
    <w:rsid w:val="0052278B"/>
    <w:rsid w:val="00523807"/>
    <w:rsid w:val="005243BD"/>
    <w:rsid w:val="0052675F"/>
    <w:rsid w:val="0052734D"/>
    <w:rsid w:val="005274BE"/>
    <w:rsid w:val="00527EB6"/>
    <w:rsid w:val="00527F88"/>
    <w:rsid w:val="0053055E"/>
    <w:rsid w:val="0053165C"/>
    <w:rsid w:val="00531B0D"/>
    <w:rsid w:val="00531ECF"/>
    <w:rsid w:val="00532399"/>
    <w:rsid w:val="00532AB8"/>
    <w:rsid w:val="00533D9C"/>
    <w:rsid w:val="00534337"/>
    <w:rsid w:val="00534C67"/>
    <w:rsid w:val="0053543F"/>
    <w:rsid w:val="0053545E"/>
    <w:rsid w:val="00536096"/>
    <w:rsid w:val="0053684A"/>
    <w:rsid w:val="00536EEA"/>
    <w:rsid w:val="00537A47"/>
    <w:rsid w:val="00540C0B"/>
    <w:rsid w:val="005411ED"/>
    <w:rsid w:val="005411F0"/>
    <w:rsid w:val="005415BB"/>
    <w:rsid w:val="00542BEF"/>
    <w:rsid w:val="00542E66"/>
    <w:rsid w:val="00542F09"/>
    <w:rsid w:val="0054374A"/>
    <w:rsid w:val="005438E6"/>
    <w:rsid w:val="00543969"/>
    <w:rsid w:val="005453B9"/>
    <w:rsid w:val="005457D8"/>
    <w:rsid w:val="0054594D"/>
    <w:rsid w:val="00545950"/>
    <w:rsid w:val="00545B24"/>
    <w:rsid w:val="00545C22"/>
    <w:rsid w:val="00547F06"/>
    <w:rsid w:val="00547F5D"/>
    <w:rsid w:val="005504C4"/>
    <w:rsid w:val="005510F2"/>
    <w:rsid w:val="005515ED"/>
    <w:rsid w:val="00551C88"/>
    <w:rsid w:val="005526C6"/>
    <w:rsid w:val="005526D5"/>
    <w:rsid w:val="0055274F"/>
    <w:rsid w:val="00552C86"/>
    <w:rsid w:val="0055355A"/>
    <w:rsid w:val="0055428F"/>
    <w:rsid w:val="00554570"/>
    <w:rsid w:val="005552CF"/>
    <w:rsid w:val="00555A86"/>
    <w:rsid w:val="00556B5B"/>
    <w:rsid w:val="00556EC4"/>
    <w:rsid w:val="005571F2"/>
    <w:rsid w:val="0056185A"/>
    <w:rsid w:val="0056220C"/>
    <w:rsid w:val="005624EF"/>
    <w:rsid w:val="005625B3"/>
    <w:rsid w:val="0056288C"/>
    <w:rsid w:val="005628FA"/>
    <w:rsid w:val="0056329E"/>
    <w:rsid w:val="00563E8F"/>
    <w:rsid w:val="005646FA"/>
    <w:rsid w:val="005649B6"/>
    <w:rsid w:val="00564E3D"/>
    <w:rsid w:val="00567433"/>
    <w:rsid w:val="005674FB"/>
    <w:rsid w:val="00567776"/>
    <w:rsid w:val="00567E4B"/>
    <w:rsid w:val="005709E7"/>
    <w:rsid w:val="00570BC1"/>
    <w:rsid w:val="00570CD1"/>
    <w:rsid w:val="00571485"/>
    <w:rsid w:val="00571EAC"/>
    <w:rsid w:val="00572150"/>
    <w:rsid w:val="00572AC9"/>
    <w:rsid w:val="0057413B"/>
    <w:rsid w:val="00575561"/>
    <w:rsid w:val="00575CA4"/>
    <w:rsid w:val="00576015"/>
    <w:rsid w:val="00576477"/>
    <w:rsid w:val="00576504"/>
    <w:rsid w:val="00576925"/>
    <w:rsid w:val="00577BDD"/>
    <w:rsid w:val="00580788"/>
    <w:rsid w:val="0058123E"/>
    <w:rsid w:val="00581BBE"/>
    <w:rsid w:val="00581E82"/>
    <w:rsid w:val="005824B6"/>
    <w:rsid w:val="00583AC7"/>
    <w:rsid w:val="00583FA6"/>
    <w:rsid w:val="00584690"/>
    <w:rsid w:val="00585EAC"/>
    <w:rsid w:val="0058610E"/>
    <w:rsid w:val="00586B42"/>
    <w:rsid w:val="00587C59"/>
    <w:rsid w:val="00587E02"/>
    <w:rsid w:val="00587F8A"/>
    <w:rsid w:val="00590277"/>
    <w:rsid w:val="0059175F"/>
    <w:rsid w:val="00592BDD"/>
    <w:rsid w:val="0059303A"/>
    <w:rsid w:val="00593092"/>
    <w:rsid w:val="0059336F"/>
    <w:rsid w:val="005934B5"/>
    <w:rsid w:val="00593D25"/>
    <w:rsid w:val="00594150"/>
    <w:rsid w:val="00597492"/>
    <w:rsid w:val="00597EFD"/>
    <w:rsid w:val="005A080C"/>
    <w:rsid w:val="005A1346"/>
    <w:rsid w:val="005A1703"/>
    <w:rsid w:val="005A1B9D"/>
    <w:rsid w:val="005A2A35"/>
    <w:rsid w:val="005A2E85"/>
    <w:rsid w:val="005A3234"/>
    <w:rsid w:val="005A4083"/>
    <w:rsid w:val="005A4BE5"/>
    <w:rsid w:val="005A5FB3"/>
    <w:rsid w:val="005A65AB"/>
    <w:rsid w:val="005A76AA"/>
    <w:rsid w:val="005B056E"/>
    <w:rsid w:val="005B0615"/>
    <w:rsid w:val="005B0A10"/>
    <w:rsid w:val="005B10C0"/>
    <w:rsid w:val="005B124B"/>
    <w:rsid w:val="005B1C72"/>
    <w:rsid w:val="005B1EF8"/>
    <w:rsid w:val="005B268C"/>
    <w:rsid w:val="005B4B76"/>
    <w:rsid w:val="005B4DBE"/>
    <w:rsid w:val="005B638E"/>
    <w:rsid w:val="005B6443"/>
    <w:rsid w:val="005B651C"/>
    <w:rsid w:val="005B764B"/>
    <w:rsid w:val="005B76C0"/>
    <w:rsid w:val="005C0908"/>
    <w:rsid w:val="005C092A"/>
    <w:rsid w:val="005C1F04"/>
    <w:rsid w:val="005C22E3"/>
    <w:rsid w:val="005C3112"/>
    <w:rsid w:val="005C3E2A"/>
    <w:rsid w:val="005C3F13"/>
    <w:rsid w:val="005C4124"/>
    <w:rsid w:val="005C47FE"/>
    <w:rsid w:val="005C4C15"/>
    <w:rsid w:val="005C4F40"/>
    <w:rsid w:val="005C75B5"/>
    <w:rsid w:val="005D0425"/>
    <w:rsid w:val="005D137A"/>
    <w:rsid w:val="005D1FD9"/>
    <w:rsid w:val="005D31F9"/>
    <w:rsid w:val="005D3FF3"/>
    <w:rsid w:val="005D4997"/>
    <w:rsid w:val="005D4FED"/>
    <w:rsid w:val="005D55C0"/>
    <w:rsid w:val="005D5639"/>
    <w:rsid w:val="005D5FE0"/>
    <w:rsid w:val="005D6469"/>
    <w:rsid w:val="005D651E"/>
    <w:rsid w:val="005D68ED"/>
    <w:rsid w:val="005D7E45"/>
    <w:rsid w:val="005E046A"/>
    <w:rsid w:val="005E0C1D"/>
    <w:rsid w:val="005E1357"/>
    <w:rsid w:val="005E213A"/>
    <w:rsid w:val="005E2E6E"/>
    <w:rsid w:val="005E4825"/>
    <w:rsid w:val="005E4E8E"/>
    <w:rsid w:val="005E53FD"/>
    <w:rsid w:val="005E56A0"/>
    <w:rsid w:val="005E681F"/>
    <w:rsid w:val="005E7503"/>
    <w:rsid w:val="005E7DBA"/>
    <w:rsid w:val="005E7EF6"/>
    <w:rsid w:val="005F042D"/>
    <w:rsid w:val="005F0D94"/>
    <w:rsid w:val="005F1A62"/>
    <w:rsid w:val="005F1F4E"/>
    <w:rsid w:val="005F2E29"/>
    <w:rsid w:val="005F307D"/>
    <w:rsid w:val="005F31A4"/>
    <w:rsid w:val="005F32BC"/>
    <w:rsid w:val="005F3607"/>
    <w:rsid w:val="005F3E0B"/>
    <w:rsid w:val="005F507B"/>
    <w:rsid w:val="005F50DF"/>
    <w:rsid w:val="005F5AFE"/>
    <w:rsid w:val="005F6AA0"/>
    <w:rsid w:val="005F7A00"/>
    <w:rsid w:val="005F7BB6"/>
    <w:rsid w:val="005F7C68"/>
    <w:rsid w:val="00600511"/>
    <w:rsid w:val="00600A49"/>
    <w:rsid w:val="006015BC"/>
    <w:rsid w:val="006025C8"/>
    <w:rsid w:val="00602C5E"/>
    <w:rsid w:val="0060302D"/>
    <w:rsid w:val="0060303B"/>
    <w:rsid w:val="00603AF4"/>
    <w:rsid w:val="006044C7"/>
    <w:rsid w:val="006049F9"/>
    <w:rsid w:val="00604AC5"/>
    <w:rsid w:val="00605C19"/>
    <w:rsid w:val="00605FCE"/>
    <w:rsid w:val="0060665D"/>
    <w:rsid w:val="00606A33"/>
    <w:rsid w:val="0060760F"/>
    <w:rsid w:val="00607DBB"/>
    <w:rsid w:val="00607EE0"/>
    <w:rsid w:val="00610073"/>
    <w:rsid w:val="00611BB8"/>
    <w:rsid w:val="006127F2"/>
    <w:rsid w:val="00613581"/>
    <w:rsid w:val="00614146"/>
    <w:rsid w:val="00614608"/>
    <w:rsid w:val="00614B9D"/>
    <w:rsid w:val="00614E84"/>
    <w:rsid w:val="0061659E"/>
    <w:rsid w:val="00616C41"/>
    <w:rsid w:val="006173AE"/>
    <w:rsid w:val="00617464"/>
    <w:rsid w:val="006204F2"/>
    <w:rsid w:val="00621262"/>
    <w:rsid w:val="0062294F"/>
    <w:rsid w:val="00623F7E"/>
    <w:rsid w:val="0062423C"/>
    <w:rsid w:val="006244BC"/>
    <w:rsid w:val="00624980"/>
    <w:rsid w:val="0062509C"/>
    <w:rsid w:val="00625FC1"/>
    <w:rsid w:val="00626D51"/>
    <w:rsid w:val="00627093"/>
    <w:rsid w:val="00627B9F"/>
    <w:rsid w:val="00627FC5"/>
    <w:rsid w:val="00630B35"/>
    <w:rsid w:val="00631066"/>
    <w:rsid w:val="00631312"/>
    <w:rsid w:val="00632B1C"/>
    <w:rsid w:val="00632D6E"/>
    <w:rsid w:val="00632DB6"/>
    <w:rsid w:val="006332F2"/>
    <w:rsid w:val="00633BCE"/>
    <w:rsid w:val="00634391"/>
    <w:rsid w:val="0063556A"/>
    <w:rsid w:val="00635CD1"/>
    <w:rsid w:val="00636117"/>
    <w:rsid w:val="006364B7"/>
    <w:rsid w:val="006367D1"/>
    <w:rsid w:val="00636B08"/>
    <w:rsid w:val="006370DD"/>
    <w:rsid w:val="00637D44"/>
    <w:rsid w:val="0064043F"/>
    <w:rsid w:val="0064050D"/>
    <w:rsid w:val="00640556"/>
    <w:rsid w:val="00640B04"/>
    <w:rsid w:val="00641371"/>
    <w:rsid w:val="00641456"/>
    <w:rsid w:val="00642180"/>
    <w:rsid w:val="00642232"/>
    <w:rsid w:val="00644682"/>
    <w:rsid w:val="00644EB1"/>
    <w:rsid w:val="00645836"/>
    <w:rsid w:val="00645F9B"/>
    <w:rsid w:val="00645FED"/>
    <w:rsid w:val="0064669A"/>
    <w:rsid w:val="00647060"/>
    <w:rsid w:val="00650740"/>
    <w:rsid w:val="00650EC9"/>
    <w:rsid w:val="00650EF9"/>
    <w:rsid w:val="00651548"/>
    <w:rsid w:val="00651ED4"/>
    <w:rsid w:val="006522B3"/>
    <w:rsid w:val="006523FA"/>
    <w:rsid w:val="0065326B"/>
    <w:rsid w:val="00653476"/>
    <w:rsid w:val="00653760"/>
    <w:rsid w:val="00654198"/>
    <w:rsid w:val="0065522B"/>
    <w:rsid w:val="006565B5"/>
    <w:rsid w:val="006566AF"/>
    <w:rsid w:val="00656C87"/>
    <w:rsid w:val="00656EEF"/>
    <w:rsid w:val="006573D7"/>
    <w:rsid w:val="00661252"/>
    <w:rsid w:val="0066176C"/>
    <w:rsid w:val="00661E39"/>
    <w:rsid w:val="00663080"/>
    <w:rsid w:val="00663840"/>
    <w:rsid w:val="00665508"/>
    <w:rsid w:val="00665BAB"/>
    <w:rsid w:val="00666544"/>
    <w:rsid w:val="00666FCD"/>
    <w:rsid w:val="00667763"/>
    <w:rsid w:val="006716FF"/>
    <w:rsid w:val="006724E1"/>
    <w:rsid w:val="006734F7"/>
    <w:rsid w:val="00673BC7"/>
    <w:rsid w:val="00674607"/>
    <w:rsid w:val="0067475E"/>
    <w:rsid w:val="00674B1E"/>
    <w:rsid w:val="006754D7"/>
    <w:rsid w:val="006769D6"/>
    <w:rsid w:val="006815E3"/>
    <w:rsid w:val="00683E7D"/>
    <w:rsid w:val="00683EF7"/>
    <w:rsid w:val="006841DA"/>
    <w:rsid w:val="00684F36"/>
    <w:rsid w:val="006850D3"/>
    <w:rsid w:val="006859E9"/>
    <w:rsid w:val="00686521"/>
    <w:rsid w:val="00687452"/>
    <w:rsid w:val="00690294"/>
    <w:rsid w:val="006916CB"/>
    <w:rsid w:val="00691ACE"/>
    <w:rsid w:val="00691B6A"/>
    <w:rsid w:val="00692C25"/>
    <w:rsid w:val="00692CC7"/>
    <w:rsid w:val="006935A6"/>
    <w:rsid w:val="00693AD9"/>
    <w:rsid w:val="00693E57"/>
    <w:rsid w:val="0069457F"/>
    <w:rsid w:val="00694FF8"/>
    <w:rsid w:val="0069610A"/>
    <w:rsid w:val="00696593"/>
    <w:rsid w:val="00696CBC"/>
    <w:rsid w:val="00697020"/>
    <w:rsid w:val="006A0599"/>
    <w:rsid w:val="006A0F29"/>
    <w:rsid w:val="006A33BB"/>
    <w:rsid w:val="006A3997"/>
    <w:rsid w:val="006A40EA"/>
    <w:rsid w:val="006A4700"/>
    <w:rsid w:val="006A4C15"/>
    <w:rsid w:val="006A4CAC"/>
    <w:rsid w:val="006A5663"/>
    <w:rsid w:val="006A6A3F"/>
    <w:rsid w:val="006A6FE1"/>
    <w:rsid w:val="006A7D67"/>
    <w:rsid w:val="006B05B0"/>
    <w:rsid w:val="006B0BF1"/>
    <w:rsid w:val="006B1BF6"/>
    <w:rsid w:val="006B2CF0"/>
    <w:rsid w:val="006B31E7"/>
    <w:rsid w:val="006B4854"/>
    <w:rsid w:val="006B5306"/>
    <w:rsid w:val="006B5E36"/>
    <w:rsid w:val="006B5F74"/>
    <w:rsid w:val="006B6E49"/>
    <w:rsid w:val="006B77FA"/>
    <w:rsid w:val="006B7F4C"/>
    <w:rsid w:val="006C04FA"/>
    <w:rsid w:val="006C05A0"/>
    <w:rsid w:val="006C0C5F"/>
    <w:rsid w:val="006C1670"/>
    <w:rsid w:val="006C2824"/>
    <w:rsid w:val="006C29AE"/>
    <w:rsid w:val="006C29EF"/>
    <w:rsid w:val="006C2FCC"/>
    <w:rsid w:val="006C34E4"/>
    <w:rsid w:val="006C41B1"/>
    <w:rsid w:val="006C4C03"/>
    <w:rsid w:val="006C4C4F"/>
    <w:rsid w:val="006C56A7"/>
    <w:rsid w:val="006C7178"/>
    <w:rsid w:val="006D041E"/>
    <w:rsid w:val="006D0594"/>
    <w:rsid w:val="006D0E64"/>
    <w:rsid w:val="006D13B6"/>
    <w:rsid w:val="006D1550"/>
    <w:rsid w:val="006D17E3"/>
    <w:rsid w:val="006D1897"/>
    <w:rsid w:val="006D1CEE"/>
    <w:rsid w:val="006D2A75"/>
    <w:rsid w:val="006D36F6"/>
    <w:rsid w:val="006D4CC7"/>
    <w:rsid w:val="006D5017"/>
    <w:rsid w:val="006D53F7"/>
    <w:rsid w:val="006D57E2"/>
    <w:rsid w:val="006D581F"/>
    <w:rsid w:val="006D58C2"/>
    <w:rsid w:val="006D5CAA"/>
    <w:rsid w:val="006D6236"/>
    <w:rsid w:val="006D66D6"/>
    <w:rsid w:val="006D7639"/>
    <w:rsid w:val="006E18A8"/>
    <w:rsid w:val="006E1D60"/>
    <w:rsid w:val="006E27D7"/>
    <w:rsid w:val="006E2BAD"/>
    <w:rsid w:val="006E2D6C"/>
    <w:rsid w:val="006E404D"/>
    <w:rsid w:val="006E5032"/>
    <w:rsid w:val="006E56F7"/>
    <w:rsid w:val="006E6511"/>
    <w:rsid w:val="006F0131"/>
    <w:rsid w:val="006F2070"/>
    <w:rsid w:val="006F216D"/>
    <w:rsid w:val="006F266C"/>
    <w:rsid w:val="006F32CD"/>
    <w:rsid w:val="006F342F"/>
    <w:rsid w:val="006F3D8E"/>
    <w:rsid w:val="006F3E67"/>
    <w:rsid w:val="006F4DE8"/>
    <w:rsid w:val="006F634E"/>
    <w:rsid w:val="006F6E30"/>
    <w:rsid w:val="006F6F72"/>
    <w:rsid w:val="006F781F"/>
    <w:rsid w:val="006F7F03"/>
    <w:rsid w:val="006F7FF5"/>
    <w:rsid w:val="006F7FFE"/>
    <w:rsid w:val="007001EF"/>
    <w:rsid w:val="007008B1"/>
    <w:rsid w:val="00700F2F"/>
    <w:rsid w:val="0070141F"/>
    <w:rsid w:val="0070179C"/>
    <w:rsid w:val="0070206B"/>
    <w:rsid w:val="00702A76"/>
    <w:rsid w:val="00702F00"/>
    <w:rsid w:val="00703919"/>
    <w:rsid w:val="00704314"/>
    <w:rsid w:val="00704DA5"/>
    <w:rsid w:val="00705247"/>
    <w:rsid w:val="0070540C"/>
    <w:rsid w:val="00705B26"/>
    <w:rsid w:val="00705D51"/>
    <w:rsid w:val="007061EB"/>
    <w:rsid w:val="007071F5"/>
    <w:rsid w:val="007078EE"/>
    <w:rsid w:val="007105CF"/>
    <w:rsid w:val="007115EF"/>
    <w:rsid w:val="00712AE7"/>
    <w:rsid w:val="00712C14"/>
    <w:rsid w:val="007135FB"/>
    <w:rsid w:val="00714A2F"/>
    <w:rsid w:val="00714BE2"/>
    <w:rsid w:val="00715017"/>
    <w:rsid w:val="0071556B"/>
    <w:rsid w:val="007157CC"/>
    <w:rsid w:val="007163D1"/>
    <w:rsid w:val="00716E9F"/>
    <w:rsid w:val="00717B7E"/>
    <w:rsid w:val="0072027E"/>
    <w:rsid w:val="0072030B"/>
    <w:rsid w:val="00720349"/>
    <w:rsid w:val="007205B8"/>
    <w:rsid w:val="00720604"/>
    <w:rsid w:val="00721DA0"/>
    <w:rsid w:val="00721F04"/>
    <w:rsid w:val="0072256E"/>
    <w:rsid w:val="00722AF6"/>
    <w:rsid w:val="00722BE7"/>
    <w:rsid w:val="00724267"/>
    <w:rsid w:val="00724D68"/>
    <w:rsid w:val="00725333"/>
    <w:rsid w:val="00725627"/>
    <w:rsid w:val="00725824"/>
    <w:rsid w:val="007260A3"/>
    <w:rsid w:val="00726592"/>
    <w:rsid w:val="00726835"/>
    <w:rsid w:val="007268B1"/>
    <w:rsid w:val="0072691B"/>
    <w:rsid w:val="00726F23"/>
    <w:rsid w:val="0072733D"/>
    <w:rsid w:val="00730736"/>
    <w:rsid w:val="00730D7F"/>
    <w:rsid w:val="007318F9"/>
    <w:rsid w:val="00732170"/>
    <w:rsid w:val="007323E8"/>
    <w:rsid w:val="0073380E"/>
    <w:rsid w:val="00733823"/>
    <w:rsid w:val="007343B1"/>
    <w:rsid w:val="00734605"/>
    <w:rsid w:val="00734D35"/>
    <w:rsid w:val="007351CB"/>
    <w:rsid w:val="007357B4"/>
    <w:rsid w:val="00735CCF"/>
    <w:rsid w:val="00735D09"/>
    <w:rsid w:val="007365F6"/>
    <w:rsid w:val="00740053"/>
    <w:rsid w:val="0074086D"/>
    <w:rsid w:val="00740EAB"/>
    <w:rsid w:val="0074141A"/>
    <w:rsid w:val="00742D31"/>
    <w:rsid w:val="00743A19"/>
    <w:rsid w:val="00744988"/>
    <w:rsid w:val="00745687"/>
    <w:rsid w:val="00745A0C"/>
    <w:rsid w:val="00745F01"/>
    <w:rsid w:val="0074643F"/>
    <w:rsid w:val="00746FCD"/>
    <w:rsid w:val="00751015"/>
    <w:rsid w:val="007514A9"/>
    <w:rsid w:val="00752282"/>
    <w:rsid w:val="007532ED"/>
    <w:rsid w:val="007532EE"/>
    <w:rsid w:val="00753BAD"/>
    <w:rsid w:val="00753E63"/>
    <w:rsid w:val="007544BF"/>
    <w:rsid w:val="0075476A"/>
    <w:rsid w:val="00754BA0"/>
    <w:rsid w:val="00755040"/>
    <w:rsid w:val="00755D6A"/>
    <w:rsid w:val="0075640B"/>
    <w:rsid w:val="0075646C"/>
    <w:rsid w:val="00756833"/>
    <w:rsid w:val="00760338"/>
    <w:rsid w:val="007603BB"/>
    <w:rsid w:val="007606C0"/>
    <w:rsid w:val="00760C7E"/>
    <w:rsid w:val="007619E8"/>
    <w:rsid w:val="00761CB9"/>
    <w:rsid w:val="00763117"/>
    <w:rsid w:val="00763794"/>
    <w:rsid w:val="00764539"/>
    <w:rsid w:val="007646F2"/>
    <w:rsid w:val="0076493C"/>
    <w:rsid w:val="007670C2"/>
    <w:rsid w:val="0076750E"/>
    <w:rsid w:val="00767C76"/>
    <w:rsid w:val="00770F33"/>
    <w:rsid w:val="007713E8"/>
    <w:rsid w:val="00771F37"/>
    <w:rsid w:val="00772485"/>
    <w:rsid w:val="00772F37"/>
    <w:rsid w:val="00773174"/>
    <w:rsid w:val="007734A0"/>
    <w:rsid w:val="00773792"/>
    <w:rsid w:val="00773984"/>
    <w:rsid w:val="00773B92"/>
    <w:rsid w:val="007741DC"/>
    <w:rsid w:val="00774278"/>
    <w:rsid w:val="0077432C"/>
    <w:rsid w:val="007747E4"/>
    <w:rsid w:val="00774907"/>
    <w:rsid w:val="00774EE4"/>
    <w:rsid w:val="00775DAD"/>
    <w:rsid w:val="00775EE4"/>
    <w:rsid w:val="00776ABA"/>
    <w:rsid w:val="0077765B"/>
    <w:rsid w:val="00777C2E"/>
    <w:rsid w:val="00780C45"/>
    <w:rsid w:val="00780DE4"/>
    <w:rsid w:val="007816FC"/>
    <w:rsid w:val="0078171A"/>
    <w:rsid w:val="00783016"/>
    <w:rsid w:val="007830EE"/>
    <w:rsid w:val="00783ECB"/>
    <w:rsid w:val="007840A2"/>
    <w:rsid w:val="00786ABB"/>
    <w:rsid w:val="0078752D"/>
    <w:rsid w:val="0079005B"/>
    <w:rsid w:val="0079088A"/>
    <w:rsid w:val="00790E2F"/>
    <w:rsid w:val="00791383"/>
    <w:rsid w:val="007914D6"/>
    <w:rsid w:val="007915E3"/>
    <w:rsid w:val="007924FA"/>
    <w:rsid w:val="00792647"/>
    <w:rsid w:val="007928C1"/>
    <w:rsid w:val="00793FC1"/>
    <w:rsid w:val="00795031"/>
    <w:rsid w:val="00796927"/>
    <w:rsid w:val="00796EC8"/>
    <w:rsid w:val="007A0C6B"/>
    <w:rsid w:val="007A0DD0"/>
    <w:rsid w:val="007A1989"/>
    <w:rsid w:val="007A4830"/>
    <w:rsid w:val="007A4A6B"/>
    <w:rsid w:val="007A4CD2"/>
    <w:rsid w:val="007A5961"/>
    <w:rsid w:val="007A6F1B"/>
    <w:rsid w:val="007A6F88"/>
    <w:rsid w:val="007A77E1"/>
    <w:rsid w:val="007A78DC"/>
    <w:rsid w:val="007B0695"/>
    <w:rsid w:val="007B097F"/>
    <w:rsid w:val="007B1728"/>
    <w:rsid w:val="007B1CCE"/>
    <w:rsid w:val="007B1D20"/>
    <w:rsid w:val="007B21E4"/>
    <w:rsid w:val="007B3930"/>
    <w:rsid w:val="007B3DE0"/>
    <w:rsid w:val="007B43E9"/>
    <w:rsid w:val="007B5260"/>
    <w:rsid w:val="007B5490"/>
    <w:rsid w:val="007B7319"/>
    <w:rsid w:val="007B758C"/>
    <w:rsid w:val="007B7B3F"/>
    <w:rsid w:val="007B7F24"/>
    <w:rsid w:val="007C0CF3"/>
    <w:rsid w:val="007C1A50"/>
    <w:rsid w:val="007C1ADA"/>
    <w:rsid w:val="007C1E61"/>
    <w:rsid w:val="007C279C"/>
    <w:rsid w:val="007C39E2"/>
    <w:rsid w:val="007C402D"/>
    <w:rsid w:val="007C4D82"/>
    <w:rsid w:val="007C5B2B"/>
    <w:rsid w:val="007C5C46"/>
    <w:rsid w:val="007C6637"/>
    <w:rsid w:val="007C691C"/>
    <w:rsid w:val="007C69F5"/>
    <w:rsid w:val="007C6BC4"/>
    <w:rsid w:val="007C6FA4"/>
    <w:rsid w:val="007C7434"/>
    <w:rsid w:val="007D0614"/>
    <w:rsid w:val="007D1C49"/>
    <w:rsid w:val="007D27A3"/>
    <w:rsid w:val="007D337E"/>
    <w:rsid w:val="007D3394"/>
    <w:rsid w:val="007D389D"/>
    <w:rsid w:val="007D4CD0"/>
    <w:rsid w:val="007D4F7D"/>
    <w:rsid w:val="007D5082"/>
    <w:rsid w:val="007D57DD"/>
    <w:rsid w:val="007D5C96"/>
    <w:rsid w:val="007D6066"/>
    <w:rsid w:val="007D6459"/>
    <w:rsid w:val="007D66A4"/>
    <w:rsid w:val="007D6723"/>
    <w:rsid w:val="007D6EA5"/>
    <w:rsid w:val="007D6F11"/>
    <w:rsid w:val="007D7783"/>
    <w:rsid w:val="007D7ACD"/>
    <w:rsid w:val="007E0136"/>
    <w:rsid w:val="007E2532"/>
    <w:rsid w:val="007E2AE6"/>
    <w:rsid w:val="007E31B3"/>
    <w:rsid w:val="007E40C9"/>
    <w:rsid w:val="007E4736"/>
    <w:rsid w:val="007E5368"/>
    <w:rsid w:val="007E56F8"/>
    <w:rsid w:val="007E5A90"/>
    <w:rsid w:val="007E63AF"/>
    <w:rsid w:val="007E642A"/>
    <w:rsid w:val="007E6A2F"/>
    <w:rsid w:val="007F012D"/>
    <w:rsid w:val="007F0A02"/>
    <w:rsid w:val="007F2E7D"/>
    <w:rsid w:val="007F3A11"/>
    <w:rsid w:val="007F511E"/>
    <w:rsid w:val="007F524B"/>
    <w:rsid w:val="007F5489"/>
    <w:rsid w:val="007F6F91"/>
    <w:rsid w:val="00800185"/>
    <w:rsid w:val="0080046C"/>
    <w:rsid w:val="00800C9F"/>
    <w:rsid w:val="00801F3E"/>
    <w:rsid w:val="00801F6C"/>
    <w:rsid w:val="00802986"/>
    <w:rsid w:val="00802C30"/>
    <w:rsid w:val="00802DC9"/>
    <w:rsid w:val="008037DC"/>
    <w:rsid w:val="00803B16"/>
    <w:rsid w:val="00803C43"/>
    <w:rsid w:val="00804037"/>
    <w:rsid w:val="00804562"/>
    <w:rsid w:val="00804AD6"/>
    <w:rsid w:val="008056A9"/>
    <w:rsid w:val="008075C0"/>
    <w:rsid w:val="008108F0"/>
    <w:rsid w:val="00810A0C"/>
    <w:rsid w:val="0081114D"/>
    <w:rsid w:val="0081125D"/>
    <w:rsid w:val="008117C8"/>
    <w:rsid w:val="00811AF9"/>
    <w:rsid w:val="00811EF5"/>
    <w:rsid w:val="0081275E"/>
    <w:rsid w:val="00812861"/>
    <w:rsid w:val="00812BCC"/>
    <w:rsid w:val="008131F2"/>
    <w:rsid w:val="00813D7F"/>
    <w:rsid w:val="00813E0E"/>
    <w:rsid w:val="00814C3B"/>
    <w:rsid w:val="00815746"/>
    <w:rsid w:val="008158D9"/>
    <w:rsid w:val="00816636"/>
    <w:rsid w:val="008166C3"/>
    <w:rsid w:val="008166FF"/>
    <w:rsid w:val="008171BC"/>
    <w:rsid w:val="008175A0"/>
    <w:rsid w:val="00817617"/>
    <w:rsid w:val="00817848"/>
    <w:rsid w:val="00817BA4"/>
    <w:rsid w:val="00817FEF"/>
    <w:rsid w:val="008206EC"/>
    <w:rsid w:val="00820997"/>
    <w:rsid w:val="008232A7"/>
    <w:rsid w:val="008250B2"/>
    <w:rsid w:val="008251D8"/>
    <w:rsid w:val="008259B1"/>
    <w:rsid w:val="00825BE0"/>
    <w:rsid w:val="00825EFC"/>
    <w:rsid w:val="00826AC3"/>
    <w:rsid w:val="00826C75"/>
    <w:rsid w:val="00826EF4"/>
    <w:rsid w:val="00827650"/>
    <w:rsid w:val="0082785B"/>
    <w:rsid w:val="008307BD"/>
    <w:rsid w:val="00830E48"/>
    <w:rsid w:val="0083303D"/>
    <w:rsid w:val="00833192"/>
    <w:rsid w:val="008331FC"/>
    <w:rsid w:val="00833265"/>
    <w:rsid w:val="008334D6"/>
    <w:rsid w:val="008339AA"/>
    <w:rsid w:val="00834781"/>
    <w:rsid w:val="00834A66"/>
    <w:rsid w:val="00834F87"/>
    <w:rsid w:val="00836AEE"/>
    <w:rsid w:val="00836B64"/>
    <w:rsid w:val="008370DA"/>
    <w:rsid w:val="00840285"/>
    <w:rsid w:val="008411ED"/>
    <w:rsid w:val="00841D9A"/>
    <w:rsid w:val="00841E30"/>
    <w:rsid w:val="00843D4F"/>
    <w:rsid w:val="00843D7D"/>
    <w:rsid w:val="008447EF"/>
    <w:rsid w:val="00847C34"/>
    <w:rsid w:val="00847D34"/>
    <w:rsid w:val="00850002"/>
    <w:rsid w:val="0085139B"/>
    <w:rsid w:val="0085208A"/>
    <w:rsid w:val="0085282C"/>
    <w:rsid w:val="00852BA2"/>
    <w:rsid w:val="00853068"/>
    <w:rsid w:val="008534A6"/>
    <w:rsid w:val="00853721"/>
    <w:rsid w:val="00853B72"/>
    <w:rsid w:val="00853CA9"/>
    <w:rsid w:val="00854271"/>
    <w:rsid w:val="00854880"/>
    <w:rsid w:val="00854900"/>
    <w:rsid w:val="008554FC"/>
    <w:rsid w:val="00855A2E"/>
    <w:rsid w:val="00855ECD"/>
    <w:rsid w:val="008571D8"/>
    <w:rsid w:val="00857459"/>
    <w:rsid w:val="00860A17"/>
    <w:rsid w:val="0086137E"/>
    <w:rsid w:val="0086166A"/>
    <w:rsid w:val="0086247D"/>
    <w:rsid w:val="00864D40"/>
    <w:rsid w:val="008656B8"/>
    <w:rsid w:val="008657CE"/>
    <w:rsid w:val="00865BAE"/>
    <w:rsid w:val="00866742"/>
    <w:rsid w:val="0086681B"/>
    <w:rsid w:val="00866BC8"/>
    <w:rsid w:val="00867D5C"/>
    <w:rsid w:val="00870949"/>
    <w:rsid w:val="00871728"/>
    <w:rsid w:val="008726FC"/>
    <w:rsid w:val="0087272A"/>
    <w:rsid w:val="0087377E"/>
    <w:rsid w:val="00873D81"/>
    <w:rsid w:val="008743A9"/>
    <w:rsid w:val="00874A03"/>
    <w:rsid w:val="00874A22"/>
    <w:rsid w:val="00877BF7"/>
    <w:rsid w:val="00880A39"/>
    <w:rsid w:val="00880DA7"/>
    <w:rsid w:val="008815C3"/>
    <w:rsid w:val="008826D3"/>
    <w:rsid w:val="008833E6"/>
    <w:rsid w:val="00883D71"/>
    <w:rsid w:val="00883F36"/>
    <w:rsid w:val="0088453E"/>
    <w:rsid w:val="00885221"/>
    <w:rsid w:val="00886479"/>
    <w:rsid w:val="008864E5"/>
    <w:rsid w:val="00887767"/>
    <w:rsid w:val="00890613"/>
    <w:rsid w:val="008906B8"/>
    <w:rsid w:val="00890A92"/>
    <w:rsid w:val="0089107D"/>
    <w:rsid w:val="0089142C"/>
    <w:rsid w:val="00891B53"/>
    <w:rsid w:val="00892004"/>
    <w:rsid w:val="00892F3C"/>
    <w:rsid w:val="00893451"/>
    <w:rsid w:val="00893D58"/>
    <w:rsid w:val="00894FB5"/>
    <w:rsid w:val="00895D8F"/>
    <w:rsid w:val="00896112"/>
    <w:rsid w:val="00896D9A"/>
    <w:rsid w:val="00897E32"/>
    <w:rsid w:val="00897E54"/>
    <w:rsid w:val="008A00F9"/>
    <w:rsid w:val="008A0175"/>
    <w:rsid w:val="008A230C"/>
    <w:rsid w:val="008A23B4"/>
    <w:rsid w:val="008A2C19"/>
    <w:rsid w:val="008A3346"/>
    <w:rsid w:val="008A3AE6"/>
    <w:rsid w:val="008A445C"/>
    <w:rsid w:val="008A44E8"/>
    <w:rsid w:val="008A45BB"/>
    <w:rsid w:val="008A47B6"/>
    <w:rsid w:val="008A578B"/>
    <w:rsid w:val="008A5803"/>
    <w:rsid w:val="008A5CFA"/>
    <w:rsid w:val="008A5D7D"/>
    <w:rsid w:val="008A63EC"/>
    <w:rsid w:val="008A65A5"/>
    <w:rsid w:val="008A6BB7"/>
    <w:rsid w:val="008A7925"/>
    <w:rsid w:val="008A7E8D"/>
    <w:rsid w:val="008B0D53"/>
    <w:rsid w:val="008B1497"/>
    <w:rsid w:val="008B192B"/>
    <w:rsid w:val="008B1D2F"/>
    <w:rsid w:val="008B2262"/>
    <w:rsid w:val="008B22F7"/>
    <w:rsid w:val="008B2811"/>
    <w:rsid w:val="008B4B61"/>
    <w:rsid w:val="008B5020"/>
    <w:rsid w:val="008B583D"/>
    <w:rsid w:val="008B6498"/>
    <w:rsid w:val="008B66B7"/>
    <w:rsid w:val="008B6945"/>
    <w:rsid w:val="008B76B3"/>
    <w:rsid w:val="008C0188"/>
    <w:rsid w:val="008C0B12"/>
    <w:rsid w:val="008C1218"/>
    <w:rsid w:val="008C14F2"/>
    <w:rsid w:val="008C33C1"/>
    <w:rsid w:val="008C35B8"/>
    <w:rsid w:val="008C35CA"/>
    <w:rsid w:val="008C3A29"/>
    <w:rsid w:val="008C4411"/>
    <w:rsid w:val="008C462F"/>
    <w:rsid w:val="008C4AFA"/>
    <w:rsid w:val="008C4BE2"/>
    <w:rsid w:val="008C4CC3"/>
    <w:rsid w:val="008C5C35"/>
    <w:rsid w:val="008C5EA5"/>
    <w:rsid w:val="008C65E2"/>
    <w:rsid w:val="008C6B3B"/>
    <w:rsid w:val="008C6C6F"/>
    <w:rsid w:val="008C7408"/>
    <w:rsid w:val="008C753B"/>
    <w:rsid w:val="008C75DB"/>
    <w:rsid w:val="008C76F3"/>
    <w:rsid w:val="008D04D7"/>
    <w:rsid w:val="008D1404"/>
    <w:rsid w:val="008D1551"/>
    <w:rsid w:val="008D1C50"/>
    <w:rsid w:val="008D2822"/>
    <w:rsid w:val="008D2A57"/>
    <w:rsid w:val="008D2EB4"/>
    <w:rsid w:val="008D34A9"/>
    <w:rsid w:val="008D43AF"/>
    <w:rsid w:val="008D45A1"/>
    <w:rsid w:val="008D5137"/>
    <w:rsid w:val="008D51DA"/>
    <w:rsid w:val="008D5A0C"/>
    <w:rsid w:val="008D5CC5"/>
    <w:rsid w:val="008D64C8"/>
    <w:rsid w:val="008D73F8"/>
    <w:rsid w:val="008D76C4"/>
    <w:rsid w:val="008D7EC2"/>
    <w:rsid w:val="008E052B"/>
    <w:rsid w:val="008E0A1F"/>
    <w:rsid w:val="008E1AB2"/>
    <w:rsid w:val="008E1DA9"/>
    <w:rsid w:val="008E3429"/>
    <w:rsid w:val="008E37DD"/>
    <w:rsid w:val="008E38B6"/>
    <w:rsid w:val="008E40EC"/>
    <w:rsid w:val="008E55AD"/>
    <w:rsid w:val="008E61FA"/>
    <w:rsid w:val="008E6C60"/>
    <w:rsid w:val="008E7420"/>
    <w:rsid w:val="008E7C9B"/>
    <w:rsid w:val="008F06E8"/>
    <w:rsid w:val="008F2B04"/>
    <w:rsid w:val="008F2F98"/>
    <w:rsid w:val="008F3236"/>
    <w:rsid w:val="008F347F"/>
    <w:rsid w:val="008F43D0"/>
    <w:rsid w:val="008F4722"/>
    <w:rsid w:val="008F4DB5"/>
    <w:rsid w:val="008F4EEB"/>
    <w:rsid w:val="008F52D4"/>
    <w:rsid w:val="008F541C"/>
    <w:rsid w:val="008F5BA2"/>
    <w:rsid w:val="008F6274"/>
    <w:rsid w:val="008F6767"/>
    <w:rsid w:val="008F791B"/>
    <w:rsid w:val="0090047A"/>
    <w:rsid w:val="00900722"/>
    <w:rsid w:val="009018FB"/>
    <w:rsid w:val="00901F41"/>
    <w:rsid w:val="0090223F"/>
    <w:rsid w:val="0090255E"/>
    <w:rsid w:val="0090257E"/>
    <w:rsid w:val="00902898"/>
    <w:rsid w:val="00903BF6"/>
    <w:rsid w:val="00903FF5"/>
    <w:rsid w:val="009047B5"/>
    <w:rsid w:val="00904815"/>
    <w:rsid w:val="00904ABE"/>
    <w:rsid w:val="00904C78"/>
    <w:rsid w:val="00905AA1"/>
    <w:rsid w:val="00905B70"/>
    <w:rsid w:val="00905CD2"/>
    <w:rsid w:val="00906E76"/>
    <w:rsid w:val="00907F7E"/>
    <w:rsid w:val="00910A04"/>
    <w:rsid w:val="00910ADB"/>
    <w:rsid w:val="009118CB"/>
    <w:rsid w:val="00911ED4"/>
    <w:rsid w:val="00912080"/>
    <w:rsid w:val="009120D0"/>
    <w:rsid w:val="00913F2C"/>
    <w:rsid w:val="0091468C"/>
    <w:rsid w:val="00914B99"/>
    <w:rsid w:val="00916A51"/>
    <w:rsid w:val="00920330"/>
    <w:rsid w:val="00920971"/>
    <w:rsid w:val="00921944"/>
    <w:rsid w:val="009219B7"/>
    <w:rsid w:val="009222EE"/>
    <w:rsid w:val="009223C6"/>
    <w:rsid w:val="00922788"/>
    <w:rsid w:val="00922F80"/>
    <w:rsid w:val="00924E9F"/>
    <w:rsid w:val="009253AF"/>
    <w:rsid w:val="0092711B"/>
    <w:rsid w:val="0092756E"/>
    <w:rsid w:val="00927692"/>
    <w:rsid w:val="009277D1"/>
    <w:rsid w:val="00930F12"/>
    <w:rsid w:val="00931526"/>
    <w:rsid w:val="00933000"/>
    <w:rsid w:val="00935E14"/>
    <w:rsid w:val="00935E6A"/>
    <w:rsid w:val="00936145"/>
    <w:rsid w:val="00936181"/>
    <w:rsid w:val="009373B8"/>
    <w:rsid w:val="00937A76"/>
    <w:rsid w:val="009401C4"/>
    <w:rsid w:val="009404BF"/>
    <w:rsid w:val="009410F2"/>
    <w:rsid w:val="009416FA"/>
    <w:rsid w:val="0094371F"/>
    <w:rsid w:val="00943761"/>
    <w:rsid w:val="00944D0E"/>
    <w:rsid w:val="00945F86"/>
    <w:rsid w:val="00946BFC"/>
    <w:rsid w:val="009473EF"/>
    <w:rsid w:val="009479CE"/>
    <w:rsid w:val="009502E1"/>
    <w:rsid w:val="00950E98"/>
    <w:rsid w:val="009513C7"/>
    <w:rsid w:val="00952142"/>
    <w:rsid w:val="00954658"/>
    <w:rsid w:val="00954ABC"/>
    <w:rsid w:val="009558F5"/>
    <w:rsid w:val="00955B8B"/>
    <w:rsid w:val="0095688A"/>
    <w:rsid w:val="009601F7"/>
    <w:rsid w:val="00960B37"/>
    <w:rsid w:val="00962791"/>
    <w:rsid w:val="00963418"/>
    <w:rsid w:val="0096389D"/>
    <w:rsid w:val="0096455E"/>
    <w:rsid w:val="0096523F"/>
    <w:rsid w:val="0096527D"/>
    <w:rsid w:val="00966163"/>
    <w:rsid w:val="00966992"/>
    <w:rsid w:val="00966E0A"/>
    <w:rsid w:val="0096708A"/>
    <w:rsid w:val="00967113"/>
    <w:rsid w:val="00970E40"/>
    <w:rsid w:val="009710CE"/>
    <w:rsid w:val="00971123"/>
    <w:rsid w:val="0097126E"/>
    <w:rsid w:val="00972937"/>
    <w:rsid w:val="0097355A"/>
    <w:rsid w:val="009738E8"/>
    <w:rsid w:val="00973D5E"/>
    <w:rsid w:val="00974D28"/>
    <w:rsid w:val="009750F2"/>
    <w:rsid w:val="0097611F"/>
    <w:rsid w:val="00976CD2"/>
    <w:rsid w:val="00977701"/>
    <w:rsid w:val="0097790B"/>
    <w:rsid w:val="00980C12"/>
    <w:rsid w:val="009810CC"/>
    <w:rsid w:val="009813A0"/>
    <w:rsid w:val="00981DDA"/>
    <w:rsid w:val="00981E24"/>
    <w:rsid w:val="009824C6"/>
    <w:rsid w:val="00982C9F"/>
    <w:rsid w:val="00982D1F"/>
    <w:rsid w:val="00982D7C"/>
    <w:rsid w:val="0098343A"/>
    <w:rsid w:val="0098411E"/>
    <w:rsid w:val="00984231"/>
    <w:rsid w:val="009842ED"/>
    <w:rsid w:val="00984698"/>
    <w:rsid w:val="00984ED1"/>
    <w:rsid w:val="0098538A"/>
    <w:rsid w:val="00987D85"/>
    <w:rsid w:val="00987F65"/>
    <w:rsid w:val="00990579"/>
    <w:rsid w:val="009909C5"/>
    <w:rsid w:val="009917D3"/>
    <w:rsid w:val="0099182C"/>
    <w:rsid w:val="00991C13"/>
    <w:rsid w:val="0099244C"/>
    <w:rsid w:val="00992C04"/>
    <w:rsid w:val="00993024"/>
    <w:rsid w:val="00993B65"/>
    <w:rsid w:val="00994684"/>
    <w:rsid w:val="009960FB"/>
    <w:rsid w:val="009964C5"/>
    <w:rsid w:val="00996877"/>
    <w:rsid w:val="00996BD4"/>
    <w:rsid w:val="00997027"/>
    <w:rsid w:val="00997C59"/>
    <w:rsid w:val="009A018F"/>
    <w:rsid w:val="009A0286"/>
    <w:rsid w:val="009A1BE7"/>
    <w:rsid w:val="009A28BE"/>
    <w:rsid w:val="009A3392"/>
    <w:rsid w:val="009A3789"/>
    <w:rsid w:val="009A4354"/>
    <w:rsid w:val="009A4C2C"/>
    <w:rsid w:val="009A60EE"/>
    <w:rsid w:val="009A6DC0"/>
    <w:rsid w:val="009B001E"/>
    <w:rsid w:val="009B008F"/>
    <w:rsid w:val="009B0E02"/>
    <w:rsid w:val="009B207B"/>
    <w:rsid w:val="009B2A71"/>
    <w:rsid w:val="009B41CD"/>
    <w:rsid w:val="009B6F97"/>
    <w:rsid w:val="009B6FF9"/>
    <w:rsid w:val="009B73EB"/>
    <w:rsid w:val="009C0185"/>
    <w:rsid w:val="009C12F8"/>
    <w:rsid w:val="009C2BC7"/>
    <w:rsid w:val="009C2E92"/>
    <w:rsid w:val="009C30A0"/>
    <w:rsid w:val="009C319E"/>
    <w:rsid w:val="009C3691"/>
    <w:rsid w:val="009C4710"/>
    <w:rsid w:val="009C58E5"/>
    <w:rsid w:val="009C7B96"/>
    <w:rsid w:val="009D05E3"/>
    <w:rsid w:val="009D0789"/>
    <w:rsid w:val="009D08F2"/>
    <w:rsid w:val="009D127C"/>
    <w:rsid w:val="009D15AF"/>
    <w:rsid w:val="009D16EF"/>
    <w:rsid w:val="009D21F1"/>
    <w:rsid w:val="009D2311"/>
    <w:rsid w:val="009D26FF"/>
    <w:rsid w:val="009D29AD"/>
    <w:rsid w:val="009D2B52"/>
    <w:rsid w:val="009D35CA"/>
    <w:rsid w:val="009D3AEA"/>
    <w:rsid w:val="009D48C4"/>
    <w:rsid w:val="009D5F6E"/>
    <w:rsid w:val="009D604B"/>
    <w:rsid w:val="009D6383"/>
    <w:rsid w:val="009D6A49"/>
    <w:rsid w:val="009D70D9"/>
    <w:rsid w:val="009E07E8"/>
    <w:rsid w:val="009E0F99"/>
    <w:rsid w:val="009E152A"/>
    <w:rsid w:val="009E1704"/>
    <w:rsid w:val="009E19EA"/>
    <w:rsid w:val="009E34E2"/>
    <w:rsid w:val="009E4401"/>
    <w:rsid w:val="009E4723"/>
    <w:rsid w:val="009E4BCB"/>
    <w:rsid w:val="009E513D"/>
    <w:rsid w:val="009E5214"/>
    <w:rsid w:val="009E5FC0"/>
    <w:rsid w:val="009E62A4"/>
    <w:rsid w:val="009E6EC2"/>
    <w:rsid w:val="009F02A0"/>
    <w:rsid w:val="009F0330"/>
    <w:rsid w:val="009F04DF"/>
    <w:rsid w:val="009F0789"/>
    <w:rsid w:val="009F1298"/>
    <w:rsid w:val="009F174A"/>
    <w:rsid w:val="009F242E"/>
    <w:rsid w:val="009F2E35"/>
    <w:rsid w:val="009F2ED1"/>
    <w:rsid w:val="009F38E2"/>
    <w:rsid w:val="009F3D37"/>
    <w:rsid w:val="009F4439"/>
    <w:rsid w:val="009F4521"/>
    <w:rsid w:val="009F4725"/>
    <w:rsid w:val="009F4AB8"/>
    <w:rsid w:val="009F5857"/>
    <w:rsid w:val="009F6123"/>
    <w:rsid w:val="009F6584"/>
    <w:rsid w:val="009F6D12"/>
    <w:rsid w:val="009F7D56"/>
    <w:rsid w:val="00A01182"/>
    <w:rsid w:val="00A01F75"/>
    <w:rsid w:val="00A02402"/>
    <w:rsid w:val="00A0241E"/>
    <w:rsid w:val="00A02438"/>
    <w:rsid w:val="00A02897"/>
    <w:rsid w:val="00A03C16"/>
    <w:rsid w:val="00A04E86"/>
    <w:rsid w:val="00A055BA"/>
    <w:rsid w:val="00A05AE5"/>
    <w:rsid w:val="00A0683E"/>
    <w:rsid w:val="00A070CF"/>
    <w:rsid w:val="00A07481"/>
    <w:rsid w:val="00A07602"/>
    <w:rsid w:val="00A07F00"/>
    <w:rsid w:val="00A102C3"/>
    <w:rsid w:val="00A104E4"/>
    <w:rsid w:val="00A10D2B"/>
    <w:rsid w:val="00A1130D"/>
    <w:rsid w:val="00A117B9"/>
    <w:rsid w:val="00A11BB0"/>
    <w:rsid w:val="00A12476"/>
    <w:rsid w:val="00A124FC"/>
    <w:rsid w:val="00A12BD0"/>
    <w:rsid w:val="00A12FAA"/>
    <w:rsid w:val="00A1317F"/>
    <w:rsid w:val="00A14750"/>
    <w:rsid w:val="00A15FFD"/>
    <w:rsid w:val="00A164B0"/>
    <w:rsid w:val="00A16806"/>
    <w:rsid w:val="00A16A3F"/>
    <w:rsid w:val="00A16DE3"/>
    <w:rsid w:val="00A210B6"/>
    <w:rsid w:val="00A21E54"/>
    <w:rsid w:val="00A22A53"/>
    <w:rsid w:val="00A22A93"/>
    <w:rsid w:val="00A22FDC"/>
    <w:rsid w:val="00A23469"/>
    <w:rsid w:val="00A237D5"/>
    <w:rsid w:val="00A23B75"/>
    <w:rsid w:val="00A2467E"/>
    <w:rsid w:val="00A26847"/>
    <w:rsid w:val="00A26C19"/>
    <w:rsid w:val="00A270BF"/>
    <w:rsid w:val="00A321FB"/>
    <w:rsid w:val="00A3246C"/>
    <w:rsid w:val="00A33B91"/>
    <w:rsid w:val="00A34E0E"/>
    <w:rsid w:val="00A34E30"/>
    <w:rsid w:val="00A34EA3"/>
    <w:rsid w:val="00A35D7E"/>
    <w:rsid w:val="00A3666C"/>
    <w:rsid w:val="00A36A6B"/>
    <w:rsid w:val="00A36DB6"/>
    <w:rsid w:val="00A36EC2"/>
    <w:rsid w:val="00A37CA6"/>
    <w:rsid w:val="00A40487"/>
    <w:rsid w:val="00A40E8A"/>
    <w:rsid w:val="00A414D7"/>
    <w:rsid w:val="00A415F0"/>
    <w:rsid w:val="00A42FC2"/>
    <w:rsid w:val="00A436A2"/>
    <w:rsid w:val="00A459CC"/>
    <w:rsid w:val="00A467F1"/>
    <w:rsid w:val="00A468BC"/>
    <w:rsid w:val="00A472D8"/>
    <w:rsid w:val="00A4794A"/>
    <w:rsid w:val="00A503A9"/>
    <w:rsid w:val="00A503C1"/>
    <w:rsid w:val="00A504D5"/>
    <w:rsid w:val="00A506C6"/>
    <w:rsid w:val="00A50823"/>
    <w:rsid w:val="00A5142C"/>
    <w:rsid w:val="00A51961"/>
    <w:rsid w:val="00A52352"/>
    <w:rsid w:val="00A536D1"/>
    <w:rsid w:val="00A53A58"/>
    <w:rsid w:val="00A54390"/>
    <w:rsid w:val="00A54544"/>
    <w:rsid w:val="00A56070"/>
    <w:rsid w:val="00A565B0"/>
    <w:rsid w:val="00A56D06"/>
    <w:rsid w:val="00A576E8"/>
    <w:rsid w:val="00A6072B"/>
    <w:rsid w:val="00A60F5C"/>
    <w:rsid w:val="00A611A3"/>
    <w:rsid w:val="00A645E4"/>
    <w:rsid w:val="00A64887"/>
    <w:rsid w:val="00A6543A"/>
    <w:rsid w:val="00A65C40"/>
    <w:rsid w:val="00A661A7"/>
    <w:rsid w:val="00A66CB7"/>
    <w:rsid w:val="00A701F9"/>
    <w:rsid w:val="00A70248"/>
    <w:rsid w:val="00A7189E"/>
    <w:rsid w:val="00A71A8D"/>
    <w:rsid w:val="00A72E99"/>
    <w:rsid w:val="00A72EF1"/>
    <w:rsid w:val="00A738BA"/>
    <w:rsid w:val="00A74660"/>
    <w:rsid w:val="00A777D2"/>
    <w:rsid w:val="00A77DE9"/>
    <w:rsid w:val="00A80030"/>
    <w:rsid w:val="00A802A6"/>
    <w:rsid w:val="00A8133E"/>
    <w:rsid w:val="00A81BC3"/>
    <w:rsid w:val="00A823BE"/>
    <w:rsid w:val="00A83C79"/>
    <w:rsid w:val="00A83FC9"/>
    <w:rsid w:val="00A84FC0"/>
    <w:rsid w:val="00A855E5"/>
    <w:rsid w:val="00A873E6"/>
    <w:rsid w:val="00A925B4"/>
    <w:rsid w:val="00A925E6"/>
    <w:rsid w:val="00A929D8"/>
    <w:rsid w:val="00A938FD"/>
    <w:rsid w:val="00A93DC7"/>
    <w:rsid w:val="00A94ECC"/>
    <w:rsid w:val="00A950AF"/>
    <w:rsid w:val="00A95472"/>
    <w:rsid w:val="00A95677"/>
    <w:rsid w:val="00A95B41"/>
    <w:rsid w:val="00A9669F"/>
    <w:rsid w:val="00A96F28"/>
    <w:rsid w:val="00A97633"/>
    <w:rsid w:val="00A9769B"/>
    <w:rsid w:val="00AA045C"/>
    <w:rsid w:val="00AA0D93"/>
    <w:rsid w:val="00AA1BCB"/>
    <w:rsid w:val="00AA297A"/>
    <w:rsid w:val="00AA2F59"/>
    <w:rsid w:val="00AA3103"/>
    <w:rsid w:val="00AA424A"/>
    <w:rsid w:val="00AA42E3"/>
    <w:rsid w:val="00AA4667"/>
    <w:rsid w:val="00AA4E94"/>
    <w:rsid w:val="00AA4E97"/>
    <w:rsid w:val="00AA5DAA"/>
    <w:rsid w:val="00AA6D10"/>
    <w:rsid w:val="00AB020E"/>
    <w:rsid w:val="00AB0C2D"/>
    <w:rsid w:val="00AB0C54"/>
    <w:rsid w:val="00AB2F20"/>
    <w:rsid w:val="00AB3009"/>
    <w:rsid w:val="00AB33E1"/>
    <w:rsid w:val="00AB3C8B"/>
    <w:rsid w:val="00AB4D82"/>
    <w:rsid w:val="00AB51EE"/>
    <w:rsid w:val="00AB5B29"/>
    <w:rsid w:val="00AC1658"/>
    <w:rsid w:val="00AC224E"/>
    <w:rsid w:val="00AC2714"/>
    <w:rsid w:val="00AC285D"/>
    <w:rsid w:val="00AC29CB"/>
    <w:rsid w:val="00AC458E"/>
    <w:rsid w:val="00AC4DFD"/>
    <w:rsid w:val="00AC5D47"/>
    <w:rsid w:val="00AC5E4C"/>
    <w:rsid w:val="00AC6087"/>
    <w:rsid w:val="00AC6435"/>
    <w:rsid w:val="00AC6BFD"/>
    <w:rsid w:val="00AC7EBF"/>
    <w:rsid w:val="00AD042F"/>
    <w:rsid w:val="00AD0EC6"/>
    <w:rsid w:val="00AD1113"/>
    <w:rsid w:val="00AD1A55"/>
    <w:rsid w:val="00AD2E97"/>
    <w:rsid w:val="00AD41BA"/>
    <w:rsid w:val="00AD53A8"/>
    <w:rsid w:val="00AD62A9"/>
    <w:rsid w:val="00AD6957"/>
    <w:rsid w:val="00AD715A"/>
    <w:rsid w:val="00AE0526"/>
    <w:rsid w:val="00AE0D1A"/>
    <w:rsid w:val="00AE1220"/>
    <w:rsid w:val="00AE2415"/>
    <w:rsid w:val="00AE26DB"/>
    <w:rsid w:val="00AE2A63"/>
    <w:rsid w:val="00AE2E72"/>
    <w:rsid w:val="00AE31F0"/>
    <w:rsid w:val="00AE4621"/>
    <w:rsid w:val="00AE4ADB"/>
    <w:rsid w:val="00AE52E4"/>
    <w:rsid w:val="00AE5B92"/>
    <w:rsid w:val="00AE660B"/>
    <w:rsid w:val="00AF04AC"/>
    <w:rsid w:val="00AF05BB"/>
    <w:rsid w:val="00AF1091"/>
    <w:rsid w:val="00AF143C"/>
    <w:rsid w:val="00AF1651"/>
    <w:rsid w:val="00AF1EE8"/>
    <w:rsid w:val="00AF2228"/>
    <w:rsid w:val="00AF2D38"/>
    <w:rsid w:val="00AF2E55"/>
    <w:rsid w:val="00AF2FE2"/>
    <w:rsid w:val="00AF327C"/>
    <w:rsid w:val="00AF4B17"/>
    <w:rsid w:val="00AF504B"/>
    <w:rsid w:val="00AF5D4F"/>
    <w:rsid w:val="00AF6001"/>
    <w:rsid w:val="00AF6EAD"/>
    <w:rsid w:val="00AF6F2F"/>
    <w:rsid w:val="00AF763A"/>
    <w:rsid w:val="00AF7C49"/>
    <w:rsid w:val="00B0063C"/>
    <w:rsid w:val="00B00C1E"/>
    <w:rsid w:val="00B00DC5"/>
    <w:rsid w:val="00B00EF1"/>
    <w:rsid w:val="00B01F14"/>
    <w:rsid w:val="00B020A0"/>
    <w:rsid w:val="00B024AD"/>
    <w:rsid w:val="00B040DB"/>
    <w:rsid w:val="00B0481B"/>
    <w:rsid w:val="00B04E46"/>
    <w:rsid w:val="00B05A6E"/>
    <w:rsid w:val="00B06005"/>
    <w:rsid w:val="00B0614B"/>
    <w:rsid w:val="00B06A38"/>
    <w:rsid w:val="00B0704A"/>
    <w:rsid w:val="00B07EFE"/>
    <w:rsid w:val="00B105DE"/>
    <w:rsid w:val="00B11BB9"/>
    <w:rsid w:val="00B11DD0"/>
    <w:rsid w:val="00B12072"/>
    <w:rsid w:val="00B12350"/>
    <w:rsid w:val="00B12970"/>
    <w:rsid w:val="00B13277"/>
    <w:rsid w:val="00B13C56"/>
    <w:rsid w:val="00B1425E"/>
    <w:rsid w:val="00B144F9"/>
    <w:rsid w:val="00B147B2"/>
    <w:rsid w:val="00B14C64"/>
    <w:rsid w:val="00B14CAA"/>
    <w:rsid w:val="00B1615E"/>
    <w:rsid w:val="00B16432"/>
    <w:rsid w:val="00B208F3"/>
    <w:rsid w:val="00B20D78"/>
    <w:rsid w:val="00B20F3E"/>
    <w:rsid w:val="00B21056"/>
    <w:rsid w:val="00B217BF"/>
    <w:rsid w:val="00B22001"/>
    <w:rsid w:val="00B22996"/>
    <w:rsid w:val="00B23778"/>
    <w:rsid w:val="00B2386F"/>
    <w:rsid w:val="00B23930"/>
    <w:rsid w:val="00B23BCA"/>
    <w:rsid w:val="00B24A9A"/>
    <w:rsid w:val="00B24EFD"/>
    <w:rsid w:val="00B24F26"/>
    <w:rsid w:val="00B2542E"/>
    <w:rsid w:val="00B264CE"/>
    <w:rsid w:val="00B26A75"/>
    <w:rsid w:val="00B31B3C"/>
    <w:rsid w:val="00B32BCC"/>
    <w:rsid w:val="00B33FCF"/>
    <w:rsid w:val="00B346C9"/>
    <w:rsid w:val="00B35AB4"/>
    <w:rsid w:val="00B37A6A"/>
    <w:rsid w:val="00B37E08"/>
    <w:rsid w:val="00B41DFE"/>
    <w:rsid w:val="00B42723"/>
    <w:rsid w:val="00B43AE1"/>
    <w:rsid w:val="00B4488A"/>
    <w:rsid w:val="00B44D13"/>
    <w:rsid w:val="00B45123"/>
    <w:rsid w:val="00B45330"/>
    <w:rsid w:val="00B455E9"/>
    <w:rsid w:val="00B45CAD"/>
    <w:rsid w:val="00B463A1"/>
    <w:rsid w:val="00B47770"/>
    <w:rsid w:val="00B47BE5"/>
    <w:rsid w:val="00B47E3D"/>
    <w:rsid w:val="00B5035B"/>
    <w:rsid w:val="00B50369"/>
    <w:rsid w:val="00B51045"/>
    <w:rsid w:val="00B525A7"/>
    <w:rsid w:val="00B52B11"/>
    <w:rsid w:val="00B52B58"/>
    <w:rsid w:val="00B52BCF"/>
    <w:rsid w:val="00B5332C"/>
    <w:rsid w:val="00B552AB"/>
    <w:rsid w:val="00B55321"/>
    <w:rsid w:val="00B56370"/>
    <w:rsid w:val="00B563D4"/>
    <w:rsid w:val="00B567AD"/>
    <w:rsid w:val="00B57028"/>
    <w:rsid w:val="00B57D0F"/>
    <w:rsid w:val="00B60AF7"/>
    <w:rsid w:val="00B61568"/>
    <w:rsid w:val="00B61742"/>
    <w:rsid w:val="00B63A2F"/>
    <w:rsid w:val="00B65938"/>
    <w:rsid w:val="00B66560"/>
    <w:rsid w:val="00B66ACA"/>
    <w:rsid w:val="00B67429"/>
    <w:rsid w:val="00B67471"/>
    <w:rsid w:val="00B67C69"/>
    <w:rsid w:val="00B70233"/>
    <w:rsid w:val="00B71296"/>
    <w:rsid w:val="00B71E68"/>
    <w:rsid w:val="00B71FAB"/>
    <w:rsid w:val="00B75095"/>
    <w:rsid w:val="00B7568A"/>
    <w:rsid w:val="00B75863"/>
    <w:rsid w:val="00B75E07"/>
    <w:rsid w:val="00B76854"/>
    <w:rsid w:val="00B76890"/>
    <w:rsid w:val="00B779BD"/>
    <w:rsid w:val="00B779EE"/>
    <w:rsid w:val="00B8073E"/>
    <w:rsid w:val="00B80CF8"/>
    <w:rsid w:val="00B81614"/>
    <w:rsid w:val="00B82DAE"/>
    <w:rsid w:val="00B832E3"/>
    <w:rsid w:val="00B83819"/>
    <w:rsid w:val="00B83C27"/>
    <w:rsid w:val="00B8449A"/>
    <w:rsid w:val="00B844C6"/>
    <w:rsid w:val="00B85780"/>
    <w:rsid w:val="00B858F8"/>
    <w:rsid w:val="00B86E1C"/>
    <w:rsid w:val="00B87269"/>
    <w:rsid w:val="00B8751C"/>
    <w:rsid w:val="00B87919"/>
    <w:rsid w:val="00B87B2C"/>
    <w:rsid w:val="00B87EC1"/>
    <w:rsid w:val="00B91A00"/>
    <w:rsid w:val="00B92689"/>
    <w:rsid w:val="00B93483"/>
    <w:rsid w:val="00B93733"/>
    <w:rsid w:val="00B938D8"/>
    <w:rsid w:val="00B93EE8"/>
    <w:rsid w:val="00B93F67"/>
    <w:rsid w:val="00B948D8"/>
    <w:rsid w:val="00B95299"/>
    <w:rsid w:val="00B9534B"/>
    <w:rsid w:val="00B9569C"/>
    <w:rsid w:val="00B96016"/>
    <w:rsid w:val="00B9645B"/>
    <w:rsid w:val="00B96DE9"/>
    <w:rsid w:val="00B97A9C"/>
    <w:rsid w:val="00BA05AB"/>
    <w:rsid w:val="00BA1234"/>
    <w:rsid w:val="00BA12D7"/>
    <w:rsid w:val="00BA138C"/>
    <w:rsid w:val="00BA1B72"/>
    <w:rsid w:val="00BA316F"/>
    <w:rsid w:val="00BA34F4"/>
    <w:rsid w:val="00BA352A"/>
    <w:rsid w:val="00BA3CA2"/>
    <w:rsid w:val="00BA568E"/>
    <w:rsid w:val="00BA59D7"/>
    <w:rsid w:val="00BA5C20"/>
    <w:rsid w:val="00BA6661"/>
    <w:rsid w:val="00BA69B5"/>
    <w:rsid w:val="00BA7EA7"/>
    <w:rsid w:val="00BB01A9"/>
    <w:rsid w:val="00BB05BA"/>
    <w:rsid w:val="00BB0EFF"/>
    <w:rsid w:val="00BB1E43"/>
    <w:rsid w:val="00BB1FB5"/>
    <w:rsid w:val="00BB2CFC"/>
    <w:rsid w:val="00BB2F14"/>
    <w:rsid w:val="00BB3419"/>
    <w:rsid w:val="00BB3A4D"/>
    <w:rsid w:val="00BB4A86"/>
    <w:rsid w:val="00BB4EED"/>
    <w:rsid w:val="00BB5636"/>
    <w:rsid w:val="00BB5ACD"/>
    <w:rsid w:val="00BB6370"/>
    <w:rsid w:val="00BB64EF"/>
    <w:rsid w:val="00BB6B04"/>
    <w:rsid w:val="00BB76F9"/>
    <w:rsid w:val="00BC0167"/>
    <w:rsid w:val="00BC05AF"/>
    <w:rsid w:val="00BC0D3F"/>
    <w:rsid w:val="00BC113A"/>
    <w:rsid w:val="00BC1AC0"/>
    <w:rsid w:val="00BC3FFC"/>
    <w:rsid w:val="00BC40B8"/>
    <w:rsid w:val="00BC4181"/>
    <w:rsid w:val="00BC44B0"/>
    <w:rsid w:val="00BC4935"/>
    <w:rsid w:val="00BC543B"/>
    <w:rsid w:val="00BC5E78"/>
    <w:rsid w:val="00BC62C8"/>
    <w:rsid w:val="00BC6C93"/>
    <w:rsid w:val="00BD12EE"/>
    <w:rsid w:val="00BD1D1F"/>
    <w:rsid w:val="00BD20C9"/>
    <w:rsid w:val="00BD4043"/>
    <w:rsid w:val="00BD4F54"/>
    <w:rsid w:val="00BD5143"/>
    <w:rsid w:val="00BD573F"/>
    <w:rsid w:val="00BD6CC0"/>
    <w:rsid w:val="00BD7484"/>
    <w:rsid w:val="00BE10F1"/>
    <w:rsid w:val="00BE1512"/>
    <w:rsid w:val="00BE1C43"/>
    <w:rsid w:val="00BE24C0"/>
    <w:rsid w:val="00BE35D2"/>
    <w:rsid w:val="00BE369C"/>
    <w:rsid w:val="00BE36EC"/>
    <w:rsid w:val="00BE38B3"/>
    <w:rsid w:val="00BE3BAA"/>
    <w:rsid w:val="00BE4199"/>
    <w:rsid w:val="00BE4CDA"/>
    <w:rsid w:val="00BE5076"/>
    <w:rsid w:val="00BE6860"/>
    <w:rsid w:val="00BE6EA5"/>
    <w:rsid w:val="00BF176B"/>
    <w:rsid w:val="00BF1D01"/>
    <w:rsid w:val="00BF1E8C"/>
    <w:rsid w:val="00BF2015"/>
    <w:rsid w:val="00BF212D"/>
    <w:rsid w:val="00BF2A35"/>
    <w:rsid w:val="00BF2E59"/>
    <w:rsid w:val="00BF47CA"/>
    <w:rsid w:val="00BF4C79"/>
    <w:rsid w:val="00BF53DC"/>
    <w:rsid w:val="00C00575"/>
    <w:rsid w:val="00C0075B"/>
    <w:rsid w:val="00C00823"/>
    <w:rsid w:val="00C00D8D"/>
    <w:rsid w:val="00C00F1B"/>
    <w:rsid w:val="00C022DF"/>
    <w:rsid w:val="00C035BC"/>
    <w:rsid w:val="00C0482A"/>
    <w:rsid w:val="00C048C5"/>
    <w:rsid w:val="00C0551A"/>
    <w:rsid w:val="00C058E1"/>
    <w:rsid w:val="00C06F3A"/>
    <w:rsid w:val="00C10097"/>
    <w:rsid w:val="00C100CF"/>
    <w:rsid w:val="00C1084F"/>
    <w:rsid w:val="00C10A74"/>
    <w:rsid w:val="00C11722"/>
    <w:rsid w:val="00C11BAD"/>
    <w:rsid w:val="00C12EA5"/>
    <w:rsid w:val="00C142EF"/>
    <w:rsid w:val="00C14E12"/>
    <w:rsid w:val="00C1567A"/>
    <w:rsid w:val="00C16C2E"/>
    <w:rsid w:val="00C16CFC"/>
    <w:rsid w:val="00C1757E"/>
    <w:rsid w:val="00C17B07"/>
    <w:rsid w:val="00C20055"/>
    <w:rsid w:val="00C204EF"/>
    <w:rsid w:val="00C2085B"/>
    <w:rsid w:val="00C2118C"/>
    <w:rsid w:val="00C21FD4"/>
    <w:rsid w:val="00C22316"/>
    <w:rsid w:val="00C234BE"/>
    <w:rsid w:val="00C23C68"/>
    <w:rsid w:val="00C2464F"/>
    <w:rsid w:val="00C2483C"/>
    <w:rsid w:val="00C24CAB"/>
    <w:rsid w:val="00C24E91"/>
    <w:rsid w:val="00C2503F"/>
    <w:rsid w:val="00C2540C"/>
    <w:rsid w:val="00C267E3"/>
    <w:rsid w:val="00C26954"/>
    <w:rsid w:val="00C26AB6"/>
    <w:rsid w:val="00C306B0"/>
    <w:rsid w:val="00C31C88"/>
    <w:rsid w:val="00C31F5F"/>
    <w:rsid w:val="00C32147"/>
    <w:rsid w:val="00C32159"/>
    <w:rsid w:val="00C328D0"/>
    <w:rsid w:val="00C332F0"/>
    <w:rsid w:val="00C333C5"/>
    <w:rsid w:val="00C334CD"/>
    <w:rsid w:val="00C336C2"/>
    <w:rsid w:val="00C33D2B"/>
    <w:rsid w:val="00C34244"/>
    <w:rsid w:val="00C35551"/>
    <w:rsid w:val="00C36212"/>
    <w:rsid w:val="00C368CA"/>
    <w:rsid w:val="00C36E11"/>
    <w:rsid w:val="00C3736A"/>
    <w:rsid w:val="00C37A89"/>
    <w:rsid w:val="00C37CC4"/>
    <w:rsid w:val="00C40A83"/>
    <w:rsid w:val="00C41509"/>
    <w:rsid w:val="00C41E1A"/>
    <w:rsid w:val="00C4267C"/>
    <w:rsid w:val="00C42A35"/>
    <w:rsid w:val="00C43FF8"/>
    <w:rsid w:val="00C44CD0"/>
    <w:rsid w:val="00C45139"/>
    <w:rsid w:val="00C45145"/>
    <w:rsid w:val="00C46252"/>
    <w:rsid w:val="00C463F0"/>
    <w:rsid w:val="00C464A4"/>
    <w:rsid w:val="00C47E20"/>
    <w:rsid w:val="00C50834"/>
    <w:rsid w:val="00C50A9D"/>
    <w:rsid w:val="00C51454"/>
    <w:rsid w:val="00C5199F"/>
    <w:rsid w:val="00C519BE"/>
    <w:rsid w:val="00C5215B"/>
    <w:rsid w:val="00C52B00"/>
    <w:rsid w:val="00C53175"/>
    <w:rsid w:val="00C531E9"/>
    <w:rsid w:val="00C5362A"/>
    <w:rsid w:val="00C540ED"/>
    <w:rsid w:val="00C54341"/>
    <w:rsid w:val="00C54AE1"/>
    <w:rsid w:val="00C566AB"/>
    <w:rsid w:val="00C56EA3"/>
    <w:rsid w:val="00C57090"/>
    <w:rsid w:val="00C573EE"/>
    <w:rsid w:val="00C57753"/>
    <w:rsid w:val="00C57C08"/>
    <w:rsid w:val="00C57F15"/>
    <w:rsid w:val="00C60973"/>
    <w:rsid w:val="00C60F85"/>
    <w:rsid w:val="00C61090"/>
    <w:rsid w:val="00C6130A"/>
    <w:rsid w:val="00C613C7"/>
    <w:rsid w:val="00C64059"/>
    <w:rsid w:val="00C6437C"/>
    <w:rsid w:val="00C6456E"/>
    <w:rsid w:val="00C64AD9"/>
    <w:rsid w:val="00C64B9E"/>
    <w:rsid w:val="00C65240"/>
    <w:rsid w:val="00C65303"/>
    <w:rsid w:val="00C65B4D"/>
    <w:rsid w:val="00C6675B"/>
    <w:rsid w:val="00C667E7"/>
    <w:rsid w:val="00C67700"/>
    <w:rsid w:val="00C67789"/>
    <w:rsid w:val="00C7007D"/>
    <w:rsid w:val="00C70546"/>
    <w:rsid w:val="00C725E2"/>
    <w:rsid w:val="00C73E04"/>
    <w:rsid w:val="00C7478B"/>
    <w:rsid w:val="00C74EFE"/>
    <w:rsid w:val="00C74FC8"/>
    <w:rsid w:val="00C75571"/>
    <w:rsid w:val="00C7587D"/>
    <w:rsid w:val="00C76DEF"/>
    <w:rsid w:val="00C7746C"/>
    <w:rsid w:val="00C77D17"/>
    <w:rsid w:val="00C81279"/>
    <w:rsid w:val="00C81E8E"/>
    <w:rsid w:val="00C81F2B"/>
    <w:rsid w:val="00C82122"/>
    <w:rsid w:val="00C82874"/>
    <w:rsid w:val="00C82921"/>
    <w:rsid w:val="00C82F28"/>
    <w:rsid w:val="00C832DA"/>
    <w:rsid w:val="00C836B8"/>
    <w:rsid w:val="00C83D31"/>
    <w:rsid w:val="00C84660"/>
    <w:rsid w:val="00C8560F"/>
    <w:rsid w:val="00C85E09"/>
    <w:rsid w:val="00C873A3"/>
    <w:rsid w:val="00C9029E"/>
    <w:rsid w:val="00C90AC0"/>
    <w:rsid w:val="00C913B7"/>
    <w:rsid w:val="00C91BD9"/>
    <w:rsid w:val="00C91C11"/>
    <w:rsid w:val="00C92550"/>
    <w:rsid w:val="00C92855"/>
    <w:rsid w:val="00C92C02"/>
    <w:rsid w:val="00C930ED"/>
    <w:rsid w:val="00C93416"/>
    <w:rsid w:val="00C93C58"/>
    <w:rsid w:val="00C948FC"/>
    <w:rsid w:val="00C950BB"/>
    <w:rsid w:val="00C9511D"/>
    <w:rsid w:val="00C962F8"/>
    <w:rsid w:val="00C9644C"/>
    <w:rsid w:val="00C96BAC"/>
    <w:rsid w:val="00C97171"/>
    <w:rsid w:val="00C97963"/>
    <w:rsid w:val="00C97996"/>
    <w:rsid w:val="00C97D89"/>
    <w:rsid w:val="00CA0549"/>
    <w:rsid w:val="00CA08DF"/>
    <w:rsid w:val="00CA1DA2"/>
    <w:rsid w:val="00CA1F7D"/>
    <w:rsid w:val="00CA2944"/>
    <w:rsid w:val="00CA34DA"/>
    <w:rsid w:val="00CA3D70"/>
    <w:rsid w:val="00CA4C1D"/>
    <w:rsid w:val="00CA4EEE"/>
    <w:rsid w:val="00CA51CE"/>
    <w:rsid w:val="00CA54EC"/>
    <w:rsid w:val="00CA6620"/>
    <w:rsid w:val="00CA6C1F"/>
    <w:rsid w:val="00CA6CF6"/>
    <w:rsid w:val="00CA731E"/>
    <w:rsid w:val="00CA7C1F"/>
    <w:rsid w:val="00CA7EAA"/>
    <w:rsid w:val="00CB0A9D"/>
    <w:rsid w:val="00CB1ABD"/>
    <w:rsid w:val="00CB1B80"/>
    <w:rsid w:val="00CB39EB"/>
    <w:rsid w:val="00CB4446"/>
    <w:rsid w:val="00CB4CFC"/>
    <w:rsid w:val="00CB55E3"/>
    <w:rsid w:val="00CB5EF6"/>
    <w:rsid w:val="00CB64D6"/>
    <w:rsid w:val="00CB687F"/>
    <w:rsid w:val="00CB788C"/>
    <w:rsid w:val="00CC00B3"/>
    <w:rsid w:val="00CC03A0"/>
    <w:rsid w:val="00CC04D6"/>
    <w:rsid w:val="00CC0F20"/>
    <w:rsid w:val="00CC1AA2"/>
    <w:rsid w:val="00CC1D66"/>
    <w:rsid w:val="00CC2513"/>
    <w:rsid w:val="00CC3926"/>
    <w:rsid w:val="00CC3B22"/>
    <w:rsid w:val="00CC4F5A"/>
    <w:rsid w:val="00CC5A1C"/>
    <w:rsid w:val="00CC5AED"/>
    <w:rsid w:val="00CC5B00"/>
    <w:rsid w:val="00CC63D4"/>
    <w:rsid w:val="00CC65F4"/>
    <w:rsid w:val="00CC6DD3"/>
    <w:rsid w:val="00CC7576"/>
    <w:rsid w:val="00CD0C85"/>
    <w:rsid w:val="00CD215E"/>
    <w:rsid w:val="00CD2856"/>
    <w:rsid w:val="00CD4631"/>
    <w:rsid w:val="00CD468F"/>
    <w:rsid w:val="00CD4A7C"/>
    <w:rsid w:val="00CD4D64"/>
    <w:rsid w:val="00CD5DC0"/>
    <w:rsid w:val="00CD7D4E"/>
    <w:rsid w:val="00CD7DDD"/>
    <w:rsid w:val="00CE095F"/>
    <w:rsid w:val="00CE1900"/>
    <w:rsid w:val="00CE321C"/>
    <w:rsid w:val="00CE3745"/>
    <w:rsid w:val="00CE3DCF"/>
    <w:rsid w:val="00CE46E3"/>
    <w:rsid w:val="00CE48DD"/>
    <w:rsid w:val="00CE5BE9"/>
    <w:rsid w:val="00CE7994"/>
    <w:rsid w:val="00CE7E70"/>
    <w:rsid w:val="00CF0223"/>
    <w:rsid w:val="00CF0547"/>
    <w:rsid w:val="00CF0A44"/>
    <w:rsid w:val="00CF1FCF"/>
    <w:rsid w:val="00CF215A"/>
    <w:rsid w:val="00CF296F"/>
    <w:rsid w:val="00CF2B9A"/>
    <w:rsid w:val="00CF2F77"/>
    <w:rsid w:val="00CF3522"/>
    <w:rsid w:val="00CF4042"/>
    <w:rsid w:val="00CF4B2E"/>
    <w:rsid w:val="00CF4BCD"/>
    <w:rsid w:val="00CF664F"/>
    <w:rsid w:val="00CF7516"/>
    <w:rsid w:val="00D00682"/>
    <w:rsid w:val="00D00988"/>
    <w:rsid w:val="00D00D06"/>
    <w:rsid w:val="00D03E59"/>
    <w:rsid w:val="00D04055"/>
    <w:rsid w:val="00D04281"/>
    <w:rsid w:val="00D04485"/>
    <w:rsid w:val="00D04825"/>
    <w:rsid w:val="00D05245"/>
    <w:rsid w:val="00D0530B"/>
    <w:rsid w:val="00D06234"/>
    <w:rsid w:val="00D076AD"/>
    <w:rsid w:val="00D07A1A"/>
    <w:rsid w:val="00D10283"/>
    <w:rsid w:val="00D10C7E"/>
    <w:rsid w:val="00D116C8"/>
    <w:rsid w:val="00D118A5"/>
    <w:rsid w:val="00D11CE5"/>
    <w:rsid w:val="00D12128"/>
    <w:rsid w:val="00D12B55"/>
    <w:rsid w:val="00D13365"/>
    <w:rsid w:val="00D13F36"/>
    <w:rsid w:val="00D1501D"/>
    <w:rsid w:val="00D16292"/>
    <w:rsid w:val="00D16D6C"/>
    <w:rsid w:val="00D17234"/>
    <w:rsid w:val="00D2090F"/>
    <w:rsid w:val="00D21FDD"/>
    <w:rsid w:val="00D21FFA"/>
    <w:rsid w:val="00D22124"/>
    <w:rsid w:val="00D229BD"/>
    <w:rsid w:val="00D23611"/>
    <w:rsid w:val="00D242E9"/>
    <w:rsid w:val="00D24404"/>
    <w:rsid w:val="00D2449F"/>
    <w:rsid w:val="00D25105"/>
    <w:rsid w:val="00D25362"/>
    <w:rsid w:val="00D25AC5"/>
    <w:rsid w:val="00D26FCB"/>
    <w:rsid w:val="00D27D01"/>
    <w:rsid w:val="00D27FCB"/>
    <w:rsid w:val="00D32965"/>
    <w:rsid w:val="00D3372F"/>
    <w:rsid w:val="00D33E2A"/>
    <w:rsid w:val="00D35E0D"/>
    <w:rsid w:val="00D36A62"/>
    <w:rsid w:val="00D37402"/>
    <w:rsid w:val="00D37691"/>
    <w:rsid w:val="00D3773F"/>
    <w:rsid w:val="00D37B07"/>
    <w:rsid w:val="00D37CE0"/>
    <w:rsid w:val="00D41064"/>
    <w:rsid w:val="00D42419"/>
    <w:rsid w:val="00D440AD"/>
    <w:rsid w:val="00D440C0"/>
    <w:rsid w:val="00D443FB"/>
    <w:rsid w:val="00D44CDD"/>
    <w:rsid w:val="00D45109"/>
    <w:rsid w:val="00D4518B"/>
    <w:rsid w:val="00D45B86"/>
    <w:rsid w:val="00D45F23"/>
    <w:rsid w:val="00D47659"/>
    <w:rsid w:val="00D47741"/>
    <w:rsid w:val="00D47EB3"/>
    <w:rsid w:val="00D51264"/>
    <w:rsid w:val="00D521DC"/>
    <w:rsid w:val="00D5223A"/>
    <w:rsid w:val="00D5237A"/>
    <w:rsid w:val="00D52E9C"/>
    <w:rsid w:val="00D543DE"/>
    <w:rsid w:val="00D5445F"/>
    <w:rsid w:val="00D54614"/>
    <w:rsid w:val="00D54659"/>
    <w:rsid w:val="00D54D19"/>
    <w:rsid w:val="00D55B07"/>
    <w:rsid w:val="00D55FB1"/>
    <w:rsid w:val="00D567EF"/>
    <w:rsid w:val="00D571D3"/>
    <w:rsid w:val="00D572EF"/>
    <w:rsid w:val="00D573E7"/>
    <w:rsid w:val="00D57747"/>
    <w:rsid w:val="00D57F85"/>
    <w:rsid w:val="00D60127"/>
    <w:rsid w:val="00D61436"/>
    <w:rsid w:val="00D620C0"/>
    <w:rsid w:val="00D62B44"/>
    <w:rsid w:val="00D63024"/>
    <w:rsid w:val="00D63FBC"/>
    <w:rsid w:val="00D642A6"/>
    <w:rsid w:val="00D643B8"/>
    <w:rsid w:val="00D645B8"/>
    <w:rsid w:val="00D64812"/>
    <w:rsid w:val="00D6503E"/>
    <w:rsid w:val="00D654BC"/>
    <w:rsid w:val="00D65F1D"/>
    <w:rsid w:val="00D67F68"/>
    <w:rsid w:val="00D70226"/>
    <w:rsid w:val="00D72BC0"/>
    <w:rsid w:val="00D72F30"/>
    <w:rsid w:val="00D73153"/>
    <w:rsid w:val="00D749F3"/>
    <w:rsid w:val="00D74C45"/>
    <w:rsid w:val="00D74D74"/>
    <w:rsid w:val="00D754C3"/>
    <w:rsid w:val="00D7562B"/>
    <w:rsid w:val="00D775D1"/>
    <w:rsid w:val="00D81207"/>
    <w:rsid w:val="00D8157C"/>
    <w:rsid w:val="00D81B06"/>
    <w:rsid w:val="00D82D93"/>
    <w:rsid w:val="00D83AB5"/>
    <w:rsid w:val="00D83C13"/>
    <w:rsid w:val="00D84A7E"/>
    <w:rsid w:val="00D85AE7"/>
    <w:rsid w:val="00D85F11"/>
    <w:rsid w:val="00D85F4E"/>
    <w:rsid w:val="00D86444"/>
    <w:rsid w:val="00D86701"/>
    <w:rsid w:val="00D86BF9"/>
    <w:rsid w:val="00D86E03"/>
    <w:rsid w:val="00D871D2"/>
    <w:rsid w:val="00D87C13"/>
    <w:rsid w:val="00D90D50"/>
    <w:rsid w:val="00D91762"/>
    <w:rsid w:val="00D92B5A"/>
    <w:rsid w:val="00D92EE7"/>
    <w:rsid w:val="00D92EFC"/>
    <w:rsid w:val="00D93940"/>
    <w:rsid w:val="00D93CD6"/>
    <w:rsid w:val="00D94669"/>
    <w:rsid w:val="00D94B5C"/>
    <w:rsid w:val="00D9552F"/>
    <w:rsid w:val="00D95C82"/>
    <w:rsid w:val="00D973E5"/>
    <w:rsid w:val="00D97435"/>
    <w:rsid w:val="00D975F2"/>
    <w:rsid w:val="00DA0244"/>
    <w:rsid w:val="00DA0A2C"/>
    <w:rsid w:val="00DA0C99"/>
    <w:rsid w:val="00DA12EE"/>
    <w:rsid w:val="00DA16DF"/>
    <w:rsid w:val="00DA1EA2"/>
    <w:rsid w:val="00DA249E"/>
    <w:rsid w:val="00DA2B46"/>
    <w:rsid w:val="00DA4D28"/>
    <w:rsid w:val="00DA560E"/>
    <w:rsid w:val="00DA6740"/>
    <w:rsid w:val="00DA6A16"/>
    <w:rsid w:val="00DA7146"/>
    <w:rsid w:val="00DB0100"/>
    <w:rsid w:val="00DB0429"/>
    <w:rsid w:val="00DB0D07"/>
    <w:rsid w:val="00DB0EBC"/>
    <w:rsid w:val="00DB1DD6"/>
    <w:rsid w:val="00DB311B"/>
    <w:rsid w:val="00DB336A"/>
    <w:rsid w:val="00DB36AA"/>
    <w:rsid w:val="00DB44D5"/>
    <w:rsid w:val="00DB48AF"/>
    <w:rsid w:val="00DB5297"/>
    <w:rsid w:val="00DB5662"/>
    <w:rsid w:val="00DB68CE"/>
    <w:rsid w:val="00DB74A1"/>
    <w:rsid w:val="00DC0ABA"/>
    <w:rsid w:val="00DC0C28"/>
    <w:rsid w:val="00DC1741"/>
    <w:rsid w:val="00DC1B64"/>
    <w:rsid w:val="00DC2D39"/>
    <w:rsid w:val="00DC31D4"/>
    <w:rsid w:val="00DC3888"/>
    <w:rsid w:val="00DC413B"/>
    <w:rsid w:val="00DC4583"/>
    <w:rsid w:val="00DC4973"/>
    <w:rsid w:val="00DC4A05"/>
    <w:rsid w:val="00DC4BAC"/>
    <w:rsid w:val="00DC5404"/>
    <w:rsid w:val="00DC5607"/>
    <w:rsid w:val="00DC6620"/>
    <w:rsid w:val="00DC6F6F"/>
    <w:rsid w:val="00DC75D8"/>
    <w:rsid w:val="00DC776E"/>
    <w:rsid w:val="00DC7784"/>
    <w:rsid w:val="00DC7EFF"/>
    <w:rsid w:val="00DD06B4"/>
    <w:rsid w:val="00DD089A"/>
    <w:rsid w:val="00DD0A03"/>
    <w:rsid w:val="00DD0FFB"/>
    <w:rsid w:val="00DD1726"/>
    <w:rsid w:val="00DD17F6"/>
    <w:rsid w:val="00DD1FED"/>
    <w:rsid w:val="00DD2699"/>
    <w:rsid w:val="00DD2ACD"/>
    <w:rsid w:val="00DD2CFD"/>
    <w:rsid w:val="00DD321B"/>
    <w:rsid w:val="00DD5EE2"/>
    <w:rsid w:val="00DD5F3E"/>
    <w:rsid w:val="00DD67FC"/>
    <w:rsid w:val="00DD758A"/>
    <w:rsid w:val="00DD77A1"/>
    <w:rsid w:val="00DD78C4"/>
    <w:rsid w:val="00DD7CDB"/>
    <w:rsid w:val="00DE2403"/>
    <w:rsid w:val="00DE260F"/>
    <w:rsid w:val="00DE2B63"/>
    <w:rsid w:val="00DE2FBE"/>
    <w:rsid w:val="00DE3264"/>
    <w:rsid w:val="00DE36A1"/>
    <w:rsid w:val="00DE3F5C"/>
    <w:rsid w:val="00DE4076"/>
    <w:rsid w:val="00DE4122"/>
    <w:rsid w:val="00DE544E"/>
    <w:rsid w:val="00DE548C"/>
    <w:rsid w:val="00DE688F"/>
    <w:rsid w:val="00DF00C4"/>
    <w:rsid w:val="00DF0B0C"/>
    <w:rsid w:val="00DF3B7D"/>
    <w:rsid w:val="00DF4296"/>
    <w:rsid w:val="00DF4A27"/>
    <w:rsid w:val="00DF5406"/>
    <w:rsid w:val="00DF575D"/>
    <w:rsid w:val="00DF7118"/>
    <w:rsid w:val="00E0088D"/>
    <w:rsid w:val="00E00C21"/>
    <w:rsid w:val="00E00F05"/>
    <w:rsid w:val="00E01DAE"/>
    <w:rsid w:val="00E02078"/>
    <w:rsid w:val="00E029C5"/>
    <w:rsid w:val="00E03349"/>
    <w:rsid w:val="00E03421"/>
    <w:rsid w:val="00E03FA2"/>
    <w:rsid w:val="00E04665"/>
    <w:rsid w:val="00E0493B"/>
    <w:rsid w:val="00E05E25"/>
    <w:rsid w:val="00E0650B"/>
    <w:rsid w:val="00E06AC9"/>
    <w:rsid w:val="00E06CE6"/>
    <w:rsid w:val="00E07290"/>
    <w:rsid w:val="00E107D5"/>
    <w:rsid w:val="00E11261"/>
    <w:rsid w:val="00E11471"/>
    <w:rsid w:val="00E11C67"/>
    <w:rsid w:val="00E12295"/>
    <w:rsid w:val="00E12DA4"/>
    <w:rsid w:val="00E12E89"/>
    <w:rsid w:val="00E14613"/>
    <w:rsid w:val="00E14972"/>
    <w:rsid w:val="00E155FD"/>
    <w:rsid w:val="00E1619D"/>
    <w:rsid w:val="00E1623B"/>
    <w:rsid w:val="00E16460"/>
    <w:rsid w:val="00E174E4"/>
    <w:rsid w:val="00E17544"/>
    <w:rsid w:val="00E17816"/>
    <w:rsid w:val="00E201FD"/>
    <w:rsid w:val="00E20204"/>
    <w:rsid w:val="00E206FD"/>
    <w:rsid w:val="00E2296D"/>
    <w:rsid w:val="00E22A7B"/>
    <w:rsid w:val="00E23B02"/>
    <w:rsid w:val="00E249A6"/>
    <w:rsid w:val="00E24AFB"/>
    <w:rsid w:val="00E2594A"/>
    <w:rsid w:val="00E25950"/>
    <w:rsid w:val="00E25A5D"/>
    <w:rsid w:val="00E25C70"/>
    <w:rsid w:val="00E303D7"/>
    <w:rsid w:val="00E304A2"/>
    <w:rsid w:val="00E32506"/>
    <w:rsid w:val="00E32520"/>
    <w:rsid w:val="00E33395"/>
    <w:rsid w:val="00E33978"/>
    <w:rsid w:val="00E33F04"/>
    <w:rsid w:val="00E34154"/>
    <w:rsid w:val="00E3429A"/>
    <w:rsid w:val="00E34573"/>
    <w:rsid w:val="00E34D12"/>
    <w:rsid w:val="00E35814"/>
    <w:rsid w:val="00E35C65"/>
    <w:rsid w:val="00E363C5"/>
    <w:rsid w:val="00E371E7"/>
    <w:rsid w:val="00E4074F"/>
    <w:rsid w:val="00E4273B"/>
    <w:rsid w:val="00E42DD6"/>
    <w:rsid w:val="00E42F1B"/>
    <w:rsid w:val="00E44E04"/>
    <w:rsid w:val="00E4517A"/>
    <w:rsid w:val="00E45341"/>
    <w:rsid w:val="00E458E8"/>
    <w:rsid w:val="00E46524"/>
    <w:rsid w:val="00E467B3"/>
    <w:rsid w:val="00E46E98"/>
    <w:rsid w:val="00E470FC"/>
    <w:rsid w:val="00E47A91"/>
    <w:rsid w:val="00E47FBF"/>
    <w:rsid w:val="00E505CF"/>
    <w:rsid w:val="00E510FC"/>
    <w:rsid w:val="00E528B4"/>
    <w:rsid w:val="00E52AAC"/>
    <w:rsid w:val="00E53233"/>
    <w:rsid w:val="00E54045"/>
    <w:rsid w:val="00E54595"/>
    <w:rsid w:val="00E55508"/>
    <w:rsid w:val="00E555B6"/>
    <w:rsid w:val="00E55940"/>
    <w:rsid w:val="00E5734F"/>
    <w:rsid w:val="00E609C5"/>
    <w:rsid w:val="00E61B55"/>
    <w:rsid w:val="00E62321"/>
    <w:rsid w:val="00E624E5"/>
    <w:rsid w:val="00E628CA"/>
    <w:rsid w:val="00E63011"/>
    <w:rsid w:val="00E632AA"/>
    <w:rsid w:val="00E63AB4"/>
    <w:rsid w:val="00E63D06"/>
    <w:rsid w:val="00E64A42"/>
    <w:rsid w:val="00E64D55"/>
    <w:rsid w:val="00E64F95"/>
    <w:rsid w:val="00E65190"/>
    <w:rsid w:val="00E6536A"/>
    <w:rsid w:val="00E66172"/>
    <w:rsid w:val="00E66610"/>
    <w:rsid w:val="00E6676C"/>
    <w:rsid w:val="00E6677F"/>
    <w:rsid w:val="00E66D2E"/>
    <w:rsid w:val="00E67BC8"/>
    <w:rsid w:val="00E71997"/>
    <w:rsid w:val="00E7211E"/>
    <w:rsid w:val="00E72D33"/>
    <w:rsid w:val="00E72F7A"/>
    <w:rsid w:val="00E730B3"/>
    <w:rsid w:val="00E73CDA"/>
    <w:rsid w:val="00E7480A"/>
    <w:rsid w:val="00E74B49"/>
    <w:rsid w:val="00E74CAA"/>
    <w:rsid w:val="00E74F84"/>
    <w:rsid w:val="00E7675D"/>
    <w:rsid w:val="00E77126"/>
    <w:rsid w:val="00E7714A"/>
    <w:rsid w:val="00E771C1"/>
    <w:rsid w:val="00E77233"/>
    <w:rsid w:val="00E778E4"/>
    <w:rsid w:val="00E77B19"/>
    <w:rsid w:val="00E8147B"/>
    <w:rsid w:val="00E815D8"/>
    <w:rsid w:val="00E81D29"/>
    <w:rsid w:val="00E81FAE"/>
    <w:rsid w:val="00E81FD6"/>
    <w:rsid w:val="00E8324D"/>
    <w:rsid w:val="00E83473"/>
    <w:rsid w:val="00E834EC"/>
    <w:rsid w:val="00E83997"/>
    <w:rsid w:val="00E84636"/>
    <w:rsid w:val="00E849F8"/>
    <w:rsid w:val="00E85584"/>
    <w:rsid w:val="00E85848"/>
    <w:rsid w:val="00E85F0C"/>
    <w:rsid w:val="00E867BF"/>
    <w:rsid w:val="00E86905"/>
    <w:rsid w:val="00E86FE6"/>
    <w:rsid w:val="00E8746B"/>
    <w:rsid w:val="00E877FF"/>
    <w:rsid w:val="00E90218"/>
    <w:rsid w:val="00E913D4"/>
    <w:rsid w:val="00E9150E"/>
    <w:rsid w:val="00E92C7D"/>
    <w:rsid w:val="00E937B2"/>
    <w:rsid w:val="00E93EA6"/>
    <w:rsid w:val="00E942FB"/>
    <w:rsid w:val="00E947EF"/>
    <w:rsid w:val="00E950DF"/>
    <w:rsid w:val="00E952DC"/>
    <w:rsid w:val="00E959DA"/>
    <w:rsid w:val="00E960AA"/>
    <w:rsid w:val="00E9613D"/>
    <w:rsid w:val="00E96691"/>
    <w:rsid w:val="00E96B7D"/>
    <w:rsid w:val="00E97529"/>
    <w:rsid w:val="00E97AE6"/>
    <w:rsid w:val="00EA037D"/>
    <w:rsid w:val="00EA08E2"/>
    <w:rsid w:val="00EA14DE"/>
    <w:rsid w:val="00EA1D2F"/>
    <w:rsid w:val="00EA35C1"/>
    <w:rsid w:val="00EA373F"/>
    <w:rsid w:val="00EA3FB5"/>
    <w:rsid w:val="00EA42A1"/>
    <w:rsid w:val="00EA45F2"/>
    <w:rsid w:val="00EA461A"/>
    <w:rsid w:val="00EA474A"/>
    <w:rsid w:val="00EA4B30"/>
    <w:rsid w:val="00EA5DC2"/>
    <w:rsid w:val="00EB29BC"/>
    <w:rsid w:val="00EB2E0B"/>
    <w:rsid w:val="00EB358F"/>
    <w:rsid w:val="00EB36FC"/>
    <w:rsid w:val="00EB3BBB"/>
    <w:rsid w:val="00EB3ED6"/>
    <w:rsid w:val="00EB4933"/>
    <w:rsid w:val="00EB4CF7"/>
    <w:rsid w:val="00EB549E"/>
    <w:rsid w:val="00EB56CF"/>
    <w:rsid w:val="00EB61D1"/>
    <w:rsid w:val="00EB6327"/>
    <w:rsid w:val="00EB6F1D"/>
    <w:rsid w:val="00EB7603"/>
    <w:rsid w:val="00EB78D6"/>
    <w:rsid w:val="00EC1449"/>
    <w:rsid w:val="00EC1610"/>
    <w:rsid w:val="00EC2202"/>
    <w:rsid w:val="00EC31FE"/>
    <w:rsid w:val="00EC3F34"/>
    <w:rsid w:val="00EC4C38"/>
    <w:rsid w:val="00EC6199"/>
    <w:rsid w:val="00EC61E5"/>
    <w:rsid w:val="00EC63D1"/>
    <w:rsid w:val="00EC6FCD"/>
    <w:rsid w:val="00EC7ED3"/>
    <w:rsid w:val="00ED08DB"/>
    <w:rsid w:val="00ED29DB"/>
    <w:rsid w:val="00ED35AA"/>
    <w:rsid w:val="00ED3674"/>
    <w:rsid w:val="00ED49FA"/>
    <w:rsid w:val="00ED5245"/>
    <w:rsid w:val="00ED6710"/>
    <w:rsid w:val="00ED6838"/>
    <w:rsid w:val="00ED6D44"/>
    <w:rsid w:val="00ED764C"/>
    <w:rsid w:val="00ED7FD9"/>
    <w:rsid w:val="00EE07B7"/>
    <w:rsid w:val="00EE0881"/>
    <w:rsid w:val="00EE0D98"/>
    <w:rsid w:val="00EE12A9"/>
    <w:rsid w:val="00EE1976"/>
    <w:rsid w:val="00EE300B"/>
    <w:rsid w:val="00EE3032"/>
    <w:rsid w:val="00EE42BF"/>
    <w:rsid w:val="00EE4D77"/>
    <w:rsid w:val="00EE5965"/>
    <w:rsid w:val="00EE63DD"/>
    <w:rsid w:val="00EE73BF"/>
    <w:rsid w:val="00EF12B9"/>
    <w:rsid w:val="00EF2046"/>
    <w:rsid w:val="00EF271E"/>
    <w:rsid w:val="00EF2C14"/>
    <w:rsid w:val="00EF3981"/>
    <w:rsid w:val="00EF3F88"/>
    <w:rsid w:val="00EF401B"/>
    <w:rsid w:val="00EF431F"/>
    <w:rsid w:val="00EF43D2"/>
    <w:rsid w:val="00EF4A22"/>
    <w:rsid w:val="00EF4FCD"/>
    <w:rsid w:val="00EF68B0"/>
    <w:rsid w:val="00EF68EE"/>
    <w:rsid w:val="00EF6BFE"/>
    <w:rsid w:val="00EF6ED5"/>
    <w:rsid w:val="00EF7A3A"/>
    <w:rsid w:val="00EF7BAD"/>
    <w:rsid w:val="00F005C5"/>
    <w:rsid w:val="00F007A8"/>
    <w:rsid w:val="00F009D0"/>
    <w:rsid w:val="00F00A7D"/>
    <w:rsid w:val="00F018F8"/>
    <w:rsid w:val="00F023DB"/>
    <w:rsid w:val="00F0268F"/>
    <w:rsid w:val="00F02F72"/>
    <w:rsid w:val="00F03055"/>
    <w:rsid w:val="00F036F1"/>
    <w:rsid w:val="00F042DB"/>
    <w:rsid w:val="00F045C1"/>
    <w:rsid w:val="00F04628"/>
    <w:rsid w:val="00F048A6"/>
    <w:rsid w:val="00F057C1"/>
    <w:rsid w:val="00F05FE5"/>
    <w:rsid w:val="00F06361"/>
    <w:rsid w:val="00F06979"/>
    <w:rsid w:val="00F06A1F"/>
    <w:rsid w:val="00F07109"/>
    <w:rsid w:val="00F07210"/>
    <w:rsid w:val="00F07539"/>
    <w:rsid w:val="00F102AE"/>
    <w:rsid w:val="00F111BD"/>
    <w:rsid w:val="00F11EB7"/>
    <w:rsid w:val="00F12301"/>
    <w:rsid w:val="00F16736"/>
    <w:rsid w:val="00F17D98"/>
    <w:rsid w:val="00F17DBC"/>
    <w:rsid w:val="00F203A8"/>
    <w:rsid w:val="00F2041E"/>
    <w:rsid w:val="00F2052D"/>
    <w:rsid w:val="00F21833"/>
    <w:rsid w:val="00F21B7A"/>
    <w:rsid w:val="00F21C5B"/>
    <w:rsid w:val="00F22F64"/>
    <w:rsid w:val="00F22FDA"/>
    <w:rsid w:val="00F23093"/>
    <w:rsid w:val="00F23889"/>
    <w:rsid w:val="00F2409C"/>
    <w:rsid w:val="00F241E4"/>
    <w:rsid w:val="00F245D8"/>
    <w:rsid w:val="00F250B6"/>
    <w:rsid w:val="00F25323"/>
    <w:rsid w:val="00F254D3"/>
    <w:rsid w:val="00F27CFE"/>
    <w:rsid w:val="00F300D0"/>
    <w:rsid w:val="00F3011F"/>
    <w:rsid w:val="00F302EF"/>
    <w:rsid w:val="00F3031E"/>
    <w:rsid w:val="00F3063D"/>
    <w:rsid w:val="00F31431"/>
    <w:rsid w:val="00F3166C"/>
    <w:rsid w:val="00F318CB"/>
    <w:rsid w:val="00F31EE9"/>
    <w:rsid w:val="00F323D3"/>
    <w:rsid w:val="00F3270E"/>
    <w:rsid w:val="00F329D6"/>
    <w:rsid w:val="00F32F5B"/>
    <w:rsid w:val="00F32F68"/>
    <w:rsid w:val="00F33CB4"/>
    <w:rsid w:val="00F33ECF"/>
    <w:rsid w:val="00F342DE"/>
    <w:rsid w:val="00F34A72"/>
    <w:rsid w:val="00F352EA"/>
    <w:rsid w:val="00F3606B"/>
    <w:rsid w:val="00F36E6F"/>
    <w:rsid w:val="00F376D5"/>
    <w:rsid w:val="00F376FD"/>
    <w:rsid w:val="00F3771C"/>
    <w:rsid w:val="00F37A44"/>
    <w:rsid w:val="00F40258"/>
    <w:rsid w:val="00F40A65"/>
    <w:rsid w:val="00F412E6"/>
    <w:rsid w:val="00F42168"/>
    <w:rsid w:val="00F424D6"/>
    <w:rsid w:val="00F43263"/>
    <w:rsid w:val="00F44393"/>
    <w:rsid w:val="00F4511E"/>
    <w:rsid w:val="00F45348"/>
    <w:rsid w:val="00F45802"/>
    <w:rsid w:val="00F45C9D"/>
    <w:rsid w:val="00F46F48"/>
    <w:rsid w:val="00F47000"/>
    <w:rsid w:val="00F477B7"/>
    <w:rsid w:val="00F47FE1"/>
    <w:rsid w:val="00F5052A"/>
    <w:rsid w:val="00F51A28"/>
    <w:rsid w:val="00F51B5C"/>
    <w:rsid w:val="00F51D5E"/>
    <w:rsid w:val="00F521BF"/>
    <w:rsid w:val="00F526D2"/>
    <w:rsid w:val="00F52BE2"/>
    <w:rsid w:val="00F530A6"/>
    <w:rsid w:val="00F53295"/>
    <w:rsid w:val="00F53B88"/>
    <w:rsid w:val="00F54541"/>
    <w:rsid w:val="00F54C6B"/>
    <w:rsid w:val="00F55452"/>
    <w:rsid w:val="00F55D6E"/>
    <w:rsid w:val="00F56CEC"/>
    <w:rsid w:val="00F5766B"/>
    <w:rsid w:val="00F60E2A"/>
    <w:rsid w:val="00F60F23"/>
    <w:rsid w:val="00F6104A"/>
    <w:rsid w:val="00F628C5"/>
    <w:rsid w:val="00F63436"/>
    <w:rsid w:val="00F63EAC"/>
    <w:rsid w:val="00F65A63"/>
    <w:rsid w:val="00F65CE6"/>
    <w:rsid w:val="00F65DCB"/>
    <w:rsid w:val="00F6634A"/>
    <w:rsid w:val="00F70F62"/>
    <w:rsid w:val="00F712E2"/>
    <w:rsid w:val="00F712F7"/>
    <w:rsid w:val="00F71722"/>
    <w:rsid w:val="00F71F29"/>
    <w:rsid w:val="00F7223F"/>
    <w:rsid w:val="00F7266B"/>
    <w:rsid w:val="00F72911"/>
    <w:rsid w:val="00F72C26"/>
    <w:rsid w:val="00F72DC0"/>
    <w:rsid w:val="00F72F8D"/>
    <w:rsid w:val="00F73BE8"/>
    <w:rsid w:val="00F74514"/>
    <w:rsid w:val="00F7623B"/>
    <w:rsid w:val="00F765DE"/>
    <w:rsid w:val="00F768AE"/>
    <w:rsid w:val="00F8004C"/>
    <w:rsid w:val="00F80BBD"/>
    <w:rsid w:val="00F813C4"/>
    <w:rsid w:val="00F8153F"/>
    <w:rsid w:val="00F81624"/>
    <w:rsid w:val="00F81631"/>
    <w:rsid w:val="00F81789"/>
    <w:rsid w:val="00F81E11"/>
    <w:rsid w:val="00F825CB"/>
    <w:rsid w:val="00F82B75"/>
    <w:rsid w:val="00F82B91"/>
    <w:rsid w:val="00F82BF0"/>
    <w:rsid w:val="00F83BED"/>
    <w:rsid w:val="00F83BF7"/>
    <w:rsid w:val="00F850F4"/>
    <w:rsid w:val="00F86791"/>
    <w:rsid w:val="00F8781D"/>
    <w:rsid w:val="00F879E5"/>
    <w:rsid w:val="00F9063C"/>
    <w:rsid w:val="00F91E30"/>
    <w:rsid w:val="00F9239D"/>
    <w:rsid w:val="00F92B3F"/>
    <w:rsid w:val="00F92D08"/>
    <w:rsid w:val="00F92F6B"/>
    <w:rsid w:val="00F96DD1"/>
    <w:rsid w:val="00F97B20"/>
    <w:rsid w:val="00FA0598"/>
    <w:rsid w:val="00FA0746"/>
    <w:rsid w:val="00FA1090"/>
    <w:rsid w:val="00FA1982"/>
    <w:rsid w:val="00FA19AA"/>
    <w:rsid w:val="00FA1B9B"/>
    <w:rsid w:val="00FA1D61"/>
    <w:rsid w:val="00FA23DF"/>
    <w:rsid w:val="00FA325E"/>
    <w:rsid w:val="00FA3846"/>
    <w:rsid w:val="00FA3D40"/>
    <w:rsid w:val="00FA5F16"/>
    <w:rsid w:val="00FA6E44"/>
    <w:rsid w:val="00FA6E58"/>
    <w:rsid w:val="00FA6EB8"/>
    <w:rsid w:val="00FA780A"/>
    <w:rsid w:val="00FA7AF3"/>
    <w:rsid w:val="00FA7D9B"/>
    <w:rsid w:val="00FB0E19"/>
    <w:rsid w:val="00FB15AD"/>
    <w:rsid w:val="00FB3541"/>
    <w:rsid w:val="00FB363D"/>
    <w:rsid w:val="00FB3D2D"/>
    <w:rsid w:val="00FB48D9"/>
    <w:rsid w:val="00FB4D00"/>
    <w:rsid w:val="00FB5582"/>
    <w:rsid w:val="00FB6BAD"/>
    <w:rsid w:val="00FB6E7A"/>
    <w:rsid w:val="00FB71A7"/>
    <w:rsid w:val="00FB7297"/>
    <w:rsid w:val="00FB768C"/>
    <w:rsid w:val="00FC076B"/>
    <w:rsid w:val="00FC0985"/>
    <w:rsid w:val="00FC0993"/>
    <w:rsid w:val="00FC29A8"/>
    <w:rsid w:val="00FC2C40"/>
    <w:rsid w:val="00FC3432"/>
    <w:rsid w:val="00FC5A4A"/>
    <w:rsid w:val="00FC5C5C"/>
    <w:rsid w:val="00FC603F"/>
    <w:rsid w:val="00FC6F7E"/>
    <w:rsid w:val="00FC70EE"/>
    <w:rsid w:val="00FC7854"/>
    <w:rsid w:val="00FD1943"/>
    <w:rsid w:val="00FD272A"/>
    <w:rsid w:val="00FD2E57"/>
    <w:rsid w:val="00FD30C5"/>
    <w:rsid w:val="00FD3C2C"/>
    <w:rsid w:val="00FD3DF3"/>
    <w:rsid w:val="00FD442F"/>
    <w:rsid w:val="00FD49DB"/>
    <w:rsid w:val="00FD507D"/>
    <w:rsid w:val="00FD66AB"/>
    <w:rsid w:val="00FE0D54"/>
    <w:rsid w:val="00FE17B3"/>
    <w:rsid w:val="00FE1E2F"/>
    <w:rsid w:val="00FE20E0"/>
    <w:rsid w:val="00FE273C"/>
    <w:rsid w:val="00FE2A46"/>
    <w:rsid w:val="00FE2F9B"/>
    <w:rsid w:val="00FE34D2"/>
    <w:rsid w:val="00FE37D0"/>
    <w:rsid w:val="00FE3E11"/>
    <w:rsid w:val="00FE4F4E"/>
    <w:rsid w:val="00FE54B3"/>
    <w:rsid w:val="00FE57A8"/>
    <w:rsid w:val="00FE57D9"/>
    <w:rsid w:val="00FE5E18"/>
    <w:rsid w:val="00FE67DE"/>
    <w:rsid w:val="00FE6FD3"/>
    <w:rsid w:val="00FE74AF"/>
    <w:rsid w:val="00FE76C3"/>
    <w:rsid w:val="00FE7765"/>
    <w:rsid w:val="00FE7F25"/>
    <w:rsid w:val="00FF0278"/>
    <w:rsid w:val="00FF0B2A"/>
    <w:rsid w:val="00FF1089"/>
    <w:rsid w:val="00FF1B8D"/>
    <w:rsid w:val="00FF38AE"/>
    <w:rsid w:val="00FF43CC"/>
    <w:rsid w:val="00FF5364"/>
    <w:rsid w:val="00FF684B"/>
    <w:rsid w:val="00FF7053"/>
    <w:rsid w:val="00FF71B7"/>
    <w:rsid w:val="00FF73AA"/>
    <w:rsid w:val="00FF75FC"/>
    <w:rsid w:val="00FF7F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30B3"/>
  <w15:docId w15:val="{85E027E8-EE24-45DB-9159-DD52AB26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40"/>
    <w:pPr>
      <w:spacing w:after="200" w:line="276" w:lineRule="auto"/>
    </w:pPr>
  </w:style>
  <w:style w:type="paragraph" w:styleId="Heading1">
    <w:name w:val="heading 1"/>
    <w:basedOn w:val="Normal"/>
    <w:next w:val="Normal"/>
    <w:link w:val="Heading1Char"/>
    <w:uiPriority w:val="9"/>
    <w:qFormat/>
    <w:rsid w:val="003937A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701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63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36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6363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01F9"/>
    <w:rPr>
      <w:color w:val="0563C1" w:themeColor="hyperlink"/>
      <w:u w:val="single"/>
    </w:rPr>
  </w:style>
  <w:style w:type="character" w:customStyle="1" w:styleId="Heading2Char">
    <w:name w:val="Heading 2 Char"/>
    <w:basedOn w:val="DefaultParagraphFont"/>
    <w:link w:val="Heading2"/>
    <w:uiPriority w:val="9"/>
    <w:rsid w:val="00A701F9"/>
    <w:rPr>
      <w:rFonts w:asciiTheme="majorHAnsi" w:eastAsiaTheme="majorEastAsia" w:hAnsiTheme="majorHAnsi" w:cstheme="majorBidi"/>
      <w:b/>
      <w:bCs/>
      <w:color w:val="4472C4" w:themeColor="accent1"/>
      <w:sz w:val="26"/>
      <w:szCs w:val="26"/>
    </w:rPr>
  </w:style>
  <w:style w:type="paragraph" w:styleId="ListParagraph">
    <w:name w:val="List Paragraph"/>
    <w:aliases w:val="List Paragraph 1,NUMBERED PARAGRAPH,List Paragraph (numbered (a)),Use Case List Paragraph,References,ReferencesCxSpLast,lp1,Figures,Table of contents numbered,BP Paragraph"/>
    <w:basedOn w:val="Normal"/>
    <w:next w:val="Normal"/>
    <w:link w:val="ListParagraphChar"/>
    <w:uiPriority w:val="34"/>
    <w:qFormat/>
    <w:rsid w:val="00A701F9"/>
    <w:pPr>
      <w:spacing w:after="0" w:line="240" w:lineRule="auto"/>
      <w:ind w:left="720"/>
    </w:pPr>
    <w:rPr>
      <w:rFonts w:ascii="Calibri" w:hAnsi="Calibri" w:cs="Calibri"/>
      <w:lang w:val="en-US"/>
    </w:rPr>
  </w:style>
  <w:style w:type="character" w:customStyle="1" w:styleId="ListParagraphChar">
    <w:name w:val="List Paragraph Char"/>
    <w:aliases w:val="List Paragraph 1 Char,NUMBERED PARAGRAPH Char,List Paragraph (numbered (a)) Char,Use Case List Paragraph Char,References Char,ReferencesCxSpLast Char,lp1 Char,Figures Char,Table of contents numbered Char,BP Paragraph Char"/>
    <w:link w:val="ListParagraph"/>
    <w:uiPriority w:val="34"/>
    <w:locked/>
    <w:rsid w:val="00A701F9"/>
    <w:rPr>
      <w:rFonts w:ascii="Calibri" w:hAnsi="Calibri" w:cs="Calibri"/>
      <w:lang w:val="en-US"/>
    </w:rPr>
  </w:style>
  <w:style w:type="paragraph" w:customStyle="1" w:styleId="Default">
    <w:name w:val="Default"/>
    <w:rsid w:val="00D86BF9"/>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51A28"/>
    <w:pPr>
      <w:widowControl w:val="0"/>
      <w:autoSpaceDE w:val="0"/>
      <w:autoSpaceDN w:val="0"/>
      <w:spacing w:after="0" w:line="240" w:lineRule="auto"/>
      <w:ind w:right="136"/>
      <w:jc w:val="right"/>
    </w:pPr>
    <w:rPr>
      <w:rFonts w:ascii="Calibri" w:eastAsia="Calibri" w:hAnsi="Calibri" w:cs="Calibri"/>
      <w:lang w:val="en-US"/>
    </w:rPr>
  </w:style>
  <w:style w:type="character" w:styleId="UnresolvedMention">
    <w:name w:val="Unresolved Mention"/>
    <w:basedOn w:val="DefaultParagraphFont"/>
    <w:uiPriority w:val="99"/>
    <w:semiHidden/>
    <w:unhideWhenUsed/>
    <w:rsid w:val="00152357"/>
    <w:rPr>
      <w:color w:val="605E5C"/>
      <w:shd w:val="clear" w:color="auto" w:fill="E1DFDD"/>
    </w:rPr>
  </w:style>
  <w:style w:type="character" w:styleId="CommentReference">
    <w:name w:val="annotation reference"/>
    <w:basedOn w:val="DefaultParagraphFont"/>
    <w:uiPriority w:val="99"/>
    <w:semiHidden/>
    <w:unhideWhenUsed/>
    <w:rsid w:val="005F32BC"/>
    <w:rPr>
      <w:sz w:val="16"/>
      <w:szCs w:val="16"/>
    </w:rPr>
  </w:style>
  <w:style w:type="paragraph" w:styleId="CommentText">
    <w:name w:val="annotation text"/>
    <w:basedOn w:val="Normal"/>
    <w:link w:val="CommentTextChar"/>
    <w:uiPriority w:val="99"/>
    <w:unhideWhenUsed/>
    <w:rsid w:val="005F32BC"/>
    <w:pPr>
      <w:spacing w:line="240" w:lineRule="auto"/>
    </w:pPr>
    <w:rPr>
      <w:sz w:val="20"/>
      <w:szCs w:val="20"/>
    </w:rPr>
  </w:style>
  <w:style w:type="character" w:customStyle="1" w:styleId="CommentTextChar">
    <w:name w:val="Comment Text Char"/>
    <w:basedOn w:val="DefaultParagraphFont"/>
    <w:link w:val="CommentText"/>
    <w:uiPriority w:val="99"/>
    <w:rsid w:val="005F32BC"/>
    <w:rPr>
      <w:sz w:val="20"/>
      <w:szCs w:val="20"/>
    </w:rPr>
  </w:style>
  <w:style w:type="paragraph" w:styleId="CommentSubject">
    <w:name w:val="annotation subject"/>
    <w:basedOn w:val="CommentText"/>
    <w:next w:val="CommentText"/>
    <w:link w:val="CommentSubjectChar"/>
    <w:uiPriority w:val="99"/>
    <w:semiHidden/>
    <w:unhideWhenUsed/>
    <w:rsid w:val="005F32BC"/>
    <w:rPr>
      <w:b/>
      <w:bCs/>
    </w:rPr>
  </w:style>
  <w:style w:type="character" w:customStyle="1" w:styleId="CommentSubjectChar">
    <w:name w:val="Comment Subject Char"/>
    <w:basedOn w:val="CommentTextChar"/>
    <w:link w:val="CommentSubject"/>
    <w:uiPriority w:val="99"/>
    <w:semiHidden/>
    <w:rsid w:val="005F32BC"/>
    <w:rPr>
      <w:b/>
      <w:bCs/>
      <w:sz w:val="20"/>
      <w:szCs w:val="20"/>
    </w:rPr>
  </w:style>
  <w:style w:type="character" w:customStyle="1" w:styleId="font91">
    <w:name w:val="font91"/>
    <w:basedOn w:val="DefaultParagraphFont"/>
    <w:rsid w:val="00A468BC"/>
    <w:rPr>
      <w:rFonts w:ascii="Calibri" w:hAnsi="Calibri" w:cs="Calibri" w:hint="default"/>
      <w:b w:val="0"/>
      <w:bCs w:val="0"/>
      <w:i w:val="0"/>
      <w:iCs w:val="0"/>
      <w:strike w:val="0"/>
      <w:dstrike w:val="0"/>
      <w:color w:val="000000"/>
      <w:sz w:val="20"/>
      <w:szCs w:val="20"/>
      <w:u w:val="none"/>
      <w:effect w:val="none"/>
    </w:rPr>
  </w:style>
  <w:style w:type="paragraph" w:customStyle="1" w:styleId="pf0">
    <w:name w:val="pf0"/>
    <w:basedOn w:val="Normal"/>
    <w:rsid w:val="00E6661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01">
    <w:name w:val="cf01"/>
    <w:basedOn w:val="DefaultParagraphFont"/>
    <w:rsid w:val="00E66610"/>
    <w:rPr>
      <w:rFonts w:ascii="Segoe UI" w:hAnsi="Segoe UI" w:cs="Segoe UI" w:hint="default"/>
      <w:sz w:val="18"/>
      <w:szCs w:val="18"/>
    </w:rPr>
  </w:style>
  <w:style w:type="character" w:customStyle="1" w:styleId="Heading1Char">
    <w:name w:val="Heading 1 Char"/>
    <w:basedOn w:val="DefaultParagraphFont"/>
    <w:link w:val="Heading1"/>
    <w:uiPriority w:val="9"/>
    <w:rsid w:val="003937AB"/>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C37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CC4"/>
  </w:style>
  <w:style w:type="paragraph" w:styleId="Footer">
    <w:name w:val="footer"/>
    <w:basedOn w:val="Normal"/>
    <w:link w:val="FooterChar"/>
    <w:uiPriority w:val="99"/>
    <w:unhideWhenUsed/>
    <w:rsid w:val="00C37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CC4"/>
  </w:style>
  <w:style w:type="character" w:styleId="Strong">
    <w:name w:val="Strong"/>
    <w:basedOn w:val="DefaultParagraphFont"/>
    <w:uiPriority w:val="22"/>
    <w:qFormat/>
    <w:rsid w:val="009750F2"/>
    <w:rPr>
      <w:b/>
      <w:bCs/>
    </w:rPr>
  </w:style>
  <w:style w:type="paragraph" w:styleId="BodyText">
    <w:name w:val="Body Text"/>
    <w:basedOn w:val="Normal"/>
    <w:link w:val="BodyTextChar"/>
    <w:uiPriority w:val="1"/>
    <w:qFormat/>
    <w:rsid w:val="001D2105"/>
    <w:pPr>
      <w:widowControl w:val="0"/>
      <w:autoSpaceDE w:val="0"/>
      <w:autoSpaceDN w:val="0"/>
      <w:adjustRightInd w:val="0"/>
      <w:spacing w:after="0" w:line="240" w:lineRule="auto"/>
      <w:ind w:left="1540"/>
    </w:pPr>
    <w:rPr>
      <w:rFonts w:ascii="Arial" w:eastAsiaTheme="minorEastAsia" w:hAnsi="Arial" w:cs="Arial"/>
      <w:lang w:eastAsia="en-ZA"/>
    </w:rPr>
  </w:style>
  <w:style w:type="character" w:customStyle="1" w:styleId="BodyTextChar">
    <w:name w:val="Body Text Char"/>
    <w:basedOn w:val="DefaultParagraphFont"/>
    <w:link w:val="BodyText"/>
    <w:uiPriority w:val="1"/>
    <w:rsid w:val="001D2105"/>
    <w:rPr>
      <w:rFonts w:ascii="Arial" w:eastAsiaTheme="minorEastAsia" w:hAnsi="Arial" w:cs="Arial"/>
      <w:lang w:eastAsia="en-ZA"/>
    </w:rPr>
  </w:style>
  <w:style w:type="paragraph" w:styleId="Revision">
    <w:name w:val="Revision"/>
    <w:hidden/>
    <w:uiPriority w:val="99"/>
    <w:semiHidden/>
    <w:rsid w:val="004D3D0C"/>
    <w:pPr>
      <w:spacing w:after="0" w:line="240" w:lineRule="auto"/>
    </w:pPr>
  </w:style>
  <w:style w:type="table" w:customStyle="1" w:styleId="TableGrid1">
    <w:name w:val="Table Grid1"/>
    <w:basedOn w:val="TableNormal"/>
    <w:next w:val="TableGrid"/>
    <w:uiPriority w:val="59"/>
    <w:rsid w:val="00B71FA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B71FAB"/>
    <w:pPr>
      <w:spacing w:after="100" w:line="259" w:lineRule="auto"/>
    </w:pPr>
    <w:rPr>
      <w:lang w:val="en-US"/>
    </w:rPr>
  </w:style>
  <w:style w:type="paragraph" w:styleId="NoSpacing">
    <w:name w:val="No Spacing"/>
    <w:uiPriority w:val="1"/>
    <w:qFormat/>
    <w:rsid w:val="00B71FAB"/>
    <w:pPr>
      <w:spacing w:after="0" w:line="240" w:lineRule="auto"/>
    </w:pPr>
    <w:rPr>
      <w:lang w:val="en-US"/>
    </w:rPr>
  </w:style>
  <w:style w:type="paragraph" w:styleId="TOCHeading">
    <w:name w:val="TOC Heading"/>
    <w:basedOn w:val="Heading1"/>
    <w:next w:val="Normal"/>
    <w:uiPriority w:val="39"/>
    <w:unhideWhenUsed/>
    <w:qFormat/>
    <w:rsid w:val="00B71FAB"/>
    <w:pPr>
      <w:spacing w:before="240" w:line="259" w:lineRule="auto"/>
      <w:outlineLvl w:val="9"/>
    </w:pPr>
    <w:rPr>
      <w:b w:val="0"/>
      <w:bCs w:val="0"/>
      <w:sz w:val="32"/>
      <w:szCs w:val="32"/>
      <w:lang w:val="en-US"/>
    </w:rPr>
  </w:style>
  <w:style w:type="character" w:styleId="PageNumber">
    <w:name w:val="page number"/>
    <w:basedOn w:val="DefaultParagraphFont"/>
    <w:rsid w:val="009601F7"/>
  </w:style>
  <w:style w:type="paragraph" w:customStyle="1" w:styleId="BCHeading1">
    <w:name w:val="BC Heading 1"/>
    <w:basedOn w:val="Heading1"/>
    <w:rsid w:val="0036363E"/>
    <w:pPr>
      <w:keepNext w:val="0"/>
      <w:keepLines w:val="0"/>
      <w:numPr>
        <w:numId w:val="14"/>
      </w:numPr>
      <w:spacing w:before="120" w:after="120" w:line="240" w:lineRule="auto"/>
      <w:jc w:val="both"/>
    </w:pPr>
    <w:rPr>
      <w:rFonts w:ascii="Verdana" w:eastAsia="Times New Roman" w:hAnsi="Verdana" w:cs="Times New Roman"/>
      <w:bCs w:val="0"/>
      <w:color w:val="auto"/>
      <w:kern w:val="28"/>
      <w:szCs w:val="22"/>
      <w:lang w:val="en-US"/>
    </w:rPr>
  </w:style>
  <w:style w:type="paragraph" w:customStyle="1" w:styleId="BCHeading2">
    <w:name w:val="BC Heading 2"/>
    <w:basedOn w:val="Heading2"/>
    <w:rsid w:val="0036363E"/>
    <w:pPr>
      <w:keepLines w:val="0"/>
      <w:numPr>
        <w:ilvl w:val="1"/>
        <w:numId w:val="14"/>
      </w:numPr>
      <w:spacing w:before="0" w:after="120" w:line="240" w:lineRule="auto"/>
      <w:jc w:val="both"/>
    </w:pPr>
    <w:rPr>
      <w:rFonts w:ascii="Verdana" w:eastAsia="Times New Roman" w:hAnsi="Verdana" w:cs="Times New Roman"/>
      <w:b w:val="0"/>
      <w:bCs w:val="0"/>
      <w:color w:val="auto"/>
      <w:sz w:val="24"/>
      <w:szCs w:val="22"/>
      <w:lang w:val="en-US"/>
    </w:rPr>
  </w:style>
  <w:style w:type="paragraph" w:customStyle="1" w:styleId="BCHeading3">
    <w:name w:val="BC Heading 3"/>
    <w:basedOn w:val="Heading3"/>
    <w:rsid w:val="0036363E"/>
    <w:pPr>
      <w:keepNext w:val="0"/>
      <w:keepLines w:val="0"/>
      <w:numPr>
        <w:ilvl w:val="2"/>
        <w:numId w:val="14"/>
      </w:numPr>
      <w:tabs>
        <w:tab w:val="clear" w:pos="1134"/>
      </w:tabs>
      <w:spacing w:before="0" w:after="120" w:line="240" w:lineRule="auto"/>
      <w:ind w:left="2160" w:hanging="360"/>
      <w:jc w:val="both"/>
    </w:pPr>
    <w:rPr>
      <w:rFonts w:ascii="Verdana" w:eastAsia="Times New Roman" w:hAnsi="Verdana" w:cs="Times New Roman"/>
      <w:color w:val="auto"/>
      <w:sz w:val="22"/>
      <w:szCs w:val="22"/>
    </w:rPr>
  </w:style>
  <w:style w:type="paragraph" w:customStyle="1" w:styleId="BCHeading4">
    <w:name w:val="BC Heading 4"/>
    <w:basedOn w:val="Heading4"/>
    <w:rsid w:val="0036363E"/>
    <w:pPr>
      <w:keepNext w:val="0"/>
      <w:keepLines w:val="0"/>
      <w:numPr>
        <w:ilvl w:val="3"/>
        <w:numId w:val="14"/>
      </w:numPr>
      <w:tabs>
        <w:tab w:val="clear" w:pos="1134"/>
      </w:tabs>
      <w:spacing w:before="0" w:after="120" w:line="240" w:lineRule="auto"/>
      <w:ind w:left="2880" w:hanging="360"/>
      <w:jc w:val="both"/>
    </w:pPr>
    <w:rPr>
      <w:rFonts w:ascii="Verdana" w:eastAsia="Times New Roman" w:hAnsi="Verdana" w:cs="Times New Roman"/>
      <w:i w:val="0"/>
      <w:iCs w:val="0"/>
      <w:color w:val="auto"/>
      <w:lang w:val="en-US"/>
    </w:rPr>
  </w:style>
  <w:style w:type="paragraph" w:customStyle="1" w:styleId="BCNumber4">
    <w:name w:val="BC Number 4"/>
    <w:basedOn w:val="Heading5"/>
    <w:rsid w:val="0036363E"/>
    <w:pPr>
      <w:keepNext w:val="0"/>
      <w:keepLines w:val="0"/>
      <w:numPr>
        <w:ilvl w:val="4"/>
        <w:numId w:val="14"/>
      </w:numPr>
      <w:tabs>
        <w:tab w:val="clear" w:pos="1134"/>
      </w:tabs>
      <w:spacing w:before="0" w:after="120" w:line="240" w:lineRule="auto"/>
      <w:ind w:left="3600" w:hanging="360"/>
      <w:jc w:val="both"/>
    </w:pPr>
    <w:rPr>
      <w:rFonts w:ascii="Verdana" w:eastAsia="Times New Roman" w:hAnsi="Verdana" w:cs="Times New Roman"/>
      <w:color w:val="auto"/>
      <w:sz w:val="24"/>
      <w:lang w:val="en-US"/>
    </w:rPr>
  </w:style>
  <w:style w:type="character" w:customStyle="1" w:styleId="Heading3Char">
    <w:name w:val="Heading 3 Char"/>
    <w:basedOn w:val="DefaultParagraphFont"/>
    <w:link w:val="Heading3"/>
    <w:uiPriority w:val="9"/>
    <w:semiHidden/>
    <w:rsid w:val="003636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6363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6363E"/>
    <w:rPr>
      <w:rFonts w:asciiTheme="majorHAnsi" w:eastAsiaTheme="majorEastAsia" w:hAnsiTheme="majorHAnsi" w:cstheme="majorBidi"/>
      <w:color w:val="2F5496" w:themeColor="accent1" w:themeShade="BF"/>
    </w:rPr>
  </w:style>
  <w:style w:type="character" w:customStyle="1" w:styleId="ui-provider">
    <w:name w:val="ui-provider"/>
    <w:basedOn w:val="DefaultParagraphFont"/>
    <w:rsid w:val="00EE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0F43-C5E8-4415-8E0D-0100F04D7710}">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511</TotalTime>
  <Pages>28</Pages>
  <Words>13700</Words>
  <Characters>78096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dc:creator>
  <cp:keywords/>
  <dc:description/>
  <cp:lastModifiedBy>Linah Masoha</cp:lastModifiedBy>
  <cp:revision>268</cp:revision>
  <dcterms:created xsi:type="dcterms:W3CDTF">2023-02-01T08:23:00Z</dcterms:created>
  <dcterms:modified xsi:type="dcterms:W3CDTF">2023-03-02T10:21:00Z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2021-07-29T18:48:34Z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7dd5e5cc-a697-4394-b2a3-d2d2b7057be3</vt:lpwstr>
  </property>
  <property fmtid="{D5CDD505-2E9C-101B-9397-08002B2CF9AE}" pid="8" name="MSIP_Label_70c52299-74de-4dfd-b117-c9c408edfa50_ContentBits">
    <vt:lpwstr>0</vt:lpwstr>
  </property>
</Properties>
</file>