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720A" w14:textId="0253B83B" w:rsidR="00A61CAE" w:rsidRPr="00B4379E" w:rsidRDefault="00AE1CCD" w:rsidP="00B4379E">
      <w:pPr>
        <w:spacing w:before="6"/>
        <w:jc w:val="center"/>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n-ZA" w:eastAsia="en-ZA"/>
        </w:rPr>
        <w:drawing>
          <wp:inline distT="0" distB="0" distL="0" distR="0" wp14:anchorId="5FA6781E" wp14:editId="1523278A">
            <wp:extent cx="1597231" cy="1283229"/>
            <wp:effectExtent l="0" t="0" r="3175" b="0"/>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1" cstate="print"/>
                    <a:stretch>
                      <a:fillRect/>
                    </a:stretch>
                  </pic:blipFill>
                  <pic:spPr>
                    <a:xfrm>
                      <a:off x="0" y="0"/>
                      <a:ext cx="1597231" cy="1283229"/>
                    </a:xfrm>
                    <a:prstGeom prst="rect">
                      <a:avLst/>
                    </a:prstGeom>
                  </pic:spPr>
                </pic:pic>
              </a:graphicData>
            </a:graphic>
          </wp:inline>
        </w:drawing>
      </w:r>
    </w:p>
    <w:p w14:paraId="01AA720B" w14:textId="77777777" w:rsidR="00A61CAE" w:rsidRDefault="00A61CAE">
      <w:pPr>
        <w:rPr>
          <w:rFonts w:ascii="Times New Roman" w:eastAsia="Times New Roman" w:hAnsi="Times New Roman" w:cs="Times New Roman"/>
          <w:sz w:val="20"/>
          <w:szCs w:val="20"/>
        </w:rPr>
      </w:pPr>
    </w:p>
    <w:p w14:paraId="01AA720C" w14:textId="77777777" w:rsidR="00A61CAE" w:rsidRDefault="00A61CAE">
      <w:pPr>
        <w:spacing w:before="7"/>
        <w:rPr>
          <w:rFonts w:ascii="Times New Roman" w:eastAsia="Times New Roman" w:hAnsi="Times New Roman" w:cs="Times New Roman"/>
          <w:sz w:val="15"/>
          <w:szCs w:val="15"/>
        </w:rPr>
      </w:pPr>
    </w:p>
    <w:p w14:paraId="01AA720D" w14:textId="49471781" w:rsidR="00A61CAE" w:rsidRDefault="002C5135">
      <w:pPr>
        <w:spacing w:line="200" w:lineRule="atLeast"/>
        <w:ind w:left="112"/>
        <w:rPr>
          <w:rFonts w:ascii="Times New Roman" w:eastAsia="Times New Roman" w:hAnsi="Times New Roman" w:cs="Times New Roman"/>
          <w:sz w:val="20"/>
          <w:szCs w:val="20"/>
        </w:rPr>
      </w:pPr>
      <w:r>
        <w:rPr>
          <w:noProof/>
        </w:rPr>
        <mc:AlternateContent>
          <mc:Choice Requires="wps">
            <w:drawing>
              <wp:inline distT="0" distB="0" distL="0" distR="0" wp14:anchorId="3837D2C9" wp14:editId="2495A3FD">
                <wp:extent cx="5869305" cy="1949450"/>
                <wp:effectExtent l="0" t="0" r="17145" b="1270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1949450"/>
                        </a:xfrm>
                        <a:prstGeom prst="rect">
                          <a:avLst/>
                        </a:prstGeom>
                        <a:noFill/>
                        <a:ln w="19558">
                          <a:solidFill>
                            <a:srgbClr val="BF8F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A525D" w14:textId="77777777" w:rsidR="00B93567" w:rsidRPr="00A10F6D" w:rsidRDefault="00B93567" w:rsidP="00B93567">
                            <w:pPr>
                              <w:jc w:val="center"/>
                              <w:rPr>
                                <w:rFonts w:ascii="Arial" w:hAnsi="Arial" w:cs="Arial"/>
                                <w:b/>
                                <w:shd w:val="clear" w:color="auto" w:fill="FFFFFF" w:themeFill="background1"/>
                              </w:rPr>
                            </w:pPr>
                          </w:p>
                          <w:p w14:paraId="790AF24D" w14:textId="370B1BBB" w:rsidR="00730854" w:rsidRPr="00501502" w:rsidRDefault="00DE2652" w:rsidP="00123B10">
                            <w:pPr>
                              <w:ind w:left="284" w:right="279"/>
                              <w:jc w:val="both"/>
                              <w:rPr>
                                <w:rFonts w:ascii="Arial" w:hAnsi="Arial" w:cs="Arial"/>
                                <w:b/>
                                <w:sz w:val="32"/>
                                <w:szCs w:val="32"/>
                              </w:rPr>
                            </w:pPr>
                            <w:bookmarkStart w:id="0" w:name="_Hlk109120098"/>
                            <w:r w:rsidRPr="00501502">
                              <w:rPr>
                                <w:rFonts w:ascii="Arial" w:hAnsi="Arial" w:cs="Arial"/>
                                <w:b/>
                                <w:sz w:val="32"/>
                                <w:szCs w:val="32"/>
                              </w:rPr>
                              <w:t xml:space="preserve">Statement </w:t>
                            </w:r>
                            <w:r w:rsidR="00F10995">
                              <w:rPr>
                                <w:rFonts w:ascii="Arial" w:hAnsi="Arial" w:cs="Arial"/>
                                <w:b/>
                                <w:sz w:val="32"/>
                                <w:szCs w:val="32"/>
                              </w:rPr>
                              <w:t>explaining</w:t>
                            </w:r>
                            <w:r w:rsidRPr="00501502">
                              <w:rPr>
                                <w:rFonts w:ascii="Arial" w:hAnsi="Arial" w:cs="Arial"/>
                                <w:b/>
                                <w:sz w:val="32"/>
                                <w:szCs w:val="32"/>
                              </w:rPr>
                              <w:t xml:space="preserve"> the need for</w:t>
                            </w:r>
                            <w:r w:rsidR="000B2382">
                              <w:rPr>
                                <w:rFonts w:ascii="Arial" w:hAnsi="Arial" w:cs="Arial"/>
                                <w:b/>
                                <w:sz w:val="32"/>
                                <w:szCs w:val="32"/>
                              </w:rPr>
                              <w:t>,</w:t>
                            </w:r>
                            <w:r w:rsidRPr="00501502">
                              <w:rPr>
                                <w:rFonts w:ascii="Arial" w:hAnsi="Arial" w:cs="Arial"/>
                                <w:b/>
                                <w:sz w:val="32"/>
                                <w:szCs w:val="32"/>
                              </w:rPr>
                              <w:t xml:space="preserve"> intended </w:t>
                            </w:r>
                            <w:r w:rsidR="00915B1E" w:rsidRPr="00501502">
                              <w:rPr>
                                <w:rFonts w:ascii="Arial" w:hAnsi="Arial" w:cs="Arial"/>
                                <w:b/>
                                <w:sz w:val="32"/>
                                <w:szCs w:val="32"/>
                              </w:rPr>
                              <w:t>operation,</w:t>
                            </w:r>
                            <w:r w:rsidR="000B2382">
                              <w:rPr>
                                <w:rFonts w:ascii="Arial" w:hAnsi="Arial" w:cs="Arial"/>
                                <w:b/>
                                <w:sz w:val="32"/>
                                <w:szCs w:val="32"/>
                              </w:rPr>
                              <w:t xml:space="preserve"> and expected impact</w:t>
                            </w:r>
                            <w:r w:rsidRPr="00501502">
                              <w:rPr>
                                <w:rFonts w:ascii="Arial" w:hAnsi="Arial" w:cs="Arial"/>
                                <w:b/>
                                <w:sz w:val="32"/>
                                <w:szCs w:val="32"/>
                              </w:rPr>
                              <w:t xml:space="preserve"> of the </w:t>
                            </w:r>
                            <w:r w:rsidR="00E87C07">
                              <w:rPr>
                                <w:rFonts w:ascii="Arial" w:hAnsi="Arial" w:cs="Arial"/>
                                <w:b/>
                                <w:sz w:val="32"/>
                                <w:szCs w:val="32"/>
                              </w:rPr>
                              <w:t xml:space="preserve">prudential standard </w:t>
                            </w:r>
                            <w:r w:rsidR="00825C46">
                              <w:rPr>
                                <w:rFonts w:ascii="Arial" w:hAnsi="Arial" w:cs="Arial"/>
                                <w:b/>
                                <w:sz w:val="32"/>
                                <w:szCs w:val="32"/>
                              </w:rPr>
                              <w:t xml:space="preserve">for designated institutions in respect of </w:t>
                            </w:r>
                            <w:r w:rsidR="00E87C07">
                              <w:rPr>
                                <w:rFonts w:ascii="Arial" w:hAnsi="Arial" w:cs="Arial"/>
                                <w:b/>
                                <w:sz w:val="32"/>
                                <w:szCs w:val="32"/>
                              </w:rPr>
                              <w:t>stays on early-termination rights and resolution moratoria</w:t>
                            </w:r>
                          </w:p>
                          <w:bookmarkEnd w:id="0"/>
                          <w:p w14:paraId="4400B0FE" w14:textId="77777777" w:rsidR="00730854" w:rsidRDefault="00730854" w:rsidP="00B93567">
                            <w:pPr>
                              <w:ind w:left="284" w:right="114"/>
                              <w:jc w:val="both"/>
                              <w:rPr>
                                <w:rFonts w:ascii="Arial" w:hAnsi="Arial" w:cs="Arial"/>
                                <w:b/>
                                <w:sz w:val="34"/>
                                <w:szCs w:val="34"/>
                              </w:rPr>
                            </w:pPr>
                          </w:p>
                          <w:p w14:paraId="58DFA074" w14:textId="3E01160D" w:rsidR="00DE2652" w:rsidRDefault="006A07F4" w:rsidP="00DE2652">
                            <w:pPr>
                              <w:jc w:val="center"/>
                              <w:rPr>
                                <w:rFonts w:ascii="Arial" w:hAnsi="Arial" w:cs="Arial"/>
                                <w:b/>
                                <w:sz w:val="24"/>
                                <w:shd w:val="clear" w:color="auto" w:fill="FFFFFF" w:themeFill="background1"/>
                              </w:rPr>
                            </w:pPr>
                            <w:r>
                              <w:rPr>
                                <w:rFonts w:ascii="Arial" w:hAnsi="Arial" w:cs="Arial"/>
                                <w:b/>
                                <w:sz w:val="24"/>
                                <w:shd w:val="clear" w:color="auto" w:fill="FFFFFF" w:themeFill="background1"/>
                              </w:rPr>
                              <w:t>January</w:t>
                            </w:r>
                            <w:r w:rsidR="00B25195">
                              <w:rPr>
                                <w:rFonts w:ascii="Arial" w:hAnsi="Arial" w:cs="Arial"/>
                                <w:b/>
                                <w:sz w:val="24"/>
                                <w:shd w:val="clear" w:color="auto" w:fill="FFFFFF" w:themeFill="background1"/>
                              </w:rPr>
                              <w:t xml:space="preserve"> </w:t>
                            </w:r>
                            <w:r w:rsidR="00DE2652">
                              <w:rPr>
                                <w:rFonts w:ascii="Arial" w:hAnsi="Arial" w:cs="Arial"/>
                                <w:b/>
                                <w:sz w:val="24"/>
                                <w:shd w:val="clear" w:color="auto" w:fill="FFFFFF" w:themeFill="background1"/>
                              </w:rPr>
                              <w:t>202</w:t>
                            </w:r>
                            <w:r>
                              <w:rPr>
                                <w:rFonts w:ascii="Arial" w:hAnsi="Arial" w:cs="Arial"/>
                                <w:b/>
                                <w:sz w:val="24"/>
                                <w:shd w:val="clear" w:color="auto" w:fill="FFFFFF" w:themeFill="background1"/>
                              </w:rPr>
                              <w:t>3</w:t>
                            </w:r>
                          </w:p>
                          <w:p w14:paraId="7FE1A635" w14:textId="77777777" w:rsidR="009465CD" w:rsidRDefault="009465CD" w:rsidP="00303E5C">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type w14:anchorId="3837D2C9" id="_x0000_t202" coordsize="21600,21600" o:spt="202" path="m,l,21600r21600,l21600,xe">
                <v:stroke joinstyle="miter"/>
                <v:path gradientshapeok="t" o:connecttype="rect"/>
              </v:shapetype>
              <v:shape id="Text Box 14" o:spid="_x0000_s1026" type="#_x0000_t202" style="width:462.15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" filled="f" strokecolor="#bf8f00" strokeweight="1.54pt">
                <v:textbox inset="0,0,0,0">
                  <w:txbxContent>
                    <w:p w14:paraId="336A525D" w14:textId="77777777" w:rsidR="00B93567" w:rsidRPr="00A10F6D" w:rsidRDefault="00B93567" w:rsidP="00B93567">
                      <w:pPr>
                        <w:jc w:val="center"/>
                        <w:rPr>
                          <w:rFonts w:ascii="Arial" w:hAnsi="Arial" w:cs="Arial"/>
                          <w:b/>
                          <w:shd w:val="clear" w:color="auto" w:fill="FFFFFF" w:themeFill="background1"/>
                        </w:rPr>
                      </w:pPr>
                    </w:p>
                    <w:p w14:paraId="790AF24D" w14:textId="370B1BBB" w:rsidR="00730854" w:rsidRPr="00501502" w:rsidRDefault="00DE2652" w:rsidP="00123B10">
                      <w:pPr>
                        <w:ind w:left="284" w:right="279"/>
                        <w:jc w:val="both"/>
                        <w:rPr>
                          <w:rFonts w:ascii="Arial" w:hAnsi="Arial" w:cs="Arial"/>
                          <w:b/>
                          <w:sz w:val="32"/>
                          <w:szCs w:val="32"/>
                        </w:rPr>
                      </w:pPr>
                      <w:bookmarkStart w:id="1" w:name="_Hlk109120098"/>
                      <w:r w:rsidRPr="00501502">
                        <w:rPr>
                          <w:rFonts w:ascii="Arial" w:hAnsi="Arial" w:cs="Arial"/>
                          <w:b/>
                          <w:sz w:val="32"/>
                          <w:szCs w:val="32"/>
                        </w:rPr>
                        <w:t xml:space="preserve">Statement </w:t>
                      </w:r>
                      <w:r w:rsidR="00F10995">
                        <w:rPr>
                          <w:rFonts w:ascii="Arial" w:hAnsi="Arial" w:cs="Arial"/>
                          <w:b/>
                          <w:sz w:val="32"/>
                          <w:szCs w:val="32"/>
                        </w:rPr>
                        <w:t>explaining</w:t>
                      </w:r>
                      <w:r w:rsidRPr="00501502">
                        <w:rPr>
                          <w:rFonts w:ascii="Arial" w:hAnsi="Arial" w:cs="Arial"/>
                          <w:b/>
                          <w:sz w:val="32"/>
                          <w:szCs w:val="32"/>
                        </w:rPr>
                        <w:t xml:space="preserve"> the need for</w:t>
                      </w:r>
                      <w:r w:rsidR="000B2382">
                        <w:rPr>
                          <w:rFonts w:ascii="Arial" w:hAnsi="Arial" w:cs="Arial"/>
                          <w:b/>
                          <w:sz w:val="32"/>
                          <w:szCs w:val="32"/>
                        </w:rPr>
                        <w:t>,</w:t>
                      </w:r>
                      <w:r w:rsidRPr="00501502">
                        <w:rPr>
                          <w:rFonts w:ascii="Arial" w:hAnsi="Arial" w:cs="Arial"/>
                          <w:b/>
                          <w:sz w:val="32"/>
                          <w:szCs w:val="32"/>
                        </w:rPr>
                        <w:t xml:space="preserve"> intended </w:t>
                      </w:r>
                      <w:r w:rsidR="00915B1E" w:rsidRPr="00501502">
                        <w:rPr>
                          <w:rFonts w:ascii="Arial" w:hAnsi="Arial" w:cs="Arial"/>
                          <w:b/>
                          <w:sz w:val="32"/>
                          <w:szCs w:val="32"/>
                        </w:rPr>
                        <w:t>operation,</w:t>
                      </w:r>
                      <w:r w:rsidR="000B2382">
                        <w:rPr>
                          <w:rFonts w:ascii="Arial" w:hAnsi="Arial" w:cs="Arial"/>
                          <w:b/>
                          <w:sz w:val="32"/>
                          <w:szCs w:val="32"/>
                        </w:rPr>
                        <w:t xml:space="preserve"> and expected impact</w:t>
                      </w:r>
                      <w:r w:rsidRPr="00501502">
                        <w:rPr>
                          <w:rFonts w:ascii="Arial" w:hAnsi="Arial" w:cs="Arial"/>
                          <w:b/>
                          <w:sz w:val="32"/>
                          <w:szCs w:val="32"/>
                        </w:rPr>
                        <w:t xml:space="preserve"> of the </w:t>
                      </w:r>
                      <w:r w:rsidR="00E87C07">
                        <w:rPr>
                          <w:rFonts w:ascii="Arial" w:hAnsi="Arial" w:cs="Arial"/>
                          <w:b/>
                          <w:sz w:val="32"/>
                          <w:szCs w:val="32"/>
                        </w:rPr>
                        <w:t xml:space="preserve">prudential standard </w:t>
                      </w:r>
                      <w:r w:rsidR="00825C46">
                        <w:rPr>
                          <w:rFonts w:ascii="Arial" w:hAnsi="Arial" w:cs="Arial"/>
                          <w:b/>
                          <w:sz w:val="32"/>
                          <w:szCs w:val="32"/>
                        </w:rPr>
                        <w:t xml:space="preserve">for designated institutions in respect of </w:t>
                      </w:r>
                      <w:r w:rsidR="00E87C07">
                        <w:rPr>
                          <w:rFonts w:ascii="Arial" w:hAnsi="Arial" w:cs="Arial"/>
                          <w:b/>
                          <w:sz w:val="32"/>
                          <w:szCs w:val="32"/>
                        </w:rPr>
                        <w:t>stays on early-termination rights and resolution moratoria</w:t>
                      </w:r>
                    </w:p>
                    <w:bookmarkEnd w:id="1"/>
                    <w:p w14:paraId="4400B0FE" w14:textId="77777777" w:rsidR="00730854" w:rsidRDefault="00730854" w:rsidP="00B93567">
                      <w:pPr>
                        <w:ind w:left="284" w:right="114"/>
                        <w:jc w:val="both"/>
                        <w:rPr>
                          <w:rFonts w:ascii="Arial" w:hAnsi="Arial" w:cs="Arial"/>
                          <w:b/>
                          <w:sz w:val="34"/>
                          <w:szCs w:val="34"/>
                        </w:rPr>
                      </w:pPr>
                    </w:p>
                    <w:p w14:paraId="58DFA074" w14:textId="3E01160D" w:rsidR="00DE2652" w:rsidRDefault="006A07F4" w:rsidP="00DE2652">
                      <w:pPr>
                        <w:jc w:val="center"/>
                        <w:rPr>
                          <w:rFonts w:ascii="Arial" w:hAnsi="Arial" w:cs="Arial"/>
                          <w:b/>
                          <w:sz w:val="24"/>
                          <w:shd w:val="clear" w:color="auto" w:fill="FFFFFF" w:themeFill="background1"/>
                        </w:rPr>
                      </w:pPr>
                      <w:r>
                        <w:rPr>
                          <w:rFonts w:ascii="Arial" w:hAnsi="Arial" w:cs="Arial"/>
                          <w:b/>
                          <w:sz w:val="24"/>
                          <w:shd w:val="clear" w:color="auto" w:fill="FFFFFF" w:themeFill="background1"/>
                        </w:rPr>
                        <w:t>January</w:t>
                      </w:r>
                      <w:r w:rsidR="00B25195">
                        <w:rPr>
                          <w:rFonts w:ascii="Arial" w:hAnsi="Arial" w:cs="Arial"/>
                          <w:b/>
                          <w:sz w:val="24"/>
                          <w:shd w:val="clear" w:color="auto" w:fill="FFFFFF" w:themeFill="background1"/>
                        </w:rPr>
                        <w:t xml:space="preserve"> </w:t>
                      </w:r>
                      <w:r w:rsidR="00DE2652">
                        <w:rPr>
                          <w:rFonts w:ascii="Arial" w:hAnsi="Arial" w:cs="Arial"/>
                          <w:b/>
                          <w:sz w:val="24"/>
                          <w:shd w:val="clear" w:color="auto" w:fill="FFFFFF" w:themeFill="background1"/>
                        </w:rPr>
                        <w:t>202</w:t>
                      </w:r>
                      <w:r>
                        <w:rPr>
                          <w:rFonts w:ascii="Arial" w:hAnsi="Arial" w:cs="Arial"/>
                          <w:b/>
                          <w:sz w:val="24"/>
                          <w:shd w:val="clear" w:color="auto" w:fill="FFFFFF" w:themeFill="background1"/>
                        </w:rPr>
                        <w:t>3</w:t>
                      </w:r>
                    </w:p>
                    <w:p w14:paraId="7FE1A635" w14:textId="77777777" w:rsidR="009465CD" w:rsidRDefault="009465CD" w:rsidP="00303E5C">
                      <w:pPr>
                        <w:rPr>
                          <w:rFonts w:ascii="Arial" w:eastAsia="Arial" w:hAnsi="Arial" w:cs="Arial"/>
                          <w:sz w:val="24"/>
                          <w:szCs w:val="24"/>
                        </w:rPr>
                      </w:pPr>
                    </w:p>
                  </w:txbxContent>
                </v:textbox>
                <w10:anchorlock/>
              </v:shape>
            </w:pict>
          </mc:Fallback>
        </mc:AlternateContent>
      </w:r>
    </w:p>
    <w:p w14:paraId="3B9EDD9C" w14:textId="77777777" w:rsidR="00A61CAE" w:rsidRDefault="00A61CAE">
      <w:pPr>
        <w:spacing w:line="200" w:lineRule="atLeast"/>
        <w:rPr>
          <w:rFonts w:ascii="Times New Roman" w:eastAsia="Times New Roman" w:hAnsi="Times New Roman" w:cs="Times New Roman"/>
          <w:sz w:val="20"/>
          <w:szCs w:val="20"/>
        </w:rPr>
      </w:pPr>
    </w:p>
    <w:p w14:paraId="01AA720E" w14:textId="67DD9B62" w:rsidR="00DE2652" w:rsidRDefault="00DE2652">
      <w:pPr>
        <w:spacing w:line="200" w:lineRule="atLeast"/>
        <w:rPr>
          <w:rFonts w:ascii="Times New Roman" w:eastAsia="Times New Roman" w:hAnsi="Times New Roman" w:cs="Times New Roman"/>
          <w:sz w:val="20"/>
          <w:szCs w:val="20"/>
        </w:rPr>
        <w:sectPr w:rsidR="00DE2652">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040" w:right="1220" w:bottom="280" w:left="1220" w:header="720" w:footer="720" w:gutter="0"/>
          <w:cols w:space="720"/>
        </w:sectPr>
      </w:pPr>
    </w:p>
    <w:sdt>
      <w:sdtPr>
        <w:rPr>
          <w:rFonts w:asciiTheme="minorHAnsi" w:eastAsiaTheme="minorHAnsi" w:hAnsiTheme="minorHAnsi" w:cstheme="minorBidi"/>
          <w:color w:val="auto"/>
          <w:sz w:val="22"/>
          <w:szCs w:val="22"/>
        </w:rPr>
        <w:id w:val="466631416"/>
        <w:docPartObj>
          <w:docPartGallery w:val="Table of Contents"/>
          <w:docPartUnique/>
        </w:docPartObj>
      </w:sdtPr>
      <w:sdtEndPr>
        <w:rPr>
          <w:b/>
          <w:bCs/>
          <w:noProof/>
        </w:rPr>
      </w:sdtEndPr>
      <w:sdtContent>
        <w:p w14:paraId="2015E349" w14:textId="73DD5A8F" w:rsidR="005727EA" w:rsidRPr="00726663" w:rsidRDefault="005727EA" w:rsidP="00DA036E">
          <w:pPr>
            <w:pStyle w:val="TOCHeading"/>
            <w:ind w:left="567" w:hanging="425"/>
            <w:rPr>
              <w:rFonts w:ascii="Arial" w:hAnsi="Arial" w:cs="Arial"/>
              <w:b/>
              <w:bCs/>
              <w:color w:val="auto"/>
              <w:sz w:val="26"/>
              <w:szCs w:val="26"/>
            </w:rPr>
          </w:pPr>
          <w:r w:rsidRPr="00726663">
            <w:rPr>
              <w:rFonts w:ascii="Arial" w:hAnsi="Arial" w:cs="Arial"/>
              <w:b/>
              <w:bCs/>
              <w:color w:val="auto"/>
              <w:sz w:val="26"/>
              <w:szCs w:val="26"/>
            </w:rPr>
            <w:t>Table of Contents</w:t>
          </w:r>
        </w:p>
        <w:p w14:paraId="45E7DF73" w14:textId="71603E2F" w:rsidR="00726663" w:rsidRPr="00726663" w:rsidRDefault="005727EA">
          <w:pPr>
            <w:pStyle w:val="TOC2"/>
            <w:tabs>
              <w:tab w:val="left" w:pos="880"/>
              <w:tab w:val="right" w:leader="dot" w:pos="9240"/>
            </w:tabs>
            <w:rPr>
              <w:rFonts w:asciiTheme="minorHAnsi" w:eastAsiaTheme="minorEastAsia" w:hAnsiTheme="minorHAnsi"/>
              <w:i w:val="0"/>
              <w:noProof/>
              <w:sz w:val="22"/>
              <w:szCs w:val="22"/>
              <w:lang w:val="en-ZA" w:eastAsia="en-ZA"/>
            </w:rPr>
          </w:pPr>
          <w:r w:rsidRPr="00726663">
            <w:rPr>
              <w:rFonts w:cs="Arial"/>
              <w:b/>
              <w:bCs/>
              <w:i w:val="0"/>
              <w:sz w:val="24"/>
              <w:szCs w:val="24"/>
            </w:rPr>
            <w:fldChar w:fldCharType="begin"/>
          </w:r>
          <w:r w:rsidRPr="00726663">
            <w:rPr>
              <w:rFonts w:cs="Arial"/>
              <w:b/>
              <w:bCs/>
              <w:i w:val="0"/>
              <w:sz w:val="24"/>
              <w:szCs w:val="24"/>
            </w:rPr>
            <w:instrText xml:space="preserve"> TOC \o "1-3" \h \z \u </w:instrText>
          </w:r>
          <w:r w:rsidRPr="00726663">
            <w:rPr>
              <w:rFonts w:cs="Arial"/>
              <w:b/>
              <w:bCs/>
              <w:i w:val="0"/>
              <w:sz w:val="24"/>
              <w:szCs w:val="24"/>
            </w:rPr>
            <w:fldChar w:fldCharType="separate"/>
          </w:r>
          <w:hyperlink w:anchor="_Toc126830092" w:history="1">
            <w:r w:rsidR="00726663" w:rsidRPr="00726663">
              <w:rPr>
                <w:rStyle w:val="Hyperlink"/>
                <w:rFonts w:cs="Arial"/>
                <w:i w:val="0"/>
                <w:noProof/>
                <w:spacing w:val="-1"/>
              </w:rPr>
              <w:t>1.</w:t>
            </w:r>
            <w:r w:rsidR="00726663" w:rsidRPr="00726663">
              <w:rPr>
                <w:rFonts w:asciiTheme="minorHAnsi" w:eastAsiaTheme="minorEastAsia" w:hAnsiTheme="minorHAnsi"/>
                <w:i w:val="0"/>
                <w:noProof/>
                <w:sz w:val="22"/>
                <w:szCs w:val="22"/>
                <w:lang w:val="en-ZA" w:eastAsia="en-ZA"/>
              </w:rPr>
              <w:tab/>
            </w:r>
            <w:r w:rsidR="00726663" w:rsidRPr="00726663">
              <w:rPr>
                <w:rStyle w:val="Hyperlink"/>
                <w:rFonts w:cs="Arial"/>
                <w:i w:val="0"/>
                <w:noProof/>
                <w:spacing w:val="-1"/>
              </w:rPr>
              <w:t>Introduction</w:t>
            </w:r>
            <w:r w:rsidR="00726663" w:rsidRPr="00726663">
              <w:rPr>
                <w:i w:val="0"/>
                <w:noProof/>
                <w:webHidden/>
              </w:rPr>
              <w:tab/>
            </w:r>
            <w:r w:rsidR="00726663" w:rsidRPr="00726663">
              <w:rPr>
                <w:i w:val="0"/>
                <w:noProof/>
                <w:webHidden/>
              </w:rPr>
              <w:fldChar w:fldCharType="begin"/>
            </w:r>
            <w:r w:rsidR="00726663" w:rsidRPr="00726663">
              <w:rPr>
                <w:i w:val="0"/>
                <w:noProof/>
                <w:webHidden/>
              </w:rPr>
              <w:instrText xml:space="preserve"> PAGEREF _Toc126830092 \h </w:instrText>
            </w:r>
            <w:r w:rsidR="00726663" w:rsidRPr="00726663">
              <w:rPr>
                <w:i w:val="0"/>
                <w:noProof/>
                <w:webHidden/>
              </w:rPr>
            </w:r>
            <w:r w:rsidR="00726663" w:rsidRPr="00726663">
              <w:rPr>
                <w:i w:val="0"/>
                <w:noProof/>
                <w:webHidden/>
              </w:rPr>
              <w:fldChar w:fldCharType="separate"/>
            </w:r>
            <w:r w:rsidR="00726663" w:rsidRPr="00726663">
              <w:rPr>
                <w:i w:val="0"/>
                <w:noProof/>
                <w:webHidden/>
              </w:rPr>
              <w:t>3</w:t>
            </w:r>
            <w:r w:rsidR="00726663" w:rsidRPr="00726663">
              <w:rPr>
                <w:i w:val="0"/>
                <w:noProof/>
                <w:webHidden/>
              </w:rPr>
              <w:fldChar w:fldCharType="end"/>
            </w:r>
          </w:hyperlink>
        </w:p>
        <w:p w14:paraId="6B741624" w14:textId="166C5152" w:rsidR="00726663" w:rsidRPr="00726663" w:rsidRDefault="00AE401F">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6830093" w:history="1">
            <w:r w:rsidR="00726663" w:rsidRPr="00726663">
              <w:rPr>
                <w:rStyle w:val="Hyperlink"/>
                <w:rFonts w:cs="Arial"/>
                <w:i w:val="0"/>
                <w:noProof/>
                <w:spacing w:val="-1"/>
              </w:rPr>
              <w:t>2.</w:t>
            </w:r>
            <w:r w:rsidR="00726663" w:rsidRPr="00726663">
              <w:rPr>
                <w:rFonts w:asciiTheme="minorHAnsi" w:eastAsiaTheme="minorEastAsia" w:hAnsiTheme="minorHAnsi"/>
                <w:i w:val="0"/>
                <w:noProof/>
                <w:sz w:val="22"/>
                <w:szCs w:val="22"/>
                <w:lang w:val="en-ZA" w:eastAsia="en-ZA"/>
              </w:rPr>
              <w:tab/>
            </w:r>
            <w:r w:rsidR="00726663" w:rsidRPr="00726663">
              <w:rPr>
                <w:rStyle w:val="Hyperlink"/>
                <w:rFonts w:cs="Arial"/>
                <w:i w:val="0"/>
                <w:noProof/>
                <w:spacing w:val="-1"/>
              </w:rPr>
              <w:t>The need for the Standard</w:t>
            </w:r>
            <w:r w:rsidR="00726663" w:rsidRPr="00726663">
              <w:rPr>
                <w:i w:val="0"/>
                <w:noProof/>
                <w:webHidden/>
              </w:rPr>
              <w:tab/>
            </w:r>
            <w:r w:rsidR="00726663" w:rsidRPr="00726663">
              <w:rPr>
                <w:i w:val="0"/>
                <w:noProof/>
                <w:webHidden/>
              </w:rPr>
              <w:fldChar w:fldCharType="begin"/>
            </w:r>
            <w:r w:rsidR="00726663" w:rsidRPr="00726663">
              <w:rPr>
                <w:i w:val="0"/>
                <w:noProof/>
                <w:webHidden/>
              </w:rPr>
              <w:instrText xml:space="preserve"> PAGEREF _Toc126830093 \h </w:instrText>
            </w:r>
            <w:r w:rsidR="00726663" w:rsidRPr="00726663">
              <w:rPr>
                <w:i w:val="0"/>
                <w:noProof/>
                <w:webHidden/>
              </w:rPr>
            </w:r>
            <w:r w:rsidR="00726663" w:rsidRPr="00726663">
              <w:rPr>
                <w:i w:val="0"/>
                <w:noProof/>
                <w:webHidden/>
              </w:rPr>
              <w:fldChar w:fldCharType="separate"/>
            </w:r>
            <w:r w:rsidR="00726663" w:rsidRPr="00726663">
              <w:rPr>
                <w:i w:val="0"/>
                <w:noProof/>
                <w:webHidden/>
              </w:rPr>
              <w:t>4</w:t>
            </w:r>
            <w:r w:rsidR="00726663" w:rsidRPr="00726663">
              <w:rPr>
                <w:i w:val="0"/>
                <w:noProof/>
                <w:webHidden/>
              </w:rPr>
              <w:fldChar w:fldCharType="end"/>
            </w:r>
          </w:hyperlink>
        </w:p>
        <w:p w14:paraId="5F825B56" w14:textId="66144776" w:rsidR="00726663" w:rsidRPr="00726663" w:rsidRDefault="00AE401F">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6830094" w:history="1">
            <w:r w:rsidR="00726663" w:rsidRPr="00726663">
              <w:rPr>
                <w:rStyle w:val="Hyperlink"/>
                <w:rFonts w:cs="Arial"/>
                <w:i w:val="0"/>
                <w:noProof/>
                <w:spacing w:val="-1"/>
              </w:rPr>
              <w:t>3.</w:t>
            </w:r>
            <w:r w:rsidR="00726663" w:rsidRPr="00726663">
              <w:rPr>
                <w:rFonts w:asciiTheme="minorHAnsi" w:eastAsiaTheme="minorEastAsia" w:hAnsiTheme="minorHAnsi"/>
                <w:i w:val="0"/>
                <w:noProof/>
                <w:sz w:val="22"/>
                <w:szCs w:val="22"/>
                <w:lang w:val="en-ZA" w:eastAsia="en-ZA"/>
              </w:rPr>
              <w:tab/>
            </w:r>
            <w:r w:rsidR="00726663" w:rsidRPr="00726663">
              <w:rPr>
                <w:rStyle w:val="Hyperlink"/>
                <w:rFonts w:cs="Arial"/>
                <w:i w:val="0"/>
                <w:noProof/>
                <w:spacing w:val="-1"/>
              </w:rPr>
              <w:t>The intended operation of the Standard</w:t>
            </w:r>
            <w:r w:rsidR="00726663" w:rsidRPr="00726663">
              <w:rPr>
                <w:i w:val="0"/>
                <w:noProof/>
                <w:webHidden/>
              </w:rPr>
              <w:tab/>
            </w:r>
            <w:r w:rsidR="00726663" w:rsidRPr="00726663">
              <w:rPr>
                <w:i w:val="0"/>
                <w:noProof/>
                <w:webHidden/>
              </w:rPr>
              <w:fldChar w:fldCharType="begin"/>
            </w:r>
            <w:r w:rsidR="00726663" w:rsidRPr="00726663">
              <w:rPr>
                <w:i w:val="0"/>
                <w:noProof/>
                <w:webHidden/>
              </w:rPr>
              <w:instrText xml:space="preserve"> PAGEREF _Toc126830094 \h </w:instrText>
            </w:r>
            <w:r w:rsidR="00726663" w:rsidRPr="00726663">
              <w:rPr>
                <w:i w:val="0"/>
                <w:noProof/>
                <w:webHidden/>
              </w:rPr>
            </w:r>
            <w:r w:rsidR="00726663" w:rsidRPr="00726663">
              <w:rPr>
                <w:i w:val="0"/>
                <w:noProof/>
                <w:webHidden/>
              </w:rPr>
              <w:fldChar w:fldCharType="separate"/>
            </w:r>
            <w:r w:rsidR="00726663" w:rsidRPr="00726663">
              <w:rPr>
                <w:i w:val="0"/>
                <w:noProof/>
                <w:webHidden/>
              </w:rPr>
              <w:t>5</w:t>
            </w:r>
            <w:r w:rsidR="00726663" w:rsidRPr="00726663">
              <w:rPr>
                <w:i w:val="0"/>
                <w:noProof/>
                <w:webHidden/>
              </w:rPr>
              <w:fldChar w:fldCharType="end"/>
            </w:r>
          </w:hyperlink>
        </w:p>
        <w:p w14:paraId="26F6E09D" w14:textId="54EEADE4" w:rsidR="00726663" w:rsidRPr="00726663" w:rsidRDefault="00AE401F">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6830095" w:history="1">
            <w:r w:rsidR="00726663" w:rsidRPr="00726663">
              <w:rPr>
                <w:rStyle w:val="Hyperlink"/>
                <w:rFonts w:cs="Arial"/>
                <w:i w:val="0"/>
                <w:noProof/>
                <w:spacing w:val="-1"/>
              </w:rPr>
              <w:t>4.</w:t>
            </w:r>
            <w:r w:rsidR="00726663" w:rsidRPr="00726663">
              <w:rPr>
                <w:rFonts w:asciiTheme="minorHAnsi" w:eastAsiaTheme="minorEastAsia" w:hAnsiTheme="minorHAnsi"/>
                <w:i w:val="0"/>
                <w:noProof/>
                <w:sz w:val="22"/>
                <w:szCs w:val="22"/>
                <w:lang w:val="en-ZA" w:eastAsia="en-ZA"/>
              </w:rPr>
              <w:tab/>
            </w:r>
            <w:r w:rsidR="00726663" w:rsidRPr="00726663">
              <w:rPr>
                <w:rStyle w:val="Hyperlink"/>
                <w:rFonts w:cs="Arial"/>
                <w:i w:val="0"/>
                <w:noProof/>
                <w:spacing w:val="-1"/>
              </w:rPr>
              <w:t>Expected impact of the Standard</w:t>
            </w:r>
            <w:r w:rsidR="00726663" w:rsidRPr="00726663">
              <w:rPr>
                <w:i w:val="0"/>
                <w:noProof/>
                <w:webHidden/>
              </w:rPr>
              <w:tab/>
            </w:r>
            <w:r w:rsidR="00726663" w:rsidRPr="00726663">
              <w:rPr>
                <w:i w:val="0"/>
                <w:noProof/>
                <w:webHidden/>
              </w:rPr>
              <w:fldChar w:fldCharType="begin"/>
            </w:r>
            <w:r w:rsidR="00726663" w:rsidRPr="00726663">
              <w:rPr>
                <w:i w:val="0"/>
                <w:noProof/>
                <w:webHidden/>
              </w:rPr>
              <w:instrText xml:space="preserve"> PAGEREF _Toc126830095 \h </w:instrText>
            </w:r>
            <w:r w:rsidR="00726663" w:rsidRPr="00726663">
              <w:rPr>
                <w:i w:val="0"/>
                <w:noProof/>
                <w:webHidden/>
              </w:rPr>
            </w:r>
            <w:r w:rsidR="00726663" w:rsidRPr="00726663">
              <w:rPr>
                <w:i w:val="0"/>
                <w:noProof/>
                <w:webHidden/>
              </w:rPr>
              <w:fldChar w:fldCharType="separate"/>
            </w:r>
            <w:r w:rsidR="00726663" w:rsidRPr="00726663">
              <w:rPr>
                <w:i w:val="0"/>
                <w:noProof/>
                <w:webHidden/>
              </w:rPr>
              <w:t>7</w:t>
            </w:r>
            <w:r w:rsidR="00726663" w:rsidRPr="00726663">
              <w:rPr>
                <w:i w:val="0"/>
                <w:noProof/>
                <w:webHidden/>
              </w:rPr>
              <w:fldChar w:fldCharType="end"/>
            </w:r>
          </w:hyperlink>
        </w:p>
        <w:p w14:paraId="6813AFDD" w14:textId="61F04489" w:rsidR="00726663" w:rsidRPr="00726663" w:rsidRDefault="00AE401F">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6830096" w:history="1">
            <w:r w:rsidR="00726663" w:rsidRPr="00726663">
              <w:rPr>
                <w:rStyle w:val="Hyperlink"/>
                <w:rFonts w:cs="Arial"/>
                <w:i w:val="0"/>
                <w:noProof/>
                <w:spacing w:val="-1"/>
              </w:rPr>
              <w:t>5.</w:t>
            </w:r>
            <w:r w:rsidR="00726663" w:rsidRPr="00726663">
              <w:rPr>
                <w:rFonts w:asciiTheme="minorHAnsi" w:eastAsiaTheme="minorEastAsia" w:hAnsiTheme="minorHAnsi"/>
                <w:i w:val="0"/>
                <w:noProof/>
                <w:sz w:val="22"/>
                <w:szCs w:val="22"/>
                <w:lang w:val="en-ZA" w:eastAsia="en-ZA"/>
              </w:rPr>
              <w:tab/>
            </w:r>
            <w:r w:rsidR="00726663" w:rsidRPr="00726663">
              <w:rPr>
                <w:rStyle w:val="Hyperlink"/>
                <w:rFonts w:cs="Arial"/>
                <w:i w:val="0"/>
                <w:noProof/>
                <w:spacing w:val="-1"/>
              </w:rPr>
              <w:t>Conclusion</w:t>
            </w:r>
            <w:r w:rsidR="00726663" w:rsidRPr="00726663">
              <w:rPr>
                <w:i w:val="0"/>
                <w:noProof/>
                <w:webHidden/>
              </w:rPr>
              <w:tab/>
            </w:r>
            <w:r w:rsidR="00726663" w:rsidRPr="00726663">
              <w:rPr>
                <w:i w:val="0"/>
                <w:noProof/>
                <w:webHidden/>
              </w:rPr>
              <w:fldChar w:fldCharType="begin"/>
            </w:r>
            <w:r w:rsidR="00726663" w:rsidRPr="00726663">
              <w:rPr>
                <w:i w:val="0"/>
                <w:noProof/>
                <w:webHidden/>
              </w:rPr>
              <w:instrText xml:space="preserve"> PAGEREF _Toc126830096 \h </w:instrText>
            </w:r>
            <w:r w:rsidR="00726663" w:rsidRPr="00726663">
              <w:rPr>
                <w:i w:val="0"/>
                <w:noProof/>
                <w:webHidden/>
              </w:rPr>
            </w:r>
            <w:r w:rsidR="00726663" w:rsidRPr="00726663">
              <w:rPr>
                <w:i w:val="0"/>
                <w:noProof/>
                <w:webHidden/>
              </w:rPr>
              <w:fldChar w:fldCharType="separate"/>
            </w:r>
            <w:r w:rsidR="00726663" w:rsidRPr="00726663">
              <w:rPr>
                <w:i w:val="0"/>
                <w:noProof/>
                <w:webHidden/>
              </w:rPr>
              <w:t>9</w:t>
            </w:r>
            <w:r w:rsidR="00726663" w:rsidRPr="00726663">
              <w:rPr>
                <w:i w:val="0"/>
                <w:noProof/>
                <w:webHidden/>
              </w:rPr>
              <w:fldChar w:fldCharType="end"/>
            </w:r>
          </w:hyperlink>
        </w:p>
        <w:p w14:paraId="02BD3E11" w14:textId="564EA067" w:rsidR="005727EA" w:rsidRPr="00726663" w:rsidRDefault="005727EA" w:rsidP="00E17151">
          <w:pPr>
            <w:spacing w:after="360"/>
            <w:ind w:left="567" w:hanging="425"/>
          </w:pPr>
          <w:r w:rsidRPr="00726663">
            <w:rPr>
              <w:rFonts w:ascii="Arial" w:hAnsi="Arial" w:cs="Arial"/>
              <w:b/>
              <w:bCs/>
              <w:noProof/>
              <w:sz w:val="24"/>
              <w:szCs w:val="24"/>
            </w:rPr>
            <w:fldChar w:fldCharType="end"/>
          </w:r>
        </w:p>
      </w:sdtContent>
    </w:sdt>
    <w:p w14:paraId="01AA721F" w14:textId="77777777" w:rsidR="00A61CAE" w:rsidRPr="008369F0" w:rsidRDefault="00A61CAE">
      <w:pPr>
        <w:rPr>
          <w:rFonts w:ascii="Arial" w:eastAsia="Arial" w:hAnsi="Arial" w:cs="Arial"/>
        </w:rPr>
        <w:sectPr w:rsidR="00A61CAE" w:rsidRPr="008369F0">
          <w:headerReference w:type="even" r:id="rId18"/>
          <w:headerReference w:type="default" r:id="rId19"/>
          <w:footerReference w:type="default" r:id="rId20"/>
          <w:headerReference w:type="first" r:id="rId21"/>
          <w:pgSz w:w="11910" w:h="16840"/>
          <w:pgMar w:top="1020" w:right="1320" w:bottom="1160" w:left="1340" w:header="733" w:footer="961" w:gutter="0"/>
          <w:pgNumType w:start="2"/>
          <w:cols w:space="720"/>
        </w:sectPr>
      </w:pPr>
    </w:p>
    <w:p w14:paraId="1FDC60A8" w14:textId="7CDF8C3E" w:rsidR="00515925" w:rsidRPr="00EC6D33" w:rsidRDefault="00515925" w:rsidP="00FB1EAA">
      <w:pPr>
        <w:pStyle w:val="Heading2"/>
        <w:numPr>
          <w:ilvl w:val="0"/>
          <w:numId w:val="5"/>
        </w:numPr>
        <w:tabs>
          <w:tab w:val="left" w:pos="567"/>
        </w:tabs>
        <w:spacing w:after="200" w:line="360" w:lineRule="auto"/>
        <w:ind w:left="567" w:hanging="567"/>
        <w:jc w:val="both"/>
        <w:rPr>
          <w:rFonts w:cs="Arial"/>
          <w:spacing w:val="-1"/>
        </w:rPr>
      </w:pPr>
      <w:bookmarkStart w:id="2" w:name="List_of_acronyms"/>
      <w:bookmarkStart w:id="3" w:name="1._Introduction"/>
      <w:bookmarkStart w:id="4" w:name="_Toc94699811"/>
      <w:bookmarkStart w:id="5" w:name="_Toc126830092"/>
      <w:bookmarkEnd w:id="2"/>
      <w:bookmarkEnd w:id="3"/>
      <w:r w:rsidRPr="00EC6D33">
        <w:rPr>
          <w:rFonts w:cs="Arial"/>
          <w:spacing w:val="-1"/>
        </w:rPr>
        <w:lastRenderedPageBreak/>
        <w:t>Introduction</w:t>
      </w:r>
      <w:bookmarkEnd w:id="4"/>
      <w:bookmarkEnd w:id="5"/>
    </w:p>
    <w:p w14:paraId="0C800C5D" w14:textId="572F0AC4" w:rsidR="004B37E6" w:rsidRPr="00063EAB" w:rsidRDefault="004B37E6" w:rsidP="00FB1EAA">
      <w:pPr>
        <w:pStyle w:val="ListParagraph"/>
        <w:numPr>
          <w:ilvl w:val="1"/>
          <w:numId w:val="5"/>
        </w:numPr>
        <w:spacing w:after="200" w:line="360" w:lineRule="auto"/>
        <w:ind w:left="567" w:hanging="567"/>
        <w:jc w:val="both"/>
        <w:rPr>
          <w:rFonts w:ascii="Arial" w:hAnsi="Arial" w:cs="Arial"/>
          <w:sz w:val="23"/>
          <w:szCs w:val="23"/>
          <w:lang w:val="en-AU"/>
        </w:rPr>
      </w:pPr>
      <w:r w:rsidRPr="00063EAB">
        <w:rPr>
          <w:rFonts w:ascii="Arial" w:hAnsi="Arial" w:cs="Arial"/>
          <w:bCs/>
          <w:sz w:val="23"/>
          <w:szCs w:val="23"/>
          <w:lang w:val="en-ZA"/>
        </w:rPr>
        <w:t xml:space="preserve">The </w:t>
      </w:r>
      <w:r w:rsidR="00063EAB" w:rsidRPr="00063EAB">
        <w:rPr>
          <w:rFonts w:ascii="Arial" w:hAnsi="Arial" w:cs="Arial"/>
          <w:sz w:val="23"/>
          <w:szCs w:val="23"/>
        </w:rPr>
        <w:t>s</w:t>
      </w:r>
      <w:r w:rsidR="00063EAB" w:rsidRPr="00063EAB">
        <w:rPr>
          <w:rFonts w:ascii="Arial" w:hAnsi="Arial" w:cs="Arial"/>
          <w:sz w:val="23"/>
          <w:szCs w:val="23"/>
        </w:rPr>
        <w:t>tatement explaining the need for, intended operation, and expected impact of the prudential standard for designated institutions in respect of stays on early-termination rights and resolution moratoria</w:t>
      </w:r>
      <w:r w:rsidR="00063EAB" w:rsidRPr="00063EAB">
        <w:rPr>
          <w:rFonts w:ascii="Arial" w:hAnsi="Arial" w:cs="Arial"/>
          <w:bCs/>
          <w:sz w:val="23"/>
          <w:szCs w:val="23"/>
          <w:lang w:val="en-ZA"/>
        </w:rPr>
        <w:t xml:space="preserve"> (</w:t>
      </w:r>
      <w:r w:rsidR="00063EAB" w:rsidRPr="00063EAB">
        <w:rPr>
          <w:rFonts w:ascii="Arial" w:hAnsi="Arial" w:cs="Arial"/>
          <w:bCs/>
          <w:sz w:val="23"/>
          <w:szCs w:val="23"/>
          <w:lang w:val="en-ZA"/>
        </w:rPr>
        <w:t>Statement</w:t>
      </w:r>
      <w:r w:rsidR="00063EAB" w:rsidRPr="00063EAB">
        <w:rPr>
          <w:rFonts w:ascii="Arial" w:hAnsi="Arial" w:cs="Arial"/>
          <w:bCs/>
          <w:sz w:val="23"/>
          <w:szCs w:val="23"/>
          <w:lang w:val="en-ZA"/>
        </w:rPr>
        <w:t>)</w:t>
      </w:r>
      <w:r w:rsidR="00063EAB">
        <w:rPr>
          <w:rFonts w:ascii="Arial" w:hAnsi="Arial" w:cs="Arial"/>
          <w:bCs/>
          <w:sz w:val="23"/>
          <w:szCs w:val="23"/>
          <w:lang w:val="en-ZA"/>
        </w:rPr>
        <w:t xml:space="preserve"> </w:t>
      </w:r>
      <w:r w:rsidRPr="00063EAB">
        <w:rPr>
          <w:rFonts w:ascii="Arial" w:hAnsi="Arial" w:cs="Arial"/>
          <w:sz w:val="23"/>
          <w:szCs w:val="23"/>
          <w:lang w:val="en-ZA"/>
        </w:rPr>
        <w:t xml:space="preserve">is prepared and published </w:t>
      </w:r>
      <w:r w:rsidR="00C17F9C" w:rsidRPr="00063EAB">
        <w:rPr>
          <w:rFonts w:ascii="Arial" w:hAnsi="Arial" w:cs="Arial"/>
          <w:sz w:val="23"/>
          <w:szCs w:val="23"/>
          <w:lang w:val="en-ZA"/>
        </w:rPr>
        <w:t>by the Prudential Authority and</w:t>
      </w:r>
      <w:r w:rsidR="00C17F9C" w:rsidRPr="00063EAB">
        <w:rPr>
          <w:rFonts w:ascii="Arial" w:hAnsi="Arial" w:cs="Arial"/>
          <w:sz w:val="23"/>
          <w:szCs w:val="23"/>
        </w:rPr>
        <w:t xml:space="preserve"> the South African Reserve Bank as the resolution authority (</w:t>
      </w:r>
      <w:r w:rsidR="003C46D8" w:rsidRPr="00063EAB">
        <w:rPr>
          <w:rFonts w:ascii="Arial" w:hAnsi="Arial" w:cs="Arial"/>
          <w:sz w:val="23"/>
          <w:szCs w:val="23"/>
        </w:rPr>
        <w:t xml:space="preserve">the </w:t>
      </w:r>
      <w:r w:rsidR="00C17F9C" w:rsidRPr="00063EAB">
        <w:rPr>
          <w:rFonts w:ascii="Arial" w:hAnsi="Arial" w:cs="Arial"/>
          <w:sz w:val="23"/>
          <w:szCs w:val="23"/>
        </w:rPr>
        <w:t>Authorities)</w:t>
      </w:r>
      <w:r w:rsidR="00C17F9C" w:rsidRPr="00063EAB">
        <w:rPr>
          <w:rFonts w:ascii="Arial" w:hAnsi="Arial" w:cs="Arial"/>
          <w:sz w:val="23"/>
          <w:szCs w:val="23"/>
          <w:lang w:val="en-ZA"/>
        </w:rPr>
        <w:t xml:space="preserve"> </w:t>
      </w:r>
      <w:r w:rsidRPr="00063EAB">
        <w:rPr>
          <w:rFonts w:ascii="Arial" w:hAnsi="Arial" w:cs="Arial"/>
          <w:sz w:val="23"/>
          <w:szCs w:val="23"/>
          <w:lang w:val="en-ZA"/>
        </w:rPr>
        <w:t xml:space="preserve">in accordance with; and in fulfilment of the requirements under section 98(1) of the </w:t>
      </w:r>
      <w:r w:rsidR="00E054E5" w:rsidRPr="00063EAB">
        <w:rPr>
          <w:rFonts w:ascii="Arial" w:hAnsi="Arial" w:cs="Arial"/>
          <w:sz w:val="23"/>
          <w:szCs w:val="23"/>
          <w:lang w:val="en-ZA"/>
        </w:rPr>
        <w:t xml:space="preserve">Financial Sector Regulation </w:t>
      </w:r>
      <w:r w:rsidRPr="00063EAB">
        <w:rPr>
          <w:rFonts w:ascii="Arial" w:hAnsi="Arial" w:cs="Arial"/>
          <w:sz w:val="23"/>
          <w:szCs w:val="23"/>
          <w:lang w:val="en-ZA"/>
        </w:rPr>
        <w:t>Act</w:t>
      </w:r>
      <w:r w:rsidR="00E054E5" w:rsidRPr="00063EAB">
        <w:rPr>
          <w:rFonts w:ascii="Arial" w:hAnsi="Arial" w:cs="Arial"/>
          <w:sz w:val="23"/>
          <w:szCs w:val="23"/>
          <w:lang w:val="en-ZA"/>
        </w:rPr>
        <w:t>, 2017</w:t>
      </w:r>
      <w:r w:rsidR="002B27D8" w:rsidRPr="00063EAB">
        <w:rPr>
          <w:rFonts w:ascii="Arial" w:hAnsi="Arial" w:cs="Arial"/>
          <w:sz w:val="23"/>
          <w:szCs w:val="23"/>
          <w:lang w:val="en-ZA"/>
        </w:rPr>
        <w:t xml:space="preserve"> (Act No. 9 of 2017)</w:t>
      </w:r>
      <w:r w:rsidRPr="00063EAB">
        <w:rPr>
          <w:rFonts w:ascii="Arial" w:hAnsi="Arial" w:cs="Arial"/>
          <w:sz w:val="23"/>
          <w:szCs w:val="23"/>
          <w:lang w:val="en-ZA"/>
        </w:rPr>
        <w:t xml:space="preserve"> which stipulates that, </w:t>
      </w:r>
      <w:r w:rsidRPr="00063EAB">
        <w:rPr>
          <w:rFonts w:ascii="Arial" w:hAnsi="Arial" w:cs="Arial"/>
          <w:bCs/>
          <w:sz w:val="23"/>
          <w:szCs w:val="23"/>
          <w:lang w:val="en-ZA"/>
        </w:rPr>
        <w:t>a financial sector regulator must not make a regulatory instrument unless it has published the following documents:</w:t>
      </w:r>
    </w:p>
    <w:p w14:paraId="276700FC" w14:textId="77777777" w:rsidR="004B37E6" w:rsidRPr="00EC6D33" w:rsidRDefault="004B37E6" w:rsidP="002B27D8">
      <w:pPr>
        <w:pStyle w:val="ListParagraph"/>
        <w:numPr>
          <w:ilvl w:val="2"/>
          <w:numId w:val="18"/>
        </w:numPr>
        <w:spacing w:after="200" w:line="360" w:lineRule="auto"/>
        <w:ind w:left="1134" w:hanging="567"/>
        <w:jc w:val="both"/>
        <w:rPr>
          <w:rFonts w:ascii="Arial" w:hAnsi="Arial" w:cs="Arial"/>
          <w:bCs/>
          <w:sz w:val="23"/>
          <w:szCs w:val="23"/>
          <w:lang w:val="en-ZA"/>
        </w:rPr>
      </w:pPr>
      <w:r w:rsidRPr="00EC6D33">
        <w:rPr>
          <w:rFonts w:ascii="Arial" w:hAnsi="Arial" w:cs="Arial"/>
          <w:bCs/>
          <w:sz w:val="23"/>
          <w:szCs w:val="23"/>
          <w:lang w:val="en-ZA"/>
        </w:rPr>
        <w:t xml:space="preserve">a draft of the regulatory instrument; </w:t>
      </w:r>
    </w:p>
    <w:p w14:paraId="359D9C0A" w14:textId="77777777" w:rsidR="004B37E6" w:rsidRPr="00EC6D33" w:rsidRDefault="004B37E6" w:rsidP="002B27D8">
      <w:pPr>
        <w:pStyle w:val="ListParagraph"/>
        <w:numPr>
          <w:ilvl w:val="2"/>
          <w:numId w:val="18"/>
        </w:numPr>
        <w:spacing w:after="200" w:line="360" w:lineRule="auto"/>
        <w:ind w:left="1134" w:hanging="567"/>
        <w:jc w:val="both"/>
        <w:rPr>
          <w:rFonts w:ascii="Arial" w:hAnsi="Arial" w:cs="Arial"/>
          <w:b/>
          <w:bCs/>
          <w:sz w:val="23"/>
          <w:szCs w:val="23"/>
          <w:lang w:val="en-ZA"/>
        </w:rPr>
      </w:pPr>
      <w:r w:rsidRPr="00EC6D33">
        <w:rPr>
          <w:rFonts w:ascii="Arial" w:hAnsi="Arial" w:cs="Arial"/>
          <w:bCs/>
          <w:sz w:val="23"/>
          <w:szCs w:val="23"/>
          <w:lang w:val="en-ZA"/>
        </w:rPr>
        <w:t xml:space="preserve">a statement explaining the need for and the intended operation of the regulatory instrument; </w:t>
      </w:r>
    </w:p>
    <w:p w14:paraId="7A77F2F6" w14:textId="77777777" w:rsidR="004B37E6" w:rsidRPr="00EC6D33" w:rsidRDefault="004B37E6" w:rsidP="002B27D8">
      <w:pPr>
        <w:pStyle w:val="ListParagraph"/>
        <w:numPr>
          <w:ilvl w:val="2"/>
          <w:numId w:val="18"/>
        </w:numPr>
        <w:spacing w:after="200" w:line="360" w:lineRule="auto"/>
        <w:ind w:left="1134" w:hanging="567"/>
        <w:jc w:val="both"/>
        <w:rPr>
          <w:rFonts w:ascii="Arial" w:hAnsi="Arial" w:cs="Arial"/>
          <w:b/>
          <w:bCs/>
          <w:sz w:val="23"/>
          <w:szCs w:val="23"/>
          <w:lang w:val="en-ZA"/>
        </w:rPr>
      </w:pPr>
      <w:r w:rsidRPr="00EC6D33">
        <w:rPr>
          <w:rFonts w:ascii="Arial" w:hAnsi="Arial" w:cs="Arial"/>
          <w:bCs/>
          <w:sz w:val="23"/>
          <w:szCs w:val="23"/>
          <w:lang w:val="en-ZA"/>
        </w:rPr>
        <w:t>a statement of the expected impact of the regulatory instrument; and</w:t>
      </w:r>
    </w:p>
    <w:p w14:paraId="66B0C492" w14:textId="77777777" w:rsidR="004B37E6" w:rsidRPr="00EC6D33" w:rsidRDefault="004B37E6" w:rsidP="002B27D8">
      <w:pPr>
        <w:pStyle w:val="ListParagraph"/>
        <w:numPr>
          <w:ilvl w:val="2"/>
          <w:numId w:val="18"/>
        </w:numPr>
        <w:spacing w:after="200" w:line="360" w:lineRule="auto"/>
        <w:ind w:left="1134" w:hanging="567"/>
        <w:jc w:val="both"/>
        <w:rPr>
          <w:rFonts w:ascii="Arial" w:hAnsi="Arial" w:cs="Arial"/>
          <w:b/>
          <w:bCs/>
          <w:sz w:val="23"/>
          <w:szCs w:val="23"/>
          <w:lang w:val="en-ZA"/>
        </w:rPr>
      </w:pPr>
      <w:r w:rsidRPr="00EC6D33">
        <w:rPr>
          <w:rFonts w:ascii="Arial" w:hAnsi="Arial" w:cs="Arial"/>
          <w:sz w:val="23"/>
          <w:szCs w:val="23"/>
          <w:lang w:val="en-ZA"/>
        </w:rPr>
        <w:t>a notice inviting submissions in relation to the regulatory instrument, stating where, how and by when submissions are to be made.</w:t>
      </w:r>
      <w:r w:rsidRPr="00EC6D33">
        <w:rPr>
          <w:rFonts w:ascii="Arial" w:hAnsi="Arial" w:cs="Arial"/>
          <w:bCs/>
          <w:sz w:val="23"/>
          <w:szCs w:val="23"/>
          <w:lang w:val="en-ZA"/>
        </w:rPr>
        <w:t xml:space="preserve"> </w:t>
      </w:r>
    </w:p>
    <w:p w14:paraId="267202F6" w14:textId="20EA0741" w:rsidR="004B37E6" w:rsidRPr="00EC6D33" w:rsidRDefault="004B37E6" w:rsidP="00FB1EAA">
      <w:pPr>
        <w:pStyle w:val="ListParagraph"/>
        <w:numPr>
          <w:ilvl w:val="1"/>
          <w:numId w:val="5"/>
        </w:numPr>
        <w:spacing w:after="200" w:line="360" w:lineRule="auto"/>
        <w:ind w:left="567" w:hanging="567"/>
        <w:jc w:val="both"/>
        <w:rPr>
          <w:rFonts w:ascii="Arial" w:hAnsi="Arial" w:cs="Arial"/>
          <w:sz w:val="23"/>
          <w:szCs w:val="23"/>
        </w:rPr>
      </w:pPr>
      <w:r w:rsidRPr="00EC6D33">
        <w:rPr>
          <w:rFonts w:ascii="Arial" w:hAnsi="Arial" w:cs="Arial"/>
          <w:sz w:val="23"/>
          <w:szCs w:val="23"/>
        </w:rPr>
        <w:t xml:space="preserve">The Statement is intended to communicate to all relevant stakeholders, the policy context, intended outcomes and expected impact of the </w:t>
      </w:r>
      <w:r w:rsidR="003C1C72" w:rsidRPr="00EC6D33">
        <w:rPr>
          <w:rFonts w:ascii="Arial" w:hAnsi="Arial" w:cs="Arial"/>
          <w:sz w:val="23"/>
          <w:szCs w:val="23"/>
        </w:rPr>
        <w:t>proposed prudential standard relating to stays on early-termination rights and resolution moratoria on contracts of designated institutions in resolution (</w:t>
      </w:r>
      <w:r w:rsidRPr="00EC6D33">
        <w:rPr>
          <w:rFonts w:ascii="Arial" w:hAnsi="Arial" w:cs="Arial"/>
          <w:sz w:val="23"/>
          <w:szCs w:val="23"/>
        </w:rPr>
        <w:t>Standard</w:t>
      </w:r>
      <w:r w:rsidR="003C1C72" w:rsidRPr="00EC6D33">
        <w:rPr>
          <w:rFonts w:ascii="Arial" w:hAnsi="Arial" w:cs="Arial"/>
          <w:sz w:val="23"/>
          <w:szCs w:val="23"/>
        </w:rPr>
        <w:t>)</w:t>
      </w:r>
      <w:r w:rsidRPr="00EC6D33">
        <w:rPr>
          <w:rFonts w:ascii="Arial" w:hAnsi="Arial" w:cs="Arial"/>
          <w:sz w:val="23"/>
          <w:szCs w:val="23"/>
        </w:rPr>
        <w:t xml:space="preserve"> and to assist designated institutions in complying with the Standard.</w:t>
      </w:r>
    </w:p>
    <w:p w14:paraId="5AA0FFB0" w14:textId="1D5C776D" w:rsidR="00BB6A1E" w:rsidRPr="00EC6D33" w:rsidRDefault="00BB6A1E" w:rsidP="00FB1EAA">
      <w:pPr>
        <w:pStyle w:val="ListParagraph"/>
        <w:numPr>
          <w:ilvl w:val="1"/>
          <w:numId w:val="5"/>
        </w:numPr>
        <w:spacing w:after="200" w:line="360" w:lineRule="auto"/>
        <w:ind w:left="567" w:hanging="567"/>
        <w:jc w:val="both"/>
        <w:rPr>
          <w:rFonts w:ascii="Arial" w:hAnsi="Arial" w:cs="Arial"/>
          <w:sz w:val="23"/>
          <w:szCs w:val="23"/>
        </w:rPr>
      </w:pPr>
      <w:r w:rsidRPr="00EC6D33">
        <w:rPr>
          <w:rFonts w:ascii="Arial" w:hAnsi="Arial" w:cs="Arial"/>
          <w:sz w:val="23"/>
          <w:szCs w:val="23"/>
        </w:rPr>
        <w:t xml:space="preserve">A lesson learnt from the 2008 global financial crisis was that </w:t>
      </w:r>
      <w:r w:rsidR="00D47C57" w:rsidRPr="00EC6D33">
        <w:rPr>
          <w:rFonts w:ascii="Arial" w:hAnsi="Arial" w:cs="Arial"/>
          <w:sz w:val="23"/>
          <w:szCs w:val="23"/>
        </w:rPr>
        <w:t xml:space="preserve">the </w:t>
      </w:r>
      <w:r w:rsidRPr="00EC6D33">
        <w:rPr>
          <w:rFonts w:ascii="Arial" w:hAnsi="Arial" w:cs="Arial"/>
          <w:sz w:val="23"/>
          <w:szCs w:val="23"/>
        </w:rPr>
        <w:t xml:space="preserve">disorderly termination of a financial institution’s contracts on a mass scale could cause significant contagion effects to the financial markets, </w:t>
      </w:r>
      <w:r w:rsidR="008255F2" w:rsidRPr="00EC6D33">
        <w:rPr>
          <w:rFonts w:ascii="Arial" w:hAnsi="Arial" w:cs="Arial"/>
          <w:sz w:val="23"/>
          <w:szCs w:val="23"/>
        </w:rPr>
        <w:t xml:space="preserve">thereby </w:t>
      </w:r>
      <w:r w:rsidRPr="00EC6D33">
        <w:rPr>
          <w:rFonts w:ascii="Arial" w:hAnsi="Arial" w:cs="Arial"/>
          <w:sz w:val="23"/>
          <w:szCs w:val="23"/>
        </w:rPr>
        <w:t xml:space="preserve">posing risks to the stability and effective working of the </w:t>
      </w:r>
      <w:r w:rsidR="002076C6" w:rsidRPr="00EC6D33">
        <w:rPr>
          <w:rFonts w:ascii="Arial" w:hAnsi="Arial" w:cs="Arial"/>
          <w:sz w:val="23"/>
          <w:szCs w:val="23"/>
        </w:rPr>
        <w:t xml:space="preserve">wider </w:t>
      </w:r>
      <w:r w:rsidRPr="00EC6D33">
        <w:rPr>
          <w:rFonts w:ascii="Arial" w:hAnsi="Arial" w:cs="Arial"/>
          <w:sz w:val="23"/>
          <w:szCs w:val="23"/>
        </w:rPr>
        <w:t xml:space="preserve">financial system. To address this, </w:t>
      </w:r>
      <w:r w:rsidR="00943EB6" w:rsidRPr="00EC6D33">
        <w:rPr>
          <w:rFonts w:ascii="Arial" w:hAnsi="Arial" w:cs="Arial"/>
          <w:sz w:val="23"/>
          <w:szCs w:val="23"/>
        </w:rPr>
        <w:t xml:space="preserve">the Financial Stability Board (FSB) issued </w:t>
      </w:r>
      <w:r w:rsidRPr="00EC6D33">
        <w:rPr>
          <w:rFonts w:ascii="Arial" w:hAnsi="Arial" w:cs="Arial"/>
          <w:sz w:val="23"/>
          <w:szCs w:val="23"/>
        </w:rPr>
        <w:t>the Key Attributes of Effective Resolution Regimes for Financial Institutions (Key Attributes)</w:t>
      </w:r>
      <w:r w:rsidR="00943EB6" w:rsidRPr="00EC6D33">
        <w:rPr>
          <w:rFonts w:ascii="Arial" w:hAnsi="Arial" w:cs="Arial"/>
          <w:sz w:val="23"/>
          <w:szCs w:val="23"/>
        </w:rPr>
        <w:t xml:space="preserve"> </w:t>
      </w:r>
      <w:r w:rsidR="00675707" w:rsidRPr="00EC6D33">
        <w:rPr>
          <w:rFonts w:ascii="Arial" w:hAnsi="Arial" w:cs="Arial"/>
          <w:sz w:val="23"/>
          <w:szCs w:val="23"/>
        </w:rPr>
        <w:t xml:space="preserve">which were </w:t>
      </w:r>
      <w:r w:rsidR="00BB16BA">
        <w:rPr>
          <w:rFonts w:ascii="Arial" w:hAnsi="Arial" w:cs="Arial"/>
          <w:sz w:val="23"/>
          <w:szCs w:val="23"/>
        </w:rPr>
        <w:t>adopted</w:t>
      </w:r>
      <w:r w:rsidR="00675707" w:rsidRPr="00EC6D33">
        <w:rPr>
          <w:rFonts w:ascii="Arial" w:hAnsi="Arial" w:cs="Arial"/>
          <w:sz w:val="23"/>
          <w:szCs w:val="23"/>
        </w:rPr>
        <w:t xml:space="preserve"> </w:t>
      </w:r>
      <w:r w:rsidR="0032633F" w:rsidRPr="00EC6D33">
        <w:rPr>
          <w:rFonts w:ascii="Arial" w:hAnsi="Arial" w:cs="Arial"/>
          <w:sz w:val="23"/>
          <w:szCs w:val="23"/>
        </w:rPr>
        <w:t xml:space="preserve">as the </w:t>
      </w:r>
      <w:r w:rsidR="00750727" w:rsidRPr="00EC6D33">
        <w:rPr>
          <w:rFonts w:ascii="Arial" w:hAnsi="Arial" w:cs="Arial"/>
          <w:sz w:val="23"/>
          <w:szCs w:val="23"/>
        </w:rPr>
        <w:t xml:space="preserve">international standard for resolution regimes </w:t>
      </w:r>
      <w:r w:rsidR="00675707" w:rsidRPr="00EC6D33">
        <w:rPr>
          <w:rFonts w:ascii="Arial" w:hAnsi="Arial" w:cs="Arial"/>
          <w:sz w:val="23"/>
          <w:szCs w:val="23"/>
        </w:rPr>
        <w:t xml:space="preserve">by the G20 </w:t>
      </w:r>
      <w:r w:rsidR="00EC336A" w:rsidRPr="00EC6D33">
        <w:rPr>
          <w:rFonts w:ascii="Arial" w:hAnsi="Arial" w:cs="Arial"/>
          <w:sz w:val="23"/>
          <w:szCs w:val="23"/>
        </w:rPr>
        <w:t>H</w:t>
      </w:r>
      <w:r w:rsidR="00675707" w:rsidRPr="00EC6D33">
        <w:rPr>
          <w:rFonts w:ascii="Arial" w:hAnsi="Arial" w:cs="Arial"/>
          <w:sz w:val="23"/>
          <w:szCs w:val="23"/>
        </w:rPr>
        <w:t xml:space="preserve">eads of </w:t>
      </w:r>
      <w:r w:rsidR="00EC336A" w:rsidRPr="00EC6D33">
        <w:rPr>
          <w:rFonts w:ascii="Arial" w:hAnsi="Arial" w:cs="Arial"/>
          <w:sz w:val="23"/>
          <w:szCs w:val="23"/>
        </w:rPr>
        <w:t>S</w:t>
      </w:r>
      <w:r w:rsidR="00675707" w:rsidRPr="00EC6D33">
        <w:rPr>
          <w:rFonts w:ascii="Arial" w:hAnsi="Arial" w:cs="Arial"/>
          <w:sz w:val="23"/>
          <w:szCs w:val="23"/>
        </w:rPr>
        <w:t>tates</w:t>
      </w:r>
      <w:r w:rsidR="00EC336A" w:rsidRPr="00EC6D33">
        <w:rPr>
          <w:rFonts w:ascii="Arial" w:hAnsi="Arial" w:cs="Arial"/>
          <w:sz w:val="23"/>
          <w:szCs w:val="23"/>
        </w:rPr>
        <w:t xml:space="preserve"> and Government</w:t>
      </w:r>
      <w:r w:rsidR="00BB16BA">
        <w:rPr>
          <w:rFonts w:ascii="Arial" w:hAnsi="Arial" w:cs="Arial"/>
          <w:sz w:val="23"/>
          <w:szCs w:val="23"/>
        </w:rPr>
        <w:t>s</w:t>
      </w:r>
      <w:r w:rsidR="00675707" w:rsidRPr="00EC6D33">
        <w:rPr>
          <w:rFonts w:ascii="Arial" w:hAnsi="Arial" w:cs="Arial"/>
          <w:sz w:val="23"/>
          <w:szCs w:val="23"/>
        </w:rPr>
        <w:t xml:space="preserve"> </w:t>
      </w:r>
      <w:r w:rsidRPr="00EC6D33">
        <w:rPr>
          <w:rFonts w:ascii="Arial" w:hAnsi="Arial" w:cs="Arial"/>
          <w:sz w:val="23"/>
          <w:szCs w:val="23"/>
        </w:rPr>
        <w:t>in 201</w:t>
      </w:r>
      <w:r w:rsidR="00BB16BA">
        <w:rPr>
          <w:rFonts w:ascii="Arial" w:hAnsi="Arial" w:cs="Arial"/>
          <w:sz w:val="23"/>
          <w:szCs w:val="23"/>
        </w:rPr>
        <w:t>5</w:t>
      </w:r>
      <w:r w:rsidRPr="00EC6D33">
        <w:rPr>
          <w:rFonts w:ascii="Arial" w:hAnsi="Arial" w:cs="Arial"/>
          <w:sz w:val="23"/>
          <w:szCs w:val="23"/>
        </w:rPr>
        <w:t xml:space="preserve">. </w:t>
      </w:r>
    </w:p>
    <w:p w14:paraId="1DE4797D" w14:textId="77777777" w:rsidR="00C67F7F" w:rsidRPr="00EC6D33" w:rsidRDefault="00BB6A1E" w:rsidP="00FB1EAA">
      <w:pPr>
        <w:pStyle w:val="ListParagraph"/>
        <w:numPr>
          <w:ilvl w:val="1"/>
          <w:numId w:val="5"/>
        </w:numPr>
        <w:spacing w:after="200" w:line="360" w:lineRule="auto"/>
        <w:ind w:left="567" w:hanging="567"/>
        <w:jc w:val="both"/>
        <w:rPr>
          <w:rFonts w:ascii="Arial" w:hAnsi="Arial" w:cs="Arial"/>
          <w:sz w:val="23"/>
          <w:szCs w:val="23"/>
        </w:rPr>
      </w:pPr>
      <w:r w:rsidRPr="00EC6D33">
        <w:rPr>
          <w:rFonts w:ascii="Arial" w:hAnsi="Arial" w:cs="Arial"/>
          <w:sz w:val="23"/>
          <w:szCs w:val="23"/>
        </w:rPr>
        <w:t>The Key Attributes set</w:t>
      </w:r>
      <w:r w:rsidR="002076C6" w:rsidRPr="00EC6D33">
        <w:rPr>
          <w:rFonts w:ascii="Arial" w:hAnsi="Arial" w:cs="Arial"/>
          <w:sz w:val="23"/>
          <w:szCs w:val="23"/>
        </w:rPr>
        <w:t>s</w:t>
      </w:r>
      <w:r w:rsidRPr="00EC6D33">
        <w:rPr>
          <w:rFonts w:ascii="Arial" w:hAnsi="Arial" w:cs="Arial"/>
          <w:sz w:val="23"/>
          <w:szCs w:val="23"/>
        </w:rPr>
        <w:t xml:space="preserve"> out the core elements for an effective resolution regime. As such, implementation </w:t>
      </w:r>
      <w:r w:rsidR="00CF0CC1" w:rsidRPr="00EC6D33">
        <w:rPr>
          <w:rFonts w:ascii="Arial" w:hAnsi="Arial" w:cs="Arial"/>
          <w:sz w:val="23"/>
          <w:szCs w:val="23"/>
        </w:rPr>
        <w:t xml:space="preserve">of the </w:t>
      </w:r>
      <w:r w:rsidR="00271186" w:rsidRPr="00EC6D33">
        <w:rPr>
          <w:rFonts w:ascii="Arial" w:hAnsi="Arial" w:cs="Arial"/>
          <w:sz w:val="23"/>
          <w:szCs w:val="23"/>
        </w:rPr>
        <w:t xml:space="preserve">Key attributes </w:t>
      </w:r>
      <w:r w:rsidRPr="00EC6D33">
        <w:rPr>
          <w:rFonts w:ascii="Arial" w:hAnsi="Arial" w:cs="Arial"/>
          <w:sz w:val="23"/>
          <w:szCs w:val="23"/>
        </w:rPr>
        <w:t xml:space="preserve">should </w:t>
      </w:r>
      <w:r w:rsidR="002414E2" w:rsidRPr="00EC6D33">
        <w:rPr>
          <w:rFonts w:ascii="Arial" w:hAnsi="Arial" w:cs="Arial"/>
          <w:sz w:val="23"/>
          <w:szCs w:val="23"/>
        </w:rPr>
        <w:t>improve</w:t>
      </w:r>
      <w:r w:rsidRPr="00EC6D33">
        <w:rPr>
          <w:rFonts w:ascii="Arial" w:hAnsi="Arial" w:cs="Arial"/>
          <w:sz w:val="23"/>
          <w:szCs w:val="23"/>
        </w:rPr>
        <w:t xml:space="preserve"> </w:t>
      </w:r>
      <w:r w:rsidR="00291A77" w:rsidRPr="00EC6D33">
        <w:rPr>
          <w:rFonts w:ascii="Arial" w:hAnsi="Arial" w:cs="Arial"/>
          <w:sz w:val="23"/>
          <w:szCs w:val="23"/>
        </w:rPr>
        <w:t>authorities’</w:t>
      </w:r>
      <w:r w:rsidR="002414E2" w:rsidRPr="00EC6D33">
        <w:rPr>
          <w:rFonts w:ascii="Arial" w:hAnsi="Arial" w:cs="Arial"/>
          <w:sz w:val="23"/>
          <w:szCs w:val="23"/>
        </w:rPr>
        <w:t xml:space="preserve"> ability</w:t>
      </w:r>
      <w:r w:rsidRPr="00EC6D33">
        <w:rPr>
          <w:rFonts w:ascii="Arial" w:hAnsi="Arial" w:cs="Arial"/>
          <w:sz w:val="23"/>
          <w:szCs w:val="23"/>
        </w:rPr>
        <w:t xml:space="preserve"> to resolve financial institutions in an orderly manner, without unduly exposing taxpayers </w:t>
      </w:r>
      <w:r w:rsidRPr="00EC6D33">
        <w:rPr>
          <w:rFonts w:ascii="Arial" w:hAnsi="Arial" w:cs="Arial"/>
          <w:sz w:val="23"/>
          <w:szCs w:val="23"/>
        </w:rPr>
        <w:lastRenderedPageBreak/>
        <w:t>to loss from solvency support, while maintaining continuity of their critical economic functions.</w:t>
      </w:r>
      <w:r w:rsidR="00066066" w:rsidRPr="00EC6D33">
        <w:rPr>
          <w:rFonts w:ascii="Arial" w:hAnsi="Arial" w:cs="Arial"/>
          <w:sz w:val="23"/>
          <w:szCs w:val="23"/>
        </w:rPr>
        <w:t xml:space="preserve"> </w:t>
      </w:r>
    </w:p>
    <w:p w14:paraId="08ACB205" w14:textId="7A022672" w:rsidR="00C67F7F" w:rsidRPr="00EC6D33" w:rsidRDefault="00C67F7F" w:rsidP="00FB1EAA">
      <w:pPr>
        <w:pStyle w:val="ListParagraph"/>
        <w:numPr>
          <w:ilvl w:val="1"/>
          <w:numId w:val="5"/>
        </w:numPr>
        <w:spacing w:after="200" w:line="360" w:lineRule="auto"/>
        <w:ind w:left="567" w:hanging="567"/>
        <w:jc w:val="both"/>
        <w:rPr>
          <w:rFonts w:ascii="Arial" w:hAnsi="Arial" w:cs="Arial"/>
          <w:sz w:val="23"/>
          <w:szCs w:val="23"/>
        </w:rPr>
      </w:pPr>
      <w:r w:rsidRPr="00EC6D33">
        <w:rPr>
          <w:rFonts w:ascii="Arial" w:hAnsi="Arial" w:cs="Arial"/>
          <w:sz w:val="23"/>
          <w:szCs w:val="23"/>
        </w:rPr>
        <w:t xml:space="preserve">In line with the Key Attributes, Chapter 12A of the </w:t>
      </w:r>
      <w:r w:rsidRPr="00EC6D33">
        <w:rPr>
          <w:rFonts w:ascii="Arial" w:hAnsi="Arial" w:cs="Arial"/>
          <w:bCs/>
          <w:sz w:val="23"/>
          <w:szCs w:val="23"/>
          <w:lang w:val="en-ZA"/>
        </w:rPr>
        <w:t xml:space="preserve">Financial Sector Regulation Act, 2017 as amended by the </w:t>
      </w:r>
      <w:r w:rsidRPr="00EC6D33">
        <w:rPr>
          <w:rFonts w:ascii="Arial" w:hAnsi="Arial" w:cs="Arial"/>
          <w:sz w:val="23"/>
          <w:szCs w:val="23"/>
        </w:rPr>
        <w:t>Financial Sector Laws Amendment Act, 2021 (Act No. 23 of 2021) (the Act) forms part of the legislative measures undertaken by South Africa</w:t>
      </w:r>
      <w:r w:rsidR="003A08C6" w:rsidRPr="00EC6D33">
        <w:rPr>
          <w:rFonts w:ascii="Arial" w:hAnsi="Arial" w:cs="Arial"/>
          <w:sz w:val="23"/>
          <w:szCs w:val="23"/>
        </w:rPr>
        <w:t>, as a member of the G20 and the FSB,</w:t>
      </w:r>
      <w:r w:rsidRPr="00EC6D33">
        <w:rPr>
          <w:rFonts w:ascii="Arial" w:hAnsi="Arial" w:cs="Arial"/>
          <w:sz w:val="23"/>
          <w:szCs w:val="23"/>
        </w:rPr>
        <w:t xml:space="preserve"> to provide for the orderly resolution of </w:t>
      </w:r>
      <w:r w:rsidR="00255391" w:rsidRPr="00EC6D33">
        <w:rPr>
          <w:rFonts w:ascii="Arial" w:hAnsi="Arial" w:cs="Arial"/>
          <w:sz w:val="23"/>
          <w:szCs w:val="23"/>
        </w:rPr>
        <w:t>designated</w:t>
      </w:r>
      <w:r w:rsidRPr="00EC6D33">
        <w:rPr>
          <w:rFonts w:ascii="Arial" w:hAnsi="Arial" w:cs="Arial"/>
          <w:sz w:val="23"/>
          <w:szCs w:val="23"/>
        </w:rPr>
        <w:t xml:space="preserve"> institutions. </w:t>
      </w:r>
    </w:p>
    <w:p w14:paraId="692BCAEE" w14:textId="77777777" w:rsidR="005368F2" w:rsidRPr="00EC6D33" w:rsidRDefault="00C67F7F" w:rsidP="005368F2">
      <w:pPr>
        <w:pStyle w:val="ListParagraph"/>
        <w:numPr>
          <w:ilvl w:val="1"/>
          <w:numId w:val="5"/>
        </w:numPr>
        <w:spacing w:after="200" w:line="360" w:lineRule="auto"/>
        <w:ind w:left="567" w:hanging="567"/>
        <w:jc w:val="both"/>
        <w:rPr>
          <w:rFonts w:ascii="Arial" w:hAnsi="Arial" w:cs="Arial"/>
          <w:sz w:val="23"/>
          <w:szCs w:val="23"/>
        </w:rPr>
      </w:pPr>
      <w:r w:rsidRPr="00EC6D33">
        <w:rPr>
          <w:rFonts w:ascii="Arial" w:hAnsi="Arial" w:cs="Arial"/>
          <w:sz w:val="23"/>
          <w:szCs w:val="23"/>
        </w:rPr>
        <w:t xml:space="preserve">The </w:t>
      </w:r>
      <w:r w:rsidR="00EB7D0B" w:rsidRPr="00EC6D33">
        <w:rPr>
          <w:rFonts w:ascii="Arial" w:hAnsi="Arial" w:cs="Arial"/>
          <w:sz w:val="23"/>
          <w:szCs w:val="23"/>
        </w:rPr>
        <w:t>Standard</w:t>
      </w:r>
      <w:r w:rsidRPr="00EC6D33">
        <w:rPr>
          <w:rFonts w:ascii="Arial" w:hAnsi="Arial" w:cs="Arial"/>
          <w:sz w:val="23"/>
          <w:szCs w:val="23"/>
        </w:rPr>
        <w:t xml:space="preserve"> complements and gives effect to some of the principles contained in Chapter 12A of the Act by setting</w:t>
      </w:r>
      <w:r w:rsidRPr="00EC6D33">
        <w:rPr>
          <w:rFonts w:ascii="Arial" w:hAnsi="Arial" w:cs="Arial"/>
          <w:bCs/>
          <w:sz w:val="23"/>
          <w:szCs w:val="23"/>
          <w:lang w:val="en-ZA"/>
        </w:rPr>
        <w:t xml:space="preserve"> out the requirements for sound practices and processes in respect of </w:t>
      </w:r>
      <w:r w:rsidRPr="00EC6D33">
        <w:rPr>
          <w:rFonts w:ascii="Arial" w:hAnsi="Arial" w:cs="Arial"/>
          <w:bCs/>
          <w:sz w:val="23"/>
          <w:szCs w:val="23"/>
        </w:rPr>
        <w:t>stays</w:t>
      </w:r>
      <w:r w:rsidR="005754F1" w:rsidRPr="00EC6D33">
        <w:rPr>
          <w:rFonts w:ascii="Arial" w:hAnsi="Arial" w:cs="Arial"/>
          <w:bCs/>
          <w:sz w:val="23"/>
          <w:szCs w:val="23"/>
        </w:rPr>
        <w:t xml:space="preserve"> on early-termination rights</w:t>
      </w:r>
      <w:r w:rsidRPr="00EC6D33">
        <w:rPr>
          <w:rFonts w:ascii="Arial" w:hAnsi="Arial" w:cs="Arial"/>
          <w:bCs/>
          <w:sz w:val="23"/>
          <w:szCs w:val="23"/>
        </w:rPr>
        <w:t xml:space="preserve"> and resolution moratoria</w:t>
      </w:r>
      <w:r w:rsidRPr="00EC6D33">
        <w:rPr>
          <w:rFonts w:ascii="Arial" w:hAnsi="Arial" w:cs="Arial"/>
          <w:bCs/>
          <w:sz w:val="23"/>
          <w:szCs w:val="23"/>
          <w:lang w:val="en-ZA"/>
        </w:rPr>
        <w:t xml:space="preserve"> </w:t>
      </w:r>
      <w:r w:rsidR="006F3A67" w:rsidRPr="00EC6D33">
        <w:rPr>
          <w:rFonts w:ascii="Arial" w:hAnsi="Arial" w:cs="Arial"/>
          <w:bCs/>
          <w:sz w:val="23"/>
          <w:szCs w:val="23"/>
          <w:lang w:val="en-ZA"/>
        </w:rPr>
        <w:t>on contracts of designated institutions in resolution (</w:t>
      </w:r>
      <w:r w:rsidR="009A4893" w:rsidRPr="00EC6D33">
        <w:rPr>
          <w:rFonts w:ascii="Arial" w:hAnsi="Arial" w:cs="Arial"/>
          <w:bCs/>
          <w:sz w:val="23"/>
          <w:szCs w:val="23"/>
          <w:lang w:val="en-ZA"/>
        </w:rPr>
        <w:t>s</w:t>
      </w:r>
      <w:r w:rsidR="006F3A67" w:rsidRPr="00EC6D33">
        <w:rPr>
          <w:rFonts w:ascii="Arial" w:hAnsi="Arial" w:cs="Arial"/>
          <w:bCs/>
          <w:sz w:val="23"/>
          <w:szCs w:val="23"/>
          <w:lang w:val="en-ZA"/>
        </w:rPr>
        <w:t xml:space="preserve">tays and </w:t>
      </w:r>
      <w:r w:rsidR="00B1172B" w:rsidRPr="00EC6D33">
        <w:rPr>
          <w:rFonts w:ascii="Arial" w:hAnsi="Arial" w:cs="Arial"/>
          <w:bCs/>
          <w:sz w:val="23"/>
          <w:szCs w:val="23"/>
          <w:lang w:val="en-ZA"/>
        </w:rPr>
        <w:t>r</w:t>
      </w:r>
      <w:r w:rsidR="006F3A67" w:rsidRPr="00EC6D33">
        <w:rPr>
          <w:rFonts w:ascii="Arial" w:hAnsi="Arial" w:cs="Arial"/>
          <w:bCs/>
          <w:sz w:val="23"/>
          <w:szCs w:val="23"/>
          <w:lang w:val="en-ZA"/>
        </w:rPr>
        <w:t xml:space="preserve">esolution moratoria) </w:t>
      </w:r>
      <w:r w:rsidRPr="00EC6D33">
        <w:rPr>
          <w:rFonts w:ascii="Arial" w:hAnsi="Arial" w:cs="Arial"/>
          <w:bCs/>
          <w:sz w:val="23"/>
          <w:szCs w:val="23"/>
          <w:lang w:val="en-ZA"/>
        </w:rPr>
        <w:t>for designated institutions.</w:t>
      </w:r>
    </w:p>
    <w:p w14:paraId="1A3E95BE" w14:textId="281C851F" w:rsidR="007567EB" w:rsidRPr="00EC6D33" w:rsidRDefault="00BF20E5" w:rsidP="005368F2">
      <w:pPr>
        <w:pStyle w:val="ListParagraph"/>
        <w:numPr>
          <w:ilvl w:val="1"/>
          <w:numId w:val="5"/>
        </w:numPr>
        <w:spacing w:after="200" w:line="360" w:lineRule="auto"/>
        <w:ind w:left="567" w:hanging="567"/>
        <w:jc w:val="both"/>
        <w:rPr>
          <w:rFonts w:ascii="Arial" w:hAnsi="Arial" w:cs="Arial"/>
          <w:sz w:val="23"/>
          <w:szCs w:val="23"/>
        </w:rPr>
      </w:pPr>
      <w:r w:rsidRPr="00EC6D33">
        <w:rPr>
          <w:rFonts w:ascii="Arial" w:hAnsi="Arial" w:cs="Arial"/>
          <w:sz w:val="23"/>
          <w:szCs w:val="23"/>
        </w:rPr>
        <w:t xml:space="preserve">The </w:t>
      </w:r>
      <w:r w:rsidR="00AF3059" w:rsidRPr="00EC6D33">
        <w:rPr>
          <w:rFonts w:ascii="Arial" w:hAnsi="Arial" w:cs="Arial"/>
          <w:sz w:val="23"/>
          <w:szCs w:val="23"/>
        </w:rPr>
        <w:t xml:space="preserve">Standard puts forward a </w:t>
      </w:r>
      <w:r w:rsidR="004330FE" w:rsidRPr="00EC6D33">
        <w:rPr>
          <w:rFonts w:ascii="Arial" w:hAnsi="Arial" w:cs="Arial"/>
          <w:sz w:val="23"/>
          <w:szCs w:val="23"/>
        </w:rPr>
        <w:t xml:space="preserve">contractual recognition approach </w:t>
      </w:r>
      <w:r w:rsidR="00AF3059" w:rsidRPr="00EC6D33">
        <w:rPr>
          <w:rFonts w:ascii="Arial" w:hAnsi="Arial" w:cs="Arial"/>
          <w:sz w:val="23"/>
          <w:szCs w:val="23"/>
        </w:rPr>
        <w:t xml:space="preserve">the effect of which is </w:t>
      </w:r>
      <w:r w:rsidR="00676128" w:rsidRPr="00EC6D33">
        <w:rPr>
          <w:rFonts w:ascii="Arial" w:hAnsi="Arial" w:cs="Arial"/>
          <w:sz w:val="23"/>
          <w:szCs w:val="23"/>
        </w:rPr>
        <w:t xml:space="preserve">the extension of the </w:t>
      </w:r>
      <w:r w:rsidR="005416A3" w:rsidRPr="00EC6D33">
        <w:rPr>
          <w:rFonts w:ascii="Arial" w:hAnsi="Arial" w:cs="Arial"/>
          <w:sz w:val="23"/>
          <w:szCs w:val="23"/>
        </w:rPr>
        <w:t xml:space="preserve">powers of the </w:t>
      </w:r>
      <w:r w:rsidR="004F65B8" w:rsidRPr="00EC6D33">
        <w:rPr>
          <w:rFonts w:ascii="Arial" w:hAnsi="Arial" w:cs="Arial"/>
          <w:sz w:val="23"/>
          <w:szCs w:val="23"/>
        </w:rPr>
        <w:t xml:space="preserve">South African </w:t>
      </w:r>
      <w:r w:rsidR="00676128" w:rsidRPr="00EC6D33">
        <w:rPr>
          <w:rFonts w:ascii="Arial" w:hAnsi="Arial" w:cs="Arial"/>
          <w:sz w:val="23"/>
          <w:szCs w:val="23"/>
        </w:rPr>
        <w:t>Reserve Bank</w:t>
      </w:r>
      <w:r w:rsidR="005416A3" w:rsidRPr="00EC6D33">
        <w:rPr>
          <w:rFonts w:ascii="Arial" w:hAnsi="Arial" w:cs="Arial"/>
          <w:sz w:val="23"/>
          <w:szCs w:val="23"/>
        </w:rPr>
        <w:t xml:space="preserve"> as the resolution authority</w:t>
      </w:r>
      <w:r w:rsidR="00676128" w:rsidRPr="00EC6D33">
        <w:rPr>
          <w:rFonts w:ascii="Arial" w:hAnsi="Arial" w:cs="Arial"/>
          <w:sz w:val="23"/>
          <w:szCs w:val="23"/>
        </w:rPr>
        <w:t xml:space="preserve"> </w:t>
      </w:r>
      <w:r w:rsidR="0000430B" w:rsidRPr="00EC6D33">
        <w:rPr>
          <w:rFonts w:ascii="Arial" w:hAnsi="Arial" w:cs="Arial"/>
          <w:sz w:val="23"/>
          <w:szCs w:val="23"/>
        </w:rPr>
        <w:t xml:space="preserve">(the Reserve Bank) </w:t>
      </w:r>
      <w:r w:rsidRPr="00EC6D33">
        <w:rPr>
          <w:rFonts w:ascii="Arial" w:hAnsi="Arial" w:cs="Arial"/>
          <w:sz w:val="23"/>
          <w:szCs w:val="23"/>
        </w:rPr>
        <w:t xml:space="preserve">to impose stays </w:t>
      </w:r>
      <w:r w:rsidR="00172D22" w:rsidRPr="00EC6D33">
        <w:rPr>
          <w:rFonts w:ascii="Arial" w:hAnsi="Arial" w:cs="Arial"/>
          <w:sz w:val="23"/>
          <w:szCs w:val="23"/>
        </w:rPr>
        <w:t>and resolution</w:t>
      </w:r>
      <w:r w:rsidRPr="00EC6D33">
        <w:rPr>
          <w:rFonts w:ascii="Arial" w:hAnsi="Arial" w:cs="Arial"/>
          <w:sz w:val="23"/>
          <w:szCs w:val="23"/>
        </w:rPr>
        <w:t xml:space="preserve"> moratoria in relation to </w:t>
      </w:r>
      <w:r w:rsidR="00C9207E" w:rsidRPr="00EC6D33">
        <w:rPr>
          <w:rFonts w:ascii="Arial" w:hAnsi="Arial" w:cs="Arial"/>
          <w:sz w:val="23"/>
          <w:szCs w:val="23"/>
        </w:rPr>
        <w:t>covered</w:t>
      </w:r>
      <w:r w:rsidRPr="00EC6D33">
        <w:rPr>
          <w:rFonts w:ascii="Arial" w:hAnsi="Arial" w:cs="Arial"/>
          <w:sz w:val="23"/>
          <w:szCs w:val="23"/>
        </w:rPr>
        <w:t xml:space="preserve"> contracts</w:t>
      </w:r>
      <w:r w:rsidR="00976002" w:rsidRPr="00EC6D33">
        <w:rPr>
          <w:rFonts w:ascii="Arial" w:hAnsi="Arial" w:cs="Arial"/>
          <w:sz w:val="23"/>
          <w:szCs w:val="23"/>
          <w:vertAlign w:val="superscript"/>
        </w:rPr>
        <w:footnoteReference w:id="1"/>
      </w:r>
      <w:r w:rsidR="00BA4196" w:rsidRPr="00EC6D33">
        <w:rPr>
          <w:rFonts w:ascii="Arial" w:hAnsi="Arial" w:cs="Arial"/>
          <w:sz w:val="23"/>
          <w:szCs w:val="23"/>
        </w:rPr>
        <w:t xml:space="preserve"> </w:t>
      </w:r>
      <w:r w:rsidR="00C9207E" w:rsidRPr="00EC6D33">
        <w:rPr>
          <w:rFonts w:ascii="Arial" w:hAnsi="Arial" w:cs="Arial"/>
          <w:sz w:val="23"/>
          <w:szCs w:val="23"/>
        </w:rPr>
        <w:t>entered into by designated inst</w:t>
      </w:r>
      <w:r w:rsidR="00976002" w:rsidRPr="00EC6D33">
        <w:rPr>
          <w:rFonts w:ascii="Arial" w:hAnsi="Arial" w:cs="Arial"/>
          <w:sz w:val="23"/>
          <w:szCs w:val="23"/>
        </w:rPr>
        <w:t>itutions</w:t>
      </w:r>
      <w:r w:rsidRPr="00EC6D33">
        <w:rPr>
          <w:rFonts w:ascii="Arial" w:hAnsi="Arial" w:cs="Arial"/>
          <w:sz w:val="23"/>
          <w:szCs w:val="23"/>
        </w:rPr>
        <w:t>, while protecting the enforcement of eligible netting and collateral agreements.</w:t>
      </w:r>
      <w:r w:rsidR="007567EB" w:rsidRPr="00EC6D33">
        <w:rPr>
          <w:rFonts w:ascii="Arial" w:hAnsi="Arial" w:cs="Arial"/>
          <w:sz w:val="23"/>
          <w:szCs w:val="23"/>
        </w:rPr>
        <w:t xml:space="preserve"> </w:t>
      </w:r>
    </w:p>
    <w:p w14:paraId="4ED9B779" w14:textId="0ECC7A9B" w:rsidR="000A6066" w:rsidRPr="00EC6D33" w:rsidRDefault="000A6066" w:rsidP="007700BB">
      <w:pPr>
        <w:pStyle w:val="Heading2"/>
        <w:numPr>
          <w:ilvl w:val="0"/>
          <w:numId w:val="5"/>
        </w:numPr>
        <w:tabs>
          <w:tab w:val="left" w:pos="567"/>
        </w:tabs>
        <w:spacing w:after="200" w:line="360" w:lineRule="auto"/>
        <w:ind w:left="567" w:hanging="567"/>
        <w:jc w:val="both"/>
        <w:rPr>
          <w:rFonts w:cs="Arial"/>
          <w:spacing w:val="-1"/>
        </w:rPr>
      </w:pPr>
      <w:bookmarkStart w:id="6" w:name="2._Background"/>
      <w:bookmarkStart w:id="7" w:name="_Toc126830093"/>
      <w:bookmarkEnd w:id="6"/>
      <w:r w:rsidRPr="00EC6D33">
        <w:rPr>
          <w:rFonts w:cs="Arial"/>
          <w:spacing w:val="-1"/>
        </w:rPr>
        <w:t xml:space="preserve">The need for the </w:t>
      </w:r>
      <w:r w:rsidR="00F92FB5" w:rsidRPr="00EC6D33">
        <w:rPr>
          <w:rFonts w:cs="Arial"/>
          <w:spacing w:val="-1"/>
        </w:rPr>
        <w:t>S</w:t>
      </w:r>
      <w:r w:rsidRPr="00EC6D33">
        <w:rPr>
          <w:rFonts w:cs="Arial"/>
          <w:spacing w:val="-1"/>
        </w:rPr>
        <w:t>tandard</w:t>
      </w:r>
      <w:bookmarkEnd w:id="7"/>
    </w:p>
    <w:p w14:paraId="0CC3E586" w14:textId="23A42855" w:rsidR="0021541A" w:rsidRPr="00EC6D33" w:rsidRDefault="0021541A"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The powers of authorities to impose stays on the exercise of early</w:t>
      </w:r>
      <w:r w:rsidR="00FF47AA" w:rsidRPr="00EC6D33">
        <w:rPr>
          <w:rFonts w:cs="Arial"/>
          <w:b w:val="0"/>
          <w:bCs w:val="0"/>
        </w:rPr>
        <w:t>-</w:t>
      </w:r>
      <w:r w:rsidRPr="00EC6D33">
        <w:rPr>
          <w:rFonts w:cs="Arial"/>
          <w:b w:val="0"/>
          <w:bCs w:val="0"/>
        </w:rPr>
        <w:t>termination rights, that may be triggered upon entry of a</w:t>
      </w:r>
      <w:r w:rsidR="00C6199F" w:rsidRPr="00EC6D33">
        <w:rPr>
          <w:rFonts w:cs="Arial"/>
          <w:b w:val="0"/>
          <w:bCs w:val="0"/>
        </w:rPr>
        <w:t xml:space="preserve"> </w:t>
      </w:r>
      <w:r w:rsidR="00737696" w:rsidRPr="00EC6D33">
        <w:rPr>
          <w:rFonts w:cs="Arial"/>
          <w:b w:val="0"/>
          <w:bCs w:val="0"/>
        </w:rPr>
        <w:t>designated</w:t>
      </w:r>
      <w:r w:rsidRPr="00EC6D33">
        <w:rPr>
          <w:rFonts w:cs="Arial"/>
          <w:b w:val="0"/>
          <w:bCs w:val="0"/>
        </w:rPr>
        <w:t xml:space="preserve"> institution into resolution or in connection with the use of resolution powers</w:t>
      </w:r>
      <w:r w:rsidR="007F0C43" w:rsidRPr="00EC6D33">
        <w:rPr>
          <w:rFonts w:cs="Arial"/>
          <w:b w:val="0"/>
          <w:bCs w:val="0"/>
        </w:rPr>
        <w:t xml:space="preserve"> by authorit</w:t>
      </w:r>
      <w:r w:rsidR="009B14C6" w:rsidRPr="00EC6D33">
        <w:rPr>
          <w:rFonts w:cs="Arial"/>
          <w:b w:val="0"/>
          <w:bCs w:val="0"/>
        </w:rPr>
        <w:t>ies</w:t>
      </w:r>
      <w:r w:rsidRPr="00EC6D33">
        <w:rPr>
          <w:rFonts w:cs="Arial"/>
          <w:b w:val="0"/>
          <w:bCs w:val="0"/>
        </w:rPr>
        <w:t xml:space="preserve">, and to impose moratoria on creditor actions, forms part of a suite of general resolution powers stipulated in the Key Attributes. </w:t>
      </w:r>
    </w:p>
    <w:p w14:paraId="5849A575" w14:textId="2E783855" w:rsidR="000A6066" w:rsidRPr="00EC6D33" w:rsidRDefault="000A6066"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Prospects for an orderly resolution will be hampered if a failing </w:t>
      </w:r>
      <w:r w:rsidR="00737696" w:rsidRPr="00EC6D33">
        <w:rPr>
          <w:rFonts w:cs="Arial"/>
          <w:b w:val="0"/>
          <w:bCs w:val="0"/>
        </w:rPr>
        <w:t>designated</w:t>
      </w:r>
      <w:r w:rsidRPr="00EC6D33">
        <w:rPr>
          <w:rFonts w:cs="Arial"/>
          <w:b w:val="0"/>
          <w:bCs w:val="0"/>
        </w:rPr>
        <w:t xml:space="preserve"> institution’s counterparties terminate their contracts with </w:t>
      </w:r>
      <w:r w:rsidR="00D71D7C" w:rsidRPr="00EC6D33">
        <w:rPr>
          <w:rFonts w:cs="Arial"/>
          <w:b w:val="0"/>
          <w:bCs w:val="0"/>
        </w:rPr>
        <w:t xml:space="preserve">the </w:t>
      </w:r>
      <w:r w:rsidRPr="00EC6D33">
        <w:rPr>
          <w:rFonts w:cs="Arial"/>
          <w:b w:val="0"/>
          <w:bCs w:val="0"/>
        </w:rPr>
        <w:t xml:space="preserve">institution on a mass scale based solely on such </w:t>
      </w:r>
      <w:r w:rsidR="004835DE">
        <w:rPr>
          <w:rFonts w:cs="Arial"/>
          <w:b w:val="0"/>
          <w:bCs w:val="0"/>
        </w:rPr>
        <w:t xml:space="preserve">designated </w:t>
      </w:r>
      <w:r w:rsidRPr="00EC6D33">
        <w:rPr>
          <w:rFonts w:cs="Arial"/>
          <w:b w:val="0"/>
          <w:bCs w:val="0"/>
        </w:rPr>
        <w:t xml:space="preserve">institution’s entry into resolution or the exercise of resolution powers by </w:t>
      </w:r>
      <w:r w:rsidR="00D71D7C" w:rsidRPr="00EC6D33">
        <w:rPr>
          <w:rFonts w:cs="Arial"/>
          <w:b w:val="0"/>
          <w:bCs w:val="0"/>
        </w:rPr>
        <w:t xml:space="preserve">an authority </w:t>
      </w:r>
      <w:r w:rsidRPr="00EC6D33">
        <w:rPr>
          <w:rFonts w:cs="Arial"/>
          <w:b w:val="0"/>
          <w:bCs w:val="0"/>
        </w:rPr>
        <w:t xml:space="preserve">on the </w:t>
      </w:r>
      <w:r w:rsidR="007D79AE" w:rsidRPr="00EC6D33">
        <w:rPr>
          <w:rFonts w:cs="Arial"/>
          <w:b w:val="0"/>
          <w:bCs w:val="0"/>
        </w:rPr>
        <w:t>designated</w:t>
      </w:r>
      <w:r w:rsidRPr="00EC6D33">
        <w:rPr>
          <w:rFonts w:cs="Arial"/>
          <w:b w:val="0"/>
          <w:bCs w:val="0"/>
        </w:rPr>
        <w:t xml:space="preserve"> institution. </w:t>
      </w:r>
      <w:r w:rsidR="00377A90" w:rsidRPr="00EC6D33">
        <w:rPr>
          <w:rFonts w:cs="Arial"/>
          <w:b w:val="0"/>
          <w:bCs w:val="0"/>
        </w:rPr>
        <w:t>I</w:t>
      </w:r>
      <w:r w:rsidRPr="00EC6D33">
        <w:rPr>
          <w:rFonts w:cs="Arial"/>
          <w:b w:val="0"/>
          <w:bCs w:val="0"/>
        </w:rPr>
        <w:t xml:space="preserve">t is important for </w:t>
      </w:r>
      <w:r w:rsidR="008451E3" w:rsidRPr="00EC6D33">
        <w:rPr>
          <w:rFonts w:cs="Arial"/>
          <w:b w:val="0"/>
          <w:bCs w:val="0"/>
        </w:rPr>
        <w:t xml:space="preserve">a </w:t>
      </w:r>
      <w:r w:rsidRPr="00EC6D33">
        <w:rPr>
          <w:rFonts w:cs="Arial"/>
          <w:b w:val="0"/>
          <w:bCs w:val="0"/>
        </w:rPr>
        <w:t xml:space="preserve">resolution framework to </w:t>
      </w:r>
      <w:r w:rsidR="00F3365F" w:rsidRPr="00EC6D33">
        <w:rPr>
          <w:rFonts w:cs="Arial"/>
          <w:b w:val="0"/>
          <w:bCs w:val="0"/>
        </w:rPr>
        <w:t xml:space="preserve">be designed in a manner that </w:t>
      </w:r>
      <w:r w:rsidR="00EA6FCC" w:rsidRPr="00EC6D33">
        <w:rPr>
          <w:rFonts w:cs="Arial"/>
          <w:b w:val="0"/>
          <w:bCs w:val="0"/>
        </w:rPr>
        <w:t>en</w:t>
      </w:r>
      <w:r w:rsidR="00F3365F" w:rsidRPr="00EC6D33">
        <w:rPr>
          <w:rFonts w:cs="Arial"/>
          <w:b w:val="0"/>
          <w:bCs w:val="0"/>
        </w:rPr>
        <w:t>able</w:t>
      </w:r>
      <w:r w:rsidR="00EA6FCC" w:rsidRPr="00EC6D33">
        <w:rPr>
          <w:rFonts w:cs="Arial"/>
          <w:b w:val="0"/>
          <w:bCs w:val="0"/>
        </w:rPr>
        <w:t xml:space="preserve">s </w:t>
      </w:r>
      <w:r w:rsidR="005B24E6" w:rsidRPr="00EC6D33">
        <w:rPr>
          <w:rFonts w:cs="Arial"/>
          <w:b w:val="0"/>
          <w:bCs w:val="0"/>
        </w:rPr>
        <w:t>the</w:t>
      </w:r>
      <w:r w:rsidR="00F3365F" w:rsidRPr="00EC6D33">
        <w:rPr>
          <w:rFonts w:cs="Arial"/>
          <w:b w:val="0"/>
          <w:bCs w:val="0"/>
        </w:rPr>
        <w:t xml:space="preserve"> </w:t>
      </w:r>
      <w:r w:rsidRPr="00EC6D33">
        <w:rPr>
          <w:rFonts w:cs="Arial"/>
          <w:b w:val="0"/>
          <w:bCs w:val="0"/>
        </w:rPr>
        <w:t>prevent</w:t>
      </w:r>
      <w:r w:rsidR="005B24E6" w:rsidRPr="00EC6D33">
        <w:rPr>
          <w:rFonts w:cs="Arial"/>
          <w:b w:val="0"/>
          <w:bCs w:val="0"/>
        </w:rPr>
        <w:t>ion of</w:t>
      </w:r>
      <w:r w:rsidRPr="00EC6D33">
        <w:rPr>
          <w:rFonts w:cs="Arial"/>
          <w:b w:val="0"/>
          <w:bCs w:val="0"/>
        </w:rPr>
        <w:t xml:space="preserve"> this </w:t>
      </w:r>
      <w:r w:rsidR="001A3D2E" w:rsidRPr="00EC6D33">
        <w:rPr>
          <w:rFonts w:cs="Arial"/>
          <w:b w:val="0"/>
          <w:bCs w:val="0"/>
        </w:rPr>
        <w:t xml:space="preserve">type of </w:t>
      </w:r>
      <w:r w:rsidRPr="00EC6D33">
        <w:rPr>
          <w:rFonts w:cs="Arial"/>
          <w:b w:val="0"/>
          <w:bCs w:val="0"/>
        </w:rPr>
        <w:t xml:space="preserve">situation </w:t>
      </w:r>
      <w:r w:rsidR="00403C1B" w:rsidRPr="00EC6D33">
        <w:rPr>
          <w:rFonts w:cs="Arial"/>
          <w:b w:val="0"/>
          <w:bCs w:val="0"/>
        </w:rPr>
        <w:t xml:space="preserve">and </w:t>
      </w:r>
      <w:r w:rsidRPr="00EC6D33">
        <w:rPr>
          <w:rFonts w:cs="Arial"/>
          <w:b w:val="0"/>
          <w:bCs w:val="0"/>
        </w:rPr>
        <w:t>ensure</w:t>
      </w:r>
      <w:r w:rsidR="0004710E" w:rsidRPr="00EC6D33">
        <w:rPr>
          <w:rFonts w:cs="Arial"/>
          <w:b w:val="0"/>
          <w:bCs w:val="0"/>
        </w:rPr>
        <w:t>s</w:t>
      </w:r>
      <w:r w:rsidR="005806B8" w:rsidRPr="00EC6D33">
        <w:rPr>
          <w:rFonts w:cs="Arial"/>
          <w:b w:val="0"/>
          <w:bCs w:val="0"/>
        </w:rPr>
        <w:t xml:space="preserve"> the continued provision of </w:t>
      </w:r>
      <w:r w:rsidRPr="00EC6D33">
        <w:rPr>
          <w:rFonts w:cs="Arial"/>
          <w:b w:val="0"/>
          <w:bCs w:val="0"/>
        </w:rPr>
        <w:t xml:space="preserve">critical </w:t>
      </w:r>
      <w:r w:rsidRPr="00EC6D33">
        <w:rPr>
          <w:rFonts w:cs="Arial"/>
          <w:b w:val="0"/>
          <w:bCs w:val="0"/>
        </w:rPr>
        <w:lastRenderedPageBreak/>
        <w:t xml:space="preserve">functions and </w:t>
      </w:r>
      <w:r w:rsidR="00EA6FCC" w:rsidRPr="00EC6D33">
        <w:rPr>
          <w:rFonts w:cs="Arial"/>
          <w:b w:val="0"/>
          <w:bCs w:val="0"/>
        </w:rPr>
        <w:t xml:space="preserve">the related </w:t>
      </w:r>
      <w:r w:rsidRPr="00EC6D33">
        <w:rPr>
          <w:rFonts w:cs="Arial"/>
          <w:b w:val="0"/>
          <w:bCs w:val="0"/>
        </w:rPr>
        <w:t xml:space="preserve">shared services, particularly in the case of an open resolution. </w:t>
      </w:r>
    </w:p>
    <w:p w14:paraId="4DC07093" w14:textId="2C1B11AD" w:rsidR="001D1494" w:rsidRPr="00EC6D33" w:rsidRDefault="00377A90"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To this end, </w:t>
      </w:r>
      <w:r w:rsidR="00472EBA" w:rsidRPr="00EC6D33">
        <w:rPr>
          <w:rFonts w:cs="Arial"/>
          <w:b w:val="0"/>
          <w:bCs w:val="0"/>
        </w:rPr>
        <w:t>t</w:t>
      </w:r>
      <w:r w:rsidR="009315B6" w:rsidRPr="00EC6D33">
        <w:rPr>
          <w:rFonts w:cs="Arial"/>
          <w:b w:val="0"/>
          <w:bCs w:val="0"/>
        </w:rPr>
        <w:t xml:space="preserve">he South African resolution framework </w:t>
      </w:r>
      <w:r w:rsidR="00B95760" w:rsidRPr="00EC6D33">
        <w:rPr>
          <w:rFonts w:cs="Arial"/>
          <w:b w:val="0"/>
          <w:bCs w:val="0"/>
        </w:rPr>
        <w:t>must provide for</w:t>
      </w:r>
      <w:r w:rsidR="008F7894" w:rsidRPr="00EC6D33">
        <w:rPr>
          <w:rFonts w:cs="Arial"/>
          <w:b w:val="0"/>
          <w:bCs w:val="0"/>
        </w:rPr>
        <w:t xml:space="preserve"> </w:t>
      </w:r>
      <w:r w:rsidRPr="00EC6D33">
        <w:rPr>
          <w:rFonts w:cs="Arial"/>
          <w:b w:val="0"/>
          <w:bCs w:val="0"/>
        </w:rPr>
        <w:t>e</w:t>
      </w:r>
      <w:r w:rsidR="000A6066" w:rsidRPr="00EC6D33">
        <w:rPr>
          <w:rFonts w:cs="Arial"/>
          <w:b w:val="0"/>
          <w:bCs w:val="0"/>
        </w:rPr>
        <w:t xml:space="preserve">ffective </w:t>
      </w:r>
      <w:r w:rsidR="009A4893" w:rsidRPr="00EC6D33">
        <w:rPr>
          <w:rFonts w:cs="Arial"/>
          <w:b w:val="0"/>
          <w:bCs w:val="0"/>
        </w:rPr>
        <w:t>s</w:t>
      </w:r>
      <w:r w:rsidR="000A6066" w:rsidRPr="00EC6D33">
        <w:rPr>
          <w:rFonts w:cs="Arial"/>
          <w:b w:val="0"/>
          <w:bCs w:val="0"/>
        </w:rPr>
        <w:t xml:space="preserve">tays </w:t>
      </w:r>
      <w:r w:rsidR="00C32761" w:rsidRPr="00EC6D33">
        <w:rPr>
          <w:rFonts w:cs="Arial"/>
          <w:b w:val="0"/>
          <w:bCs w:val="0"/>
        </w:rPr>
        <w:t xml:space="preserve">and </w:t>
      </w:r>
      <w:r w:rsidR="00201099" w:rsidRPr="00EC6D33">
        <w:rPr>
          <w:rFonts w:cs="Arial"/>
          <w:b w:val="0"/>
          <w:bCs w:val="0"/>
        </w:rPr>
        <w:t xml:space="preserve">resolution </w:t>
      </w:r>
      <w:r w:rsidR="00C32761" w:rsidRPr="00EC6D33">
        <w:rPr>
          <w:rFonts w:cs="Arial"/>
          <w:b w:val="0"/>
          <w:bCs w:val="0"/>
        </w:rPr>
        <w:t xml:space="preserve">moratoria </w:t>
      </w:r>
      <w:r w:rsidR="000A6066" w:rsidRPr="00EC6D33">
        <w:rPr>
          <w:rFonts w:cs="Arial"/>
          <w:b w:val="0"/>
          <w:bCs w:val="0"/>
        </w:rPr>
        <w:t xml:space="preserve">on early-termination rights that </w:t>
      </w:r>
      <w:r w:rsidR="00472EBA" w:rsidRPr="00EC6D33">
        <w:rPr>
          <w:rFonts w:cs="Arial"/>
          <w:b w:val="0"/>
          <w:bCs w:val="0"/>
        </w:rPr>
        <w:t xml:space="preserve">may </w:t>
      </w:r>
      <w:r w:rsidR="000A6066" w:rsidRPr="00EC6D33">
        <w:rPr>
          <w:rFonts w:cs="Arial"/>
          <w:b w:val="0"/>
          <w:bCs w:val="0"/>
        </w:rPr>
        <w:t xml:space="preserve">arise only </w:t>
      </w:r>
      <w:r w:rsidR="00C32761" w:rsidRPr="00EC6D33">
        <w:rPr>
          <w:rFonts w:cs="Arial"/>
          <w:b w:val="0"/>
          <w:bCs w:val="0"/>
        </w:rPr>
        <w:t>as a result</w:t>
      </w:r>
      <w:r w:rsidR="00CB253E" w:rsidRPr="00EC6D33">
        <w:rPr>
          <w:rFonts w:cs="Arial"/>
          <w:b w:val="0"/>
          <w:bCs w:val="0"/>
        </w:rPr>
        <w:t xml:space="preserve"> of</w:t>
      </w:r>
      <w:r w:rsidR="000A6066" w:rsidRPr="00EC6D33">
        <w:rPr>
          <w:rFonts w:cs="Arial"/>
          <w:b w:val="0"/>
          <w:bCs w:val="0"/>
        </w:rPr>
        <w:t>, or in connection with, a</w:t>
      </w:r>
      <w:r w:rsidR="00C32761" w:rsidRPr="00EC6D33">
        <w:rPr>
          <w:rFonts w:cs="Arial"/>
          <w:b w:val="0"/>
          <w:bCs w:val="0"/>
        </w:rPr>
        <w:t xml:space="preserve"> </w:t>
      </w:r>
      <w:r w:rsidR="00B95760" w:rsidRPr="00EC6D33">
        <w:rPr>
          <w:rFonts w:cs="Arial"/>
          <w:b w:val="0"/>
          <w:bCs w:val="0"/>
        </w:rPr>
        <w:t>designated</w:t>
      </w:r>
      <w:r w:rsidR="00C32761" w:rsidRPr="00EC6D33">
        <w:rPr>
          <w:rFonts w:cs="Arial"/>
          <w:b w:val="0"/>
          <w:bCs w:val="0"/>
        </w:rPr>
        <w:t xml:space="preserve"> </w:t>
      </w:r>
      <w:r w:rsidR="000A6066" w:rsidRPr="00EC6D33">
        <w:rPr>
          <w:rFonts w:cs="Arial"/>
          <w:b w:val="0"/>
          <w:bCs w:val="0"/>
        </w:rPr>
        <w:t>institution’s entry into resolution</w:t>
      </w:r>
      <w:r w:rsidR="00B33AC5" w:rsidRPr="00EC6D33">
        <w:rPr>
          <w:rFonts w:cs="Arial"/>
          <w:b w:val="0"/>
          <w:bCs w:val="0"/>
        </w:rPr>
        <w:t>,</w:t>
      </w:r>
      <w:r w:rsidR="000A6066" w:rsidRPr="00EC6D33">
        <w:rPr>
          <w:rFonts w:cs="Arial"/>
          <w:b w:val="0"/>
          <w:bCs w:val="0"/>
        </w:rPr>
        <w:t xml:space="preserve"> to prevent the close</w:t>
      </w:r>
      <w:r w:rsidR="00F42A44" w:rsidRPr="00EC6D33">
        <w:rPr>
          <w:rFonts w:cs="Arial"/>
          <w:b w:val="0"/>
          <w:bCs w:val="0"/>
        </w:rPr>
        <w:t>-</w:t>
      </w:r>
      <w:r w:rsidR="000A6066" w:rsidRPr="00EC6D33">
        <w:rPr>
          <w:rFonts w:cs="Arial"/>
          <w:b w:val="0"/>
          <w:bCs w:val="0"/>
        </w:rPr>
        <w:t>out of contracts in significant volumes.</w:t>
      </w:r>
      <w:r w:rsidR="00B24C7E" w:rsidRPr="00EC6D33">
        <w:rPr>
          <w:rFonts w:cs="Arial"/>
          <w:b w:val="0"/>
          <w:bCs w:val="0"/>
        </w:rPr>
        <w:t xml:space="preserve"> </w:t>
      </w:r>
    </w:p>
    <w:p w14:paraId="7BB02A51" w14:textId="2BEB7093" w:rsidR="00E7739D" w:rsidRPr="00EC6D33" w:rsidRDefault="003A0287" w:rsidP="007700BB">
      <w:pPr>
        <w:pStyle w:val="Heading2"/>
        <w:numPr>
          <w:ilvl w:val="1"/>
          <w:numId w:val="5"/>
        </w:numPr>
        <w:tabs>
          <w:tab w:val="left" w:pos="567"/>
        </w:tabs>
        <w:spacing w:after="200" w:line="360" w:lineRule="auto"/>
        <w:ind w:left="567" w:hanging="567"/>
        <w:jc w:val="both"/>
        <w:rPr>
          <w:rFonts w:cs="Arial"/>
          <w:b w:val="0"/>
          <w:bCs w:val="0"/>
          <w:lang w:val="en-ZA"/>
        </w:rPr>
      </w:pPr>
      <w:r>
        <w:rPr>
          <w:rFonts w:cs="Arial"/>
          <w:b w:val="0"/>
          <w:bCs w:val="0"/>
        </w:rPr>
        <w:t>Section 166L of t</w:t>
      </w:r>
      <w:r w:rsidR="00114283" w:rsidRPr="00EC6D33">
        <w:rPr>
          <w:rFonts w:cs="Arial"/>
          <w:b w:val="0"/>
          <w:bCs w:val="0"/>
        </w:rPr>
        <w:t xml:space="preserve">he </w:t>
      </w:r>
      <w:r>
        <w:rPr>
          <w:rFonts w:cs="Arial"/>
          <w:b w:val="0"/>
          <w:bCs w:val="0"/>
        </w:rPr>
        <w:t>Act</w:t>
      </w:r>
      <w:r w:rsidR="00313535" w:rsidRPr="00EC6D33">
        <w:rPr>
          <w:rFonts w:cs="Arial"/>
          <w:b w:val="0"/>
          <w:bCs w:val="0"/>
        </w:rPr>
        <w:t xml:space="preserve"> provides for stays on early-termination rights </w:t>
      </w:r>
      <w:r>
        <w:rPr>
          <w:rFonts w:cs="Arial"/>
          <w:b w:val="0"/>
          <w:bCs w:val="0"/>
        </w:rPr>
        <w:t>which entail</w:t>
      </w:r>
      <w:r w:rsidR="0057285F" w:rsidRPr="00EC6D33">
        <w:rPr>
          <w:rFonts w:cs="Arial"/>
          <w:b w:val="0"/>
          <w:bCs w:val="0"/>
        </w:rPr>
        <w:t xml:space="preserve"> the </w:t>
      </w:r>
      <w:r w:rsidR="00912BD7" w:rsidRPr="00EC6D33">
        <w:rPr>
          <w:rFonts w:cs="Arial"/>
          <w:b w:val="0"/>
          <w:bCs w:val="0"/>
        </w:rPr>
        <w:t>prohibition o</w:t>
      </w:r>
      <w:r w:rsidR="00AE0647" w:rsidRPr="00EC6D33">
        <w:rPr>
          <w:rFonts w:cs="Arial"/>
          <w:b w:val="0"/>
          <w:bCs w:val="0"/>
        </w:rPr>
        <w:t>n</w:t>
      </w:r>
      <w:r w:rsidR="00912BD7" w:rsidRPr="00EC6D33">
        <w:rPr>
          <w:rFonts w:cs="Arial"/>
          <w:b w:val="0"/>
          <w:bCs w:val="0"/>
        </w:rPr>
        <w:t xml:space="preserve"> the exercise of early-termination rights </w:t>
      </w:r>
      <w:r w:rsidR="00E100BD" w:rsidRPr="00EC6D33">
        <w:rPr>
          <w:rFonts w:cs="Arial"/>
          <w:b w:val="0"/>
          <w:bCs w:val="0"/>
        </w:rPr>
        <w:t xml:space="preserve">that arise </w:t>
      </w:r>
      <w:r w:rsidR="00E7739D" w:rsidRPr="00EC6D33">
        <w:rPr>
          <w:rFonts w:cs="Arial"/>
          <w:b w:val="0"/>
          <w:bCs w:val="0"/>
          <w:lang w:val="en-ZA"/>
        </w:rPr>
        <w:t xml:space="preserve">on the basis that a designated institution has been or is proposed to be placed in resolution, or </w:t>
      </w:r>
      <w:proofErr w:type="gramStart"/>
      <w:r w:rsidR="00E7739D" w:rsidRPr="00EC6D33">
        <w:rPr>
          <w:rFonts w:cs="Arial"/>
          <w:b w:val="0"/>
          <w:bCs w:val="0"/>
          <w:lang w:val="en-ZA"/>
        </w:rPr>
        <w:t>on the basis of</w:t>
      </w:r>
      <w:proofErr w:type="gramEnd"/>
      <w:r w:rsidR="00E7739D" w:rsidRPr="00EC6D33">
        <w:rPr>
          <w:rFonts w:cs="Arial"/>
          <w:b w:val="0"/>
          <w:bCs w:val="0"/>
          <w:lang w:val="en-ZA"/>
        </w:rPr>
        <w:t xml:space="preserve"> a resolution action or proposed resolution action in relation to a designated institution</w:t>
      </w:r>
      <w:r w:rsidR="004933B3" w:rsidRPr="00EC6D33">
        <w:rPr>
          <w:rFonts w:cs="Arial"/>
          <w:b w:val="0"/>
          <w:bCs w:val="0"/>
          <w:lang w:val="en-ZA"/>
        </w:rPr>
        <w:t>.</w:t>
      </w:r>
    </w:p>
    <w:p w14:paraId="0BFBF7B0" w14:textId="30511D01" w:rsidR="00DB6D08" w:rsidRPr="00EC6D33" w:rsidRDefault="008F0328"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T</w:t>
      </w:r>
      <w:r w:rsidR="003F1FCD" w:rsidRPr="00EC6D33">
        <w:rPr>
          <w:rFonts w:cs="Arial"/>
          <w:b w:val="0"/>
          <w:bCs w:val="0"/>
        </w:rPr>
        <w:t xml:space="preserve">he Standard serves </w:t>
      </w:r>
      <w:r w:rsidR="00C86489" w:rsidRPr="00EC6D33">
        <w:rPr>
          <w:rFonts w:cs="Arial"/>
          <w:b w:val="0"/>
          <w:bCs w:val="0"/>
        </w:rPr>
        <w:t xml:space="preserve">an important </w:t>
      </w:r>
      <w:r w:rsidRPr="00EC6D33">
        <w:rPr>
          <w:rFonts w:cs="Arial"/>
          <w:b w:val="0"/>
          <w:bCs w:val="0"/>
        </w:rPr>
        <w:t>complement</w:t>
      </w:r>
      <w:r w:rsidR="00C86489" w:rsidRPr="00EC6D33">
        <w:rPr>
          <w:rFonts w:cs="Arial"/>
          <w:b w:val="0"/>
          <w:bCs w:val="0"/>
        </w:rPr>
        <w:t>ary function to</w:t>
      </w:r>
      <w:r w:rsidRPr="00EC6D33">
        <w:rPr>
          <w:rFonts w:cs="Arial"/>
          <w:b w:val="0"/>
          <w:bCs w:val="0"/>
        </w:rPr>
        <w:t xml:space="preserve"> the provisions under section 166L of the A</w:t>
      </w:r>
      <w:r w:rsidR="00FF5235" w:rsidRPr="00EC6D33">
        <w:rPr>
          <w:rFonts w:cs="Arial"/>
          <w:b w:val="0"/>
          <w:bCs w:val="0"/>
        </w:rPr>
        <w:t>ct</w:t>
      </w:r>
      <w:r w:rsidR="00C15B59">
        <w:rPr>
          <w:rFonts w:cs="Arial"/>
          <w:b w:val="0"/>
          <w:bCs w:val="0"/>
        </w:rPr>
        <w:t xml:space="preserve"> and </w:t>
      </w:r>
      <w:r w:rsidR="00A30811" w:rsidRPr="00EC6D33">
        <w:rPr>
          <w:rFonts w:cs="Arial"/>
          <w:b w:val="0"/>
          <w:bCs w:val="0"/>
        </w:rPr>
        <w:t>provides for</w:t>
      </w:r>
      <w:r w:rsidR="00040DF7" w:rsidRPr="00EC6D33">
        <w:rPr>
          <w:rFonts w:cs="Arial"/>
          <w:b w:val="0"/>
          <w:bCs w:val="0"/>
        </w:rPr>
        <w:t xml:space="preserve"> among others,</w:t>
      </w:r>
      <w:r w:rsidR="00A30811" w:rsidRPr="00EC6D33">
        <w:rPr>
          <w:rFonts w:cs="Arial"/>
          <w:b w:val="0"/>
          <w:bCs w:val="0"/>
        </w:rPr>
        <w:t xml:space="preserve"> the adoption of contractual recognition provisions in specified types of contracts</w:t>
      </w:r>
      <w:r w:rsidR="005F7F09" w:rsidRPr="00EC6D33">
        <w:rPr>
          <w:rFonts w:cs="Arial"/>
          <w:b w:val="0"/>
          <w:bCs w:val="0"/>
        </w:rPr>
        <w:t xml:space="preserve"> (covered contracts)</w:t>
      </w:r>
      <w:r w:rsidR="00614203" w:rsidRPr="00EC6D33">
        <w:rPr>
          <w:rFonts w:cs="Arial"/>
          <w:b w:val="0"/>
          <w:bCs w:val="0"/>
        </w:rPr>
        <w:t>.</w:t>
      </w:r>
      <w:r w:rsidR="00A30811" w:rsidRPr="00EC6D33">
        <w:rPr>
          <w:rFonts w:cs="Arial"/>
          <w:b w:val="0"/>
          <w:bCs w:val="0"/>
        </w:rPr>
        <w:t xml:space="preserve"> </w:t>
      </w:r>
    </w:p>
    <w:p w14:paraId="1BA496D8" w14:textId="7DF9AD3F" w:rsidR="001A0D6D" w:rsidRPr="00EC6D33" w:rsidRDefault="001A0D6D"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The effect of the contractual recognition provisions </w:t>
      </w:r>
      <w:r w:rsidR="00937877" w:rsidRPr="00EC6D33">
        <w:rPr>
          <w:rFonts w:cs="Arial"/>
          <w:b w:val="0"/>
          <w:bCs w:val="0"/>
        </w:rPr>
        <w:t xml:space="preserve">provided for in the Standard </w:t>
      </w:r>
      <w:r w:rsidRPr="00EC6D33">
        <w:rPr>
          <w:rFonts w:cs="Arial"/>
          <w:b w:val="0"/>
          <w:bCs w:val="0"/>
        </w:rPr>
        <w:t xml:space="preserve">will be to extend the application of the </w:t>
      </w:r>
      <w:r w:rsidR="0081409F" w:rsidRPr="00EC6D33">
        <w:rPr>
          <w:rFonts w:cs="Arial"/>
          <w:b w:val="0"/>
          <w:bCs w:val="0"/>
        </w:rPr>
        <w:t xml:space="preserve">Reserve Bank’s </w:t>
      </w:r>
      <w:r w:rsidRPr="00EC6D33">
        <w:rPr>
          <w:rFonts w:cs="Arial"/>
          <w:b w:val="0"/>
          <w:bCs w:val="0"/>
        </w:rPr>
        <w:t>resolution powers in terms of the A</w:t>
      </w:r>
      <w:r w:rsidR="00FF5235" w:rsidRPr="00EC6D33">
        <w:rPr>
          <w:rFonts w:cs="Arial"/>
          <w:b w:val="0"/>
          <w:bCs w:val="0"/>
        </w:rPr>
        <w:t>ct</w:t>
      </w:r>
      <w:r w:rsidRPr="00EC6D33">
        <w:rPr>
          <w:rFonts w:cs="Arial"/>
          <w:b w:val="0"/>
          <w:bCs w:val="0"/>
        </w:rPr>
        <w:t xml:space="preserve"> to </w:t>
      </w:r>
      <w:r w:rsidR="000B316E" w:rsidRPr="00EC6D33">
        <w:rPr>
          <w:rFonts w:cs="Arial"/>
          <w:b w:val="0"/>
          <w:bCs w:val="0"/>
        </w:rPr>
        <w:t>covered</w:t>
      </w:r>
      <w:r w:rsidRPr="00EC6D33">
        <w:rPr>
          <w:rFonts w:cs="Arial"/>
          <w:b w:val="0"/>
          <w:bCs w:val="0"/>
        </w:rPr>
        <w:t xml:space="preserve"> contracts</w:t>
      </w:r>
      <w:r w:rsidR="000B316E" w:rsidRPr="00EC6D33">
        <w:rPr>
          <w:rFonts w:cs="Arial"/>
          <w:b w:val="0"/>
          <w:bCs w:val="0"/>
        </w:rPr>
        <w:t>.</w:t>
      </w:r>
      <w:r w:rsidR="001D10DB" w:rsidRPr="00EC6D33">
        <w:rPr>
          <w:rFonts w:cs="Arial"/>
          <w:b w:val="0"/>
          <w:bCs w:val="0"/>
        </w:rPr>
        <w:t xml:space="preserve"> In the absence of the Standard, </w:t>
      </w:r>
      <w:r w:rsidR="0075768D" w:rsidRPr="00EC6D33">
        <w:rPr>
          <w:rFonts w:cs="Arial"/>
          <w:b w:val="0"/>
          <w:bCs w:val="0"/>
        </w:rPr>
        <w:t>the</w:t>
      </w:r>
      <w:r w:rsidR="00AF3320" w:rsidRPr="00EC6D33">
        <w:rPr>
          <w:rFonts w:cs="Arial"/>
          <w:b w:val="0"/>
          <w:bCs w:val="0"/>
        </w:rPr>
        <w:t xml:space="preserve"> </w:t>
      </w:r>
      <w:r w:rsidR="00D111B7" w:rsidRPr="00EC6D33">
        <w:rPr>
          <w:rFonts w:cs="Arial"/>
          <w:b w:val="0"/>
          <w:bCs w:val="0"/>
        </w:rPr>
        <w:t>pl</w:t>
      </w:r>
      <w:r w:rsidR="00741AA2" w:rsidRPr="00EC6D33">
        <w:rPr>
          <w:rFonts w:cs="Arial"/>
          <w:b w:val="0"/>
          <w:bCs w:val="0"/>
        </w:rPr>
        <w:t xml:space="preserve">acing or proposal to place a designated institution </w:t>
      </w:r>
      <w:r w:rsidR="00925EAF" w:rsidRPr="00EC6D33">
        <w:rPr>
          <w:rFonts w:cs="Arial"/>
          <w:b w:val="0"/>
          <w:bCs w:val="0"/>
        </w:rPr>
        <w:t xml:space="preserve">into </w:t>
      </w:r>
      <w:r w:rsidR="0075768D" w:rsidRPr="00EC6D33">
        <w:rPr>
          <w:rFonts w:cs="Arial"/>
          <w:b w:val="0"/>
          <w:bCs w:val="0"/>
        </w:rPr>
        <w:t xml:space="preserve">resolution </w:t>
      </w:r>
      <w:r w:rsidR="001658FC" w:rsidRPr="00EC6D33">
        <w:rPr>
          <w:rFonts w:cs="Arial"/>
          <w:b w:val="0"/>
          <w:bCs w:val="0"/>
        </w:rPr>
        <w:t xml:space="preserve">will </w:t>
      </w:r>
      <w:r w:rsidR="00DE1D51" w:rsidRPr="00EC6D33">
        <w:rPr>
          <w:rFonts w:cs="Arial"/>
          <w:b w:val="0"/>
          <w:bCs w:val="0"/>
        </w:rPr>
        <w:t xml:space="preserve">expose </w:t>
      </w:r>
      <w:r w:rsidR="00C133D6" w:rsidRPr="00EC6D33">
        <w:rPr>
          <w:rFonts w:cs="Arial"/>
          <w:b w:val="0"/>
          <w:bCs w:val="0"/>
        </w:rPr>
        <w:t xml:space="preserve">the </w:t>
      </w:r>
      <w:r w:rsidR="002D7C85" w:rsidRPr="00EC6D33">
        <w:rPr>
          <w:rFonts w:cs="Arial"/>
          <w:b w:val="0"/>
          <w:bCs w:val="0"/>
        </w:rPr>
        <w:t xml:space="preserve">covered contracts entered into by </w:t>
      </w:r>
      <w:r w:rsidR="00741AA2" w:rsidRPr="00EC6D33">
        <w:rPr>
          <w:rFonts w:cs="Arial"/>
          <w:b w:val="0"/>
          <w:bCs w:val="0"/>
        </w:rPr>
        <w:t xml:space="preserve">such </w:t>
      </w:r>
      <w:r w:rsidR="002D7C85" w:rsidRPr="00EC6D33">
        <w:rPr>
          <w:rFonts w:cs="Arial"/>
          <w:b w:val="0"/>
          <w:bCs w:val="0"/>
        </w:rPr>
        <w:t xml:space="preserve">designated institution to </w:t>
      </w:r>
      <w:r w:rsidR="00987046" w:rsidRPr="00EC6D33">
        <w:rPr>
          <w:rFonts w:cs="Arial"/>
          <w:b w:val="0"/>
          <w:bCs w:val="0"/>
        </w:rPr>
        <w:t xml:space="preserve">the exercise of early-termination rights by </w:t>
      </w:r>
      <w:r w:rsidR="00AF3320" w:rsidRPr="00EC6D33">
        <w:rPr>
          <w:rFonts w:cs="Arial"/>
          <w:b w:val="0"/>
          <w:bCs w:val="0"/>
        </w:rPr>
        <w:t>counterparties</w:t>
      </w:r>
      <w:r w:rsidR="00C133D6" w:rsidRPr="00EC6D33">
        <w:rPr>
          <w:rFonts w:cs="Arial"/>
          <w:b w:val="0"/>
          <w:bCs w:val="0"/>
        </w:rPr>
        <w:t>.</w:t>
      </w:r>
      <w:r w:rsidR="00AF3320" w:rsidRPr="00EC6D33">
        <w:rPr>
          <w:rFonts w:cs="Arial"/>
          <w:b w:val="0"/>
          <w:bCs w:val="0"/>
        </w:rPr>
        <w:t xml:space="preserve"> </w:t>
      </w:r>
    </w:p>
    <w:p w14:paraId="0ADC9EAC" w14:textId="77777777" w:rsidR="002C68D3" w:rsidRPr="00EC6D33" w:rsidRDefault="001060DC"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Section 166R (1)(d) of the A</w:t>
      </w:r>
      <w:r w:rsidR="00FF5235" w:rsidRPr="00EC6D33">
        <w:rPr>
          <w:rFonts w:cs="Arial"/>
          <w:b w:val="0"/>
          <w:bCs w:val="0"/>
        </w:rPr>
        <w:t>ct</w:t>
      </w:r>
      <w:r w:rsidRPr="00EC6D33">
        <w:rPr>
          <w:rFonts w:cs="Arial"/>
          <w:b w:val="0"/>
          <w:bCs w:val="0"/>
        </w:rPr>
        <w:t xml:space="preserve"> empowers the </w:t>
      </w:r>
      <w:r w:rsidR="00E61A4F" w:rsidRPr="00EC6D33">
        <w:rPr>
          <w:rFonts w:cs="Arial"/>
          <w:b w:val="0"/>
          <w:bCs w:val="0"/>
        </w:rPr>
        <w:t xml:space="preserve">Reserve Bank </w:t>
      </w:r>
      <w:r w:rsidRPr="00EC6D33">
        <w:rPr>
          <w:rFonts w:cs="Arial"/>
          <w:b w:val="0"/>
          <w:bCs w:val="0"/>
        </w:rPr>
        <w:t xml:space="preserve">to temporarily suspend a designated institution’s contractual obligations, subject to certain specified conditions. </w:t>
      </w:r>
    </w:p>
    <w:p w14:paraId="71248012" w14:textId="18BCE08D" w:rsidR="001060DC" w:rsidRPr="00EC6D33" w:rsidRDefault="001060DC"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The </w:t>
      </w:r>
      <w:r w:rsidR="00937877" w:rsidRPr="00EC6D33">
        <w:rPr>
          <w:rFonts w:cs="Arial"/>
          <w:b w:val="0"/>
          <w:bCs w:val="0"/>
        </w:rPr>
        <w:t>S</w:t>
      </w:r>
      <w:r w:rsidRPr="00EC6D33">
        <w:rPr>
          <w:rFonts w:cs="Arial"/>
          <w:b w:val="0"/>
          <w:bCs w:val="0"/>
        </w:rPr>
        <w:t xml:space="preserve">tandard </w:t>
      </w:r>
      <w:r w:rsidR="00B53F6F" w:rsidRPr="00EC6D33">
        <w:rPr>
          <w:rFonts w:cs="Arial"/>
          <w:b w:val="0"/>
          <w:bCs w:val="0"/>
        </w:rPr>
        <w:t>also</w:t>
      </w:r>
      <w:r w:rsidR="00742C51" w:rsidRPr="00EC6D33">
        <w:rPr>
          <w:rFonts w:cs="Arial"/>
          <w:b w:val="0"/>
          <w:bCs w:val="0"/>
        </w:rPr>
        <w:t xml:space="preserve"> </w:t>
      </w:r>
      <w:r w:rsidR="009A30FC" w:rsidRPr="00EC6D33">
        <w:rPr>
          <w:rFonts w:cs="Arial"/>
          <w:b w:val="0"/>
          <w:bCs w:val="0"/>
        </w:rPr>
        <w:t xml:space="preserve">complements </w:t>
      </w:r>
      <w:r w:rsidR="00B53F6F" w:rsidRPr="00EC6D33">
        <w:rPr>
          <w:rFonts w:cs="Arial"/>
          <w:b w:val="0"/>
          <w:bCs w:val="0"/>
        </w:rPr>
        <w:t xml:space="preserve">and </w:t>
      </w:r>
      <w:r w:rsidRPr="00EC6D33">
        <w:rPr>
          <w:rFonts w:cs="Arial"/>
          <w:b w:val="0"/>
          <w:bCs w:val="0"/>
        </w:rPr>
        <w:t>provides clarity on the principle</w:t>
      </w:r>
      <w:r w:rsidR="00965F89" w:rsidRPr="00EC6D33">
        <w:rPr>
          <w:rFonts w:cs="Arial"/>
          <w:b w:val="0"/>
          <w:bCs w:val="0"/>
        </w:rPr>
        <w:t>s</w:t>
      </w:r>
      <w:r w:rsidRPr="00EC6D33">
        <w:rPr>
          <w:rFonts w:cs="Arial"/>
          <w:b w:val="0"/>
          <w:bCs w:val="0"/>
        </w:rPr>
        <w:t xml:space="preserve"> contained </w:t>
      </w:r>
      <w:r w:rsidR="008056A5" w:rsidRPr="00EC6D33">
        <w:rPr>
          <w:rFonts w:cs="Arial"/>
          <w:b w:val="0"/>
          <w:bCs w:val="0"/>
        </w:rPr>
        <w:t>under section 166R(1)(</w:t>
      </w:r>
      <w:r w:rsidR="00965F89" w:rsidRPr="00EC6D33">
        <w:rPr>
          <w:rFonts w:cs="Arial"/>
          <w:b w:val="0"/>
          <w:bCs w:val="0"/>
        </w:rPr>
        <w:t xml:space="preserve">d) </w:t>
      </w:r>
      <w:r w:rsidR="001859C9" w:rsidRPr="00EC6D33">
        <w:rPr>
          <w:rFonts w:cs="Arial"/>
          <w:b w:val="0"/>
          <w:bCs w:val="0"/>
        </w:rPr>
        <w:t>read with</w:t>
      </w:r>
      <w:r w:rsidR="00965F89" w:rsidRPr="00EC6D33">
        <w:rPr>
          <w:rFonts w:cs="Arial"/>
          <w:b w:val="0"/>
          <w:bCs w:val="0"/>
        </w:rPr>
        <w:t xml:space="preserve"> </w:t>
      </w:r>
      <w:r w:rsidR="001859C9" w:rsidRPr="00EC6D33">
        <w:rPr>
          <w:rFonts w:cs="Arial"/>
          <w:b w:val="0"/>
          <w:bCs w:val="0"/>
        </w:rPr>
        <w:t xml:space="preserve">section </w:t>
      </w:r>
      <w:r w:rsidR="00965F89" w:rsidRPr="00EC6D33">
        <w:rPr>
          <w:rFonts w:cs="Arial"/>
          <w:b w:val="0"/>
          <w:bCs w:val="0"/>
        </w:rPr>
        <w:t>166</w:t>
      </w:r>
      <w:proofErr w:type="gramStart"/>
      <w:r w:rsidR="00965F89" w:rsidRPr="00EC6D33">
        <w:rPr>
          <w:rFonts w:cs="Arial"/>
          <w:b w:val="0"/>
          <w:bCs w:val="0"/>
        </w:rPr>
        <w:t>R(</w:t>
      </w:r>
      <w:proofErr w:type="gramEnd"/>
      <w:r w:rsidR="00965F89" w:rsidRPr="00EC6D33">
        <w:rPr>
          <w:rFonts w:cs="Arial"/>
          <w:b w:val="0"/>
          <w:bCs w:val="0"/>
        </w:rPr>
        <w:t xml:space="preserve">4) of </w:t>
      </w:r>
      <w:r w:rsidRPr="00EC6D33">
        <w:rPr>
          <w:rFonts w:cs="Arial"/>
          <w:b w:val="0"/>
          <w:bCs w:val="0"/>
        </w:rPr>
        <w:t>the A</w:t>
      </w:r>
      <w:r w:rsidR="00FF5235" w:rsidRPr="00EC6D33">
        <w:rPr>
          <w:rFonts w:cs="Arial"/>
          <w:b w:val="0"/>
          <w:bCs w:val="0"/>
        </w:rPr>
        <w:t>ct</w:t>
      </w:r>
      <w:r w:rsidR="0070799E" w:rsidRPr="00EC6D33">
        <w:rPr>
          <w:rFonts w:cs="Arial"/>
          <w:b w:val="0"/>
          <w:bCs w:val="0"/>
        </w:rPr>
        <w:t xml:space="preserve">, thus </w:t>
      </w:r>
      <w:r w:rsidRPr="00EC6D33">
        <w:rPr>
          <w:rFonts w:cs="Arial"/>
          <w:b w:val="0"/>
          <w:bCs w:val="0"/>
        </w:rPr>
        <w:t>ensur</w:t>
      </w:r>
      <w:r w:rsidR="0070799E" w:rsidRPr="00EC6D33">
        <w:rPr>
          <w:rFonts w:cs="Arial"/>
          <w:b w:val="0"/>
          <w:bCs w:val="0"/>
        </w:rPr>
        <w:t>ing</w:t>
      </w:r>
      <w:r w:rsidRPr="00EC6D33">
        <w:rPr>
          <w:rFonts w:cs="Arial"/>
          <w:b w:val="0"/>
          <w:bCs w:val="0"/>
        </w:rPr>
        <w:t xml:space="preserve"> that the South African resolution framework complies with international best practices</w:t>
      </w:r>
      <w:r w:rsidR="00C26ED6" w:rsidRPr="00EC6D33">
        <w:rPr>
          <w:rFonts w:cs="Arial"/>
          <w:b w:val="0"/>
          <w:bCs w:val="0"/>
        </w:rPr>
        <w:t>,</w:t>
      </w:r>
      <w:r w:rsidRPr="00EC6D33">
        <w:rPr>
          <w:rFonts w:cs="Arial"/>
          <w:b w:val="0"/>
          <w:bCs w:val="0"/>
        </w:rPr>
        <w:t xml:space="preserve"> by stipulating the </w:t>
      </w:r>
      <w:r w:rsidR="00224646" w:rsidRPr="00EC6D33">
        <w:rPr>
          <w:rFonts w:cs="Arial"/>
          <w:b w:val="0"/>
          <w:bCs w:val="0"/>
        </w:rPr>
        <w:t xml:space="preserve">extent of the </w:t>
      </w:r>
      <w:r w:rsidR="001E69C9" w:rsidRPr="00EC6D33">
        <w:rPr>
          <w:rFonts w:cs="Arial"/>
          <w:b w:val="0"/>
          <w:bCs w:val="0"/>
        </w:rPr>
        <w:t xml:space="preserve">period for which </w:t>
      </w:r>
      <w:r w:rsidRPr="00EC6D33">
        <w:rPr>
          <w:rFonts w:cs="Arial"/>
          <w:b w:val="0"/>
          <w:bCs w:val="0"/>
        </w:rPr>
        <w:t>moratoria provided for under section 166R</w:t>
      </w:r>
      <w:r w:rsidR="00274C09" w:rsidRPr="00EC6D33">
        <w:rPr>
          <w:rFonts w:cs="Arial"/>
          <w:b w:val="0"/>
          <w:bCs w:val="0"/>
        </w:rPr>
        <w:t>(1)(d)</w:t>
      </w:r>
      <w:r w:rsidRPr="00EC6D33">
        <w:rPr>
          <w:rFonts w:cs="Arial"/>
          <w:b w:val="0"/>
          <w:bCs w:val="0"/>
        </w:rPr>
        <w:t xml:space="preserve"> of the A</w:t>
      </w:r>
      <w:r w:rsidR="00FF5235" w:rsidRPr="00EC6D33">
        <w:rPr>
          <w:rFonts w:cs="Arial"/>
          <w:b w:val="0"/>
          <w:bCs w:val="0"/>
        </w:rPr>
        <w:t>ct</w:t>
      </w:r>
      <w:r w:rsidRPr="00EC6D33">
        <w:rPr>
          <w:rFonts w:cs="Arial"/>
          <w:b w:val="0"/>
          <w:bCs w:val="0"/>
        </w:rPr>
        <w:t xml:space="preserve"> </w:t>
      </w:r>
      <w:r w:rsidR="001E69C9" w:rsidRPr="00EC6D33">
        <w:rPr>
          <w:rFonts w:cs="Arial"/>
          <w:b w:val="0"/>
          <w:bCs w:val="0"/>
        </w:rPr>
        <w:t>may be imposed</w:t>
      </w:r>
      <w:r w:rsidRPr="00EC6D33">
        <w:rPr>
          <w:rFonts w:cs="Arial"/>
          <w:b w:val="0"/>
          <w:bCs w:val="0"/>
        </w:rPr>
        <w:t>.</w:t>
      </w:r>
    </w:p>
    <w:p w14:paraId="5FC92101" w14:textId="3DA066AB" w:rsidR="005B0601" w:rsidRPr="00EC6D33" w:rsidRDefault="00DB27D0" w:rsidP="007700BB">
      <w:pPr>
        <w:pStyle w:val="Heading2"/>
        <w:numPr>
          <w:ilvl w:val="0"/>
          <w:numId w:val="5"/>
        </w:numPr>
        <w:tabs>
          <w:tab w:val="left" w:pos="567"/>
        </w:tabs>
        <w:spacing w:after="200" w:line="360" w:lineRule="auto"/>
        <w:ind w:left="567" w:hanging="567"/>
        <w:jc w:val="both"/>
        <w:rPr>
          <w:rFonts w:cs="Arial"/>
          <w:spacing w:val="-1"/>
        </w:rPr>
      </w:pPr>
      <w:bookmarkStart w:id="8" w:name="3._Statement_of_the_need_―_Context_and_d"/>
      <w:bookmarkStart w:id="9" w:name="Framework_for_measuring_and_controlling_"/>
      <w:bookmarkStart w:id="10" w:name="Total_loss-absorbing_capacity_standard"/>
      <w:bookmarkStart w:id="11" w:name="4._Statement_of_expected_impact_―_Costs_"/>
      <w:bookmarkStart w:id="12" w:name="_Toc94699815"/>
      <w:bookmarkStart w:id="13" w:name="_Toc126830094"/>
      <w:bookmarkEnd w:id="8"/>
      <w:bookmarkEnd w:id="9"/>
      <w:bookmarkEnd w:id="10"/>
      <w:bookmarkEnd w:id="11"/>
      <w:r w:rsidRPr="00EC6D33">
        <w:rPr>
          <w:rFonts w:cs="Arial"/>
          <w:spacing w:val="-1"/>
        </w:rPr>
        <w:t>T</w:t>
      </w:r>
      <w:r w:rsidR="005B0601" w:rsidRPr="00EC6D33">
        <w:rPr>
          <w:rFonts w:cs="Arial"/>
          <w:spacing w:val="-1"/>
        </w:rPr>
        <w:t>he</w:t>
      </w:r>
      <w:r w:rsidR="00515925" w:rsidRPr="00EC6D33">
        <w:rPr>
          <w:rFonts w:cs="Arial"/>
          <w:spacing w:val="-1"/>
        </w:rPr>
        <w:t xml:space="preserve"> intended operation </w:t>
      </w:r>
      <w:r w:rsidR="005B0601" w:rsidRPr="00EC6D33">
        <w:rPr>
          <w:rFonts w:cs="Arial"/>
          <w:spacing w:val="-1"/>
        </w:rPr>
        <w:t xml:space="preserve">of the </w:t>
      </w:r>
      <w:r w:rsidR="00F92FB5" w:rsidRPr="00EC6D33">
        <w:rPr>
          <w:rFonts w:cs="Arial"/>
          <w:spacing w:val="-1"/>
        </w:rPr>
        <w:t>S</w:t>
      </w:r>
      <w:r w:rsidR="005B0601" w:rsidRPr="00EC6D33">
        <w:rPr>
          <w:rFonts w:cs="Arial"/>
          <w:spacing w:val="-1"/>
        </w:rPr>
        <w:t>tandard</w:t>
      </w:r>
      <w:bookmarkStart w:id="14" w:name="6._Conclusion"/>
      <w:bookmarkStart w:id="15" w:name="_Toc94699816"/>
      <w:bookmarkEnd w:id="12"/>
      <w:bookmarkEnd w:id="13"/>
      <w:bookmarkEnd w:id="14"/>
      <w:r w:rsidR="005B0601" w:rsidRPr="00EC6D33">
        <w:rPr>
          <w:rFonts w:cs="Arial"/>
          <w:spacing w:val="-1"/>
        </w:rPr>
        <w:t xml:space="preserve"> </w:t>
      </w:r>
    </w:p>
    <w:p w14:paraId="30206511" w14:textId="3D97B4CF" w:rsidR="00F020CD" w:rsidRPr="00EC6D33" w:rsidRDefault="00F020CD" w:rsidP="007700BB">
      <w:pPr>
        <w:pStyle w:val="Heading2"/>
        <w:numPr>
          <w:ilvl w:val="1"/>
          <w:numId w:val="5"/>
        </w:numPr>
        <w:tabs>
          <w:tab w:val="left" w:pos="567"/>
        </w:tabs>
        <w:spacing w:after="200" w:line="360" w:lineRule="auto"/>
        <w:ind w:left="567" w:hanging="567"/>
        <w:jc w:val="both"/>
        <w:rPr>
          <w:rFonts w:cs="Arial"/>
          <w:b w:val="0"/>
          <w:bCs w:val="0"/>
          <w:lang w:val="en-ZA"/>
        </w:rPr>
      </w:pPr>
      <w:r w:rsidRPr="00EC6D33">
        <w:rPr>
          <w:rFonts w:cs="Arial"/>
          <w:b w:val="0"/>
          <w:bCs w:val="0"/>
        </w:rPr>
        <w:t xml:space="preserve">The Standard </w:t>
      </w:r>
      <w:r w:rsidR="00137710" w:rsidRPr="00EC6D33">
        <w:rPr>
          <w:rFonts w:cs="Arial"/>
          <w:b w:val="0"/>
          <w:bCs w:val="0"/>
        </w:rPr>
        <w:t xml:space="preserve">applies </w:t>
      </w:r>
      <w:r w:rsidR="00761F6E" w:rsidRPr="00EC6D33">
        <w:rPr>
          <w:rFonts w:cs="Arial"/>
          <w:b w:val="0"/>
          <w:bCs w:val="0"/>
          <w:lang w:val="en-AU"/>
        </w:rPr>
        <w:t>to early</w:t>
      </w:r>
      <w:r w:rsidR="00ED3547" w:rsidRPr="00EC6D33">
        <w:rPr>
          <w:rFonts w:cs="Arial"/>
          <w:b w:val="0"/>
          <w:bCs w:val="0"/>
          <w:lang w:val="en-AU"/>
        </w:rPr>
        <w:t>-</w:t>
      </w:r>
      <w:r w:rsidR="00761F6E" w:rsidRPr="00EC6D33">
        <w:rPr>
          <w:rFonts w:cs="Arial"/>
          <w:b w:val="0"/>
          <w:bCs w:val="0"/>
          <w:lang w:val="en-AU"/>
        </w:rPr>
        <w:t xml:space="preserve">termination rights that arise only by reason of entry of a designated institution into resolution or in connection with the use by the Reserve </w:t>
      </w:r>
      <w:r w:rsidR="00761F6E" w:rsidRPr="00EC6D33">
        <w:rPr>
          <w:rFonts w:cs="Arial"/>
          <w:b w:val="0"/>
          <w:bCs w:val="0"/>
          <w:lang w:val="en-AU"/>
        </w:rPr>
        <w:lastRenderedPageBreak/>
        <w:t>Bank of its resolution powers in relation to a designated institution.</w:t>
      </w:r>
    </w:p>
    <w:p w14:paraId="50D88745" w14:textId="2BABC390" w:rsidR="00AA7767" w:rsidRPr="00EC6D33" w:rsidRDefault="00123B10"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A stay on early</w:t>
      </w:r>
      <w:r w:rsidR="00A33607" w:rsidRPr="00EC6D33">
        <w:rPr>
          <w:rFonts w:cs="Arial"/>
          <w:b w:val="0"/>
          <w:bCs w:val="0"/>
        </w:rPr>
        <w:t>-</w:t>
      </w:r>
      <w:r w:rsidRPr="00EC6D33">
        <w:rPr>
          <w:rFonts w:cs="Arial"/>
          <w:b w:val="0"/>
          <w:bCs w:val="0"/>
        </w:rPr>
        <w:t xml:space="preserve">termination rights, as provided for </w:t>
      </w:r>
      <w:r w:rsidR="00B41A7F" w:rsidRPr="00EC6D33">
        <w:rPr>
          <w:rFonts w:cs="Arial"/>
          <w:b w:val="0"/>
          <w:bCs w:val="0"/>
        </w:rPr>
        <w:t>under</w:t>
      </w:r>
      <w:r w:rsidRPr="00EC6D33">
        <w:rPr>
          <w:rFonts w:cs="Arial"/>
          <w:b w:val="0"/>
          <w:bCs w:val="0"/>
        </w:rPr>
        <w:t xml:space="preserve"> </w:t>
      </w:r>
      <w:r w:rsidR="00B41A7F" w:rsidRPr="00EC6D33">
        <w:rPr>
          <w:rFonts w:cs="Arial"/>
          <w:b w:val="0"/>
          <w:bCs w:val="0"/>
        </w:rPr>
        <w:t>s</w:t>
      </w:r>
      <w:r w:rsidRPr="00EC6D33">
        <w:rPr>
          <w:rFonts w:cs="Arial"/>
          <w:b w:val="0"/>
          <w:bCs w:val="0"/>
        </w:rPr>
        <w:t>ection 166L of the Act</w:t>
      </w:r>
      <w:r w:rsidR="00CE64A3" w:rsidRPr="00EC6D33">
        <w:rPr>
          <w:rFonts w:cs="Arial"/>
          <w:b w:val="0"/>
          <w:bCs w:val="0"/>
        </w:rPr>
        <w:t xml:space="preserve"> </w:t>
      </w:r>
      <w:r w:rsidR="00960AE1" w:rsidRPr="00EC6D33">
        <w:rPr>
          <w:rFonts w:cs="Arial"/>
          <w:b w:val="0"/>
          <w:bCs w:val="0"/>
        </w:rPr>
        <w:t>a</w:t>
      </w:r>
      <w:r w:rsidR="00EB540E" w:rsidRPr="00EC6D33">
        <w:rPr>
          <w:rFonts w:cs="Arial"/>
          <w:b w:val="0"/>
          <w:bCs w:val="0"/>
        </w:rPr>
        <w:t>nd consequently</w:t>
      </w:r>
      <w:r w:rsidR="00EE723C" w:rsidRPr="00EC6D33">
        <w:rPr>
          <w:rFonts w:cs="Arial"/>
          <w:b w:val="0"/>
          <w:bCs w:val="0"/>
        </w:rPr>
        <w:t xml:space="preserve"> by</w:t>
      </w:r>
      <w:r w:rsidR="00EB540E" w:rsidRPr="00EC6D33">
        <w:rPr>
          <w:rFonts w:cs="Arial"/>
          <w:b w:val="0"/>
          <w:bCs w:val="0"/>
        </w:rPr>
        <w:t xml:space="preserve"> the Standard</w:t>
      </w:r>
      <w:r w:rsidR="00FB79C5" w:rsidRPr="00EC6D33">
        <w:rPr>
          <w:rFonts w:cs="Arial"/>
          <w:b w:val="0"/>
          <w:bCs w:val="0"/>
        </w:rPr>
        <w:t>,</w:t>
      </w:r>
      <w:r w:rsidRPr="00EC6D33">
        <w:rPr>
          <w:rFonts w:cs="Arial"/>
          <w:b w:val="0"/>
          <w:bCs w:val="0"/>
        </w:rPr>
        <w:t xml:space="preserve"> does not affect the rights of counterparties that may arise due to the non-performance of obligations by a designated institution. </w:t>
      </w:r>
      <w:r w:rsidR="00591330" w:rsidRPr="00EC6D33">
        <w:rPr>
          <w:rFonts w:cs="Arial"/>
          <w:b w:val="0"/>
          <w:bCs w:val="0"/>
        </w:rPr>
        <w:t xml:space="preserve">Accordingly, section 166L of the Act </w:t>
      </w:r>
      <w:r w:rsidR="00FB79C5" w:rsidRPr="00EC6D33">
        <w:rPr>
          <w:rFonts w:cs="Arial"/>
          <w:b w:val="0"/>
          <w:bCs w:val="0"/>
        </w:rPr>
        <w:t xml:space="preserve">and the Standard </w:t>
      </w:r>
      <w:r w:rsidR="00591330" w:rsidRPr="00EC6D33">
        <w:rPr>
          <w:rFonts w:cs="Arial"/>
          <w:b w:val="0"/>
          <w:bCs w:val="0"/>
        </w:rPr>
        <w:t>do</w:t>
      </w:r>
      <w:r w:rsidR="00532B1F">
        <w:rPr>
          <w:rFonts w:cs="Arial"/>
          <w:b w:val="0"/>
          <w:bCs w:val="0"/>
        </w:rPr>
        <w:t>es</w:t>
      </w:r>
      <w:r w:rsidR="00591330" w:rsidRPr="00EC6D33">
        <w:rPr>
          <w:rFonts w:cs="Arial"/>
          <w:b w:val="0"/>
          <w:bCs w:val="0"/>
        </w:rPr>
        <w:t xml:space="preserve"> not absolve a designated institution in resolution from performing any of its contractual obligations, including payment and delivery obligations. </w:t>
      </w:r>
    </w:p>
    <w:p w14:paraId="02D0C6FC" w14:textId="1612C0E3" w:rsidR="00AA7767" w:rsidRPr="00EC6D33" w:rsidRDefault="00422B75"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Notwithstanding paragraph 3.2 above, i</w:t>
      </w:r>
      <w:r w:rsidR="004D7ACE" w:rsidRPr="00EC6D33">
        <w:rPr>
          <w:rFonts w:cs="Arial"/>
          <w:b w:val="0"/>
          <w:bCs w:val="0"/>
        </w:rPr>
        <w:t>t is worth noting that</w:t>
      </w:r>
      <w:r w:rsidR="007A45C3" w:rsidRPr="00EC6D33">
        <w:rPr>
          <w:rFonts w:cs="Arial"/>
          <w:b w:val="0"/>
          <w:bCs w:val="0"/>
        </w:rPr>
        <w:t>,</w:t>
      </w:r>
      <w:r w:rsidR="00196D17" w:rsidRPr="00EC6D33">
        <w:rPr>
          <w:rFonts w:cs="Arial"/>
          <w:b w:val="0"/>
          <w:bCs w:val="0"/>
        </w:rPr>
        <w:t xml:space="preserve"> to </w:t>
      </w:r>
      <w:r w:rsidR="008239B7" w:rsidRPr="00EC6D33">
        <w:rPr>
          <w:rFonts w:cs="Arial"/>
          <w:b w:val="0"/>
          <w:bCs w:val="0"/>
        </w:rPr>
        <w:t>enable</w:t>
      </w:r>
      <w:r w:rsidR="00196D17" w:rsidRPr="00EC6D33">
        <w:rPr>
          <w:rFonts w:cs="Arial"/>
          <w:b w:val="0"/>
          <w:bCs w:val="0"/>
        </w:rPr>
        <w:t xml:space="preserve"> the orderly resolution of a designat</w:t>
      </w:r>
      <w:r w:rsidR="008239B7" w:rsidRPr="00EC6D33">
        <w:rPr>
          <w:rFonts w:cs="Arial"/>
          <w:b w:val="0"/>
          <w:bCs w:val="0"/>
        </w:rPr>
        <w:t>ed institution</w:t>
      </w:r>
      <w:r w:rsidR="00196D17" w:rsidRPr="00EC6D33">
        <w:rPr>
          <w:rFonts w:cs="Arial"/>
          <w:b w:val="0"/>
          <w:bCs w:val="0"/>
        </w:rPr>
        <w:t>,</w:t>
      </w:r>
      <w:r w:rsidR="004D7ACE" w:rsidRPr="00EC6D33">
        <w:rPr>
          <w:rFonts w:cs="Arial"/>
          <w:b w:val="0"/>
          <w:bCs w:val="0"/>
        </w:rPr>
        <w:t xml:space="preserve"> </w:t>
      </w:r>
      <w:r w:rsidR="00AA7767" w:rsidRPr="00EC6D33">
        <w:rPr>
          <w:rFonts w:cs="Arial"/>
          <w:b w:val="0"/>
          <w:bCs w:val="0"/>
        </w:rPr>
        <w:t>certain situations may</w:t>
      </w:r>
      <w:r w:rsidR="006F5027" w:rsidRPr="00EC6D33">
        <w:rPr>
          <w:rFonts w:cs="Arial"/>
          <w:b w:val="0"/>
          <w:bCs w:val="0"/>
        </w:rPr>
        <w:t xml:space="preserve"> </w:t>
      </w:r>
      <w:r w:rsidR="00AA7767" w:rsidRPr="00EC6D33">
        <w:rPr>
          <w:rFonts w:cs="Arial"/>
          <w:b w:val="0"/>
          <w:bCs w:val="0"/>
        </w:rPr>
        <w:t>necess</w:t>
      </w:r>
      <w:r w:rsidR="006F5027" w:rsidRPr="00EC6D33">
        <w:rPr>
          <w:rFonts w:cs="Arial"/>
          <w:b w:val="0"/>
          <w:bCs w:val="0"/>
        </w:rPr>
        <w:t>itate</w:t>
      </w:r>
      <w:r w:rsidRPr="00EC6D33">
        <w:rPr>
          <w:rFonts w:cs="Arial"/>
          <w:b w:val="0"/>
          <w:bCs w:val="0"/>
        </w:rPr>
        <w:t xml:space="preserve"> </w:t>
      </w:r>
      <w:r w:rsidR="0061496F" w:rsidRPr="00EC6D33">
        <w:rPr>
          <w:rFonts w:cs="Arial"/>
          <w:b w:val="0"/>
          <w:bCs w:val="0"/>
        </w:rPr>
        <w:t>th</w:t>
      </w:r>
      <w:r w:rsidR="007A45C3" w:rsidRPr="00EC6D33">
        <w:rPr>
          <w:rFonts w:cs="Arial"/>
          <w:b w:val="0"/>
          <w:bCs w:val="0"/>
        </w:rPr>
        <w:t xml:space="preserve">at the Reserve Bank </w:t>
      </w:r>
      <w:r w:rsidR="00AA7767" w:rsidRPr="00EC6D33">
        <w:rPr>
          <w:rFonts w:cs="Arial"/>
          <w:b w:val="0"/>
          <w:bCs w:val="0"/>
        </w:rPr>
        <w:t>allow</w:t>
      </w:r>
      <w:r w:rsidR="007A45C3" w:rsidRPr="00EC6D33">
        <w:rPr>
          <w:rFonts w:cs="Arial"/>
          <w:b w:val="0"/>
          <w:bCs w:val="0"/>
        </w:rPr>
        <w:t>s</w:t>
      </w:r>
      <w:r w:rsidR="008921F6" w:rsidRPr="00EC6D33">
        <w:rPr>
          <w:rFonts w:cs="Arial"/>
          <w:b w:val="0"/>
          <w:bCs w:val="0"/>
        </w:rPr>
        <w:t xml:space="preserve"> a</w:t>
      </w:r>
      <w:r w:rsidR="00AA7767" w:rsidRPr="00EC6D33">
        <w:rPr>
          <w:rFonts w:cs="Arial"/>
          <w:b w:val="0"/>
          <w:bCs w:val="0"/>
        </w:rPr>
        <w:t xml:space="preserve"> designated institution to temporarily not perform on some of its obligations in terms of its covered contracts without </w:t>
      </w:r>
      <w:r w:rsidR="00D458F2" w:rsidRPr="00EC6D33">
        <w:rPr>
          <w:rFonts w:cs="Arial"/>
          <w:b w:val="0"/>
          <w:bCs w:val="0"/>
        </w:rPr>
        <w:t>such designated institution</w:t>
      </w:r>
      <w:r w:rsidR="000B0149" w:rsidRPr="00EC6D33">
        <w:rPr>
          <w:rFonts w:cs="Arial"/>
          <w:b w:val="0"/>
          <w:bCs w:val="0"/>
        </w:rPr>
        <w:t xml:space="preserve">’s </w:t>
      </w:r>
      <w:r w:rsidR="00AA7767" w:rsidRPr="00EC6D33">
        <w:rPr>
          <w:rFonts w:cs="Arial"/>
          <w:b w:val="0"/>
          <w:bCs w:val="0"/>
        </w:rPr>
        <w:t xml:space="preserve">counterparties </w:t>
      </w:r>
      <w:r w:rsidR="008921F6" w:rsidRPr="00EC6D33">
        <w:rPr>
          <w:rFonts w:cs="Arial"/>
          <w:b w:val="0"/>
          <w:bCs w:val="0"/>
        </w:rPr>
        <w:t xml:space="preserve">exercising their right to </w:t>
      </w:r>
      <w:r w:rsidR="00AA7767" w:rsidRPr="00EC6D33">
        <w:rPr>
          <w:rFonts w:cs="Arial"/>
          <w:b w:val="0"/>
          <w:bCs w:val="0"/>
        </w:rPr>
        <w:t>terminat</w:t>
      </w:r>
      <w:r w:rsidR="008921F6" w:rsidRPr="00EC6D33">
        <w:rPr>
          <w:rFonts w:cs="Arial"/>
          <w:b w:val="0"/>
          <w:bCs w:val="0"/>
        </w:rPr>
        <w:t>e</w:t>
      </w:r>
      <w:r w:rsidR="00AA7767" w:rsidRPr="00EC6D33">
        <w:rPr>
          <w:rFonts w:cs="Arial"/>
          <w:b w:val="0"/>
          <w:bCs w:val="0"/>
        </w:rPr>
        <w:t xml:space="preserve"> the </w:t>
      </w:r>
      <w:r w:rsidR="008921F6" w:rsidRPr="00EC6D33">
        <w:rPr>
          <w:rFonts w:cs="Arial"/>
          <w:b w:val="0"/>
          <w:bCs w:val="0"/>
        </w:rPr>
        <w:t xml:space="preserve">relevant </w:t>
      </w:r>
      <w:r w:rsidR="00AA7767" w:rsidRPr="00EC6D33">
        <w:rPr>
          <w:rFonts w:cs="Arial"/>
          <w:b w:val="0"/>
          <w:bCs w:val="0"/>
        </w:rPr>
        <w:t xml:space="preserve">contracts. </w:t>
      </w:r>
    </w:p>
    <w:p w14:paraId="6EBC9351" w14:textId="08D8E115" w:rsidR="00123B10" w:rsidRPr="00EC6D33" w:rsidRDefault="00123B10"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A moratorium may only be issued by the </w:t>
      </w:r>
      <w:r w:rsidR="00E61A4F" w:rsidRPr="00EC6D33">
        <w:rPr>
          <w:rFonts w:cs="Arial"/>
          <w:b w:val="0"/>
          <w:bCs w:val="0"/>
        </w:rPr>
        <w:t xml:space="preserve">Reserve Bank </w:t>
      </w:r>
      <w:r w:rsidRPr="00EC6D33">
        <w:rPr>
          <w:rFonts w:cs="Arial"/>
          <w:b w:val="0"/>
          <w:bCs w:val="0"/>
        </w:rPr>
        <w:t xml:space="preserve">when the conditions for triggering a resolution have been met and a designated institution is placed in resolution. </w:t>
      </w:r>
      <w:r w:rsidR="0054138A" w:rsidRPr="00EC6D33">
        <w:rPr>
          <w:rFonts w:cs="Arial"/>
          <w:b w:val="0"/>
          <w:bCs w:val="0"/>
        </w:rPr>
        <w:t>Section 166R</w:t>
      </w:r>
      <w:r w:rsidR="00DB6226" w:rsidRPr="00EC6D33">
        <w:rPr>
          <w:rFonts w:cs="Arial"/>
          <w:b w:val="0"/>
          <w:bCs w:val="0"/>
        </w:rPr>
        <w:t>(4) of the Act stipulates that t</w:t>
      </w:r>
      <w:r w:rsidRPr="00EC6D33">
        <w:rPr>
          <w:rFonts w:cs="Arial"/>
          <w:b w:val="0"/>
          <w:bCs w:val="0"/>
        </w:rPr>
        <w:t xml:space="preserve">he </w:t>
      </w:r>
      <w:r w:rsidR="00D142BE" w:rsidRPr="00EC6D33">
        <w:rPr>
          <w:rFonts w:cs="Arial"/>
          <w:b w:val="0"/>
          <w:bCs w:val="0"/>
        </w:rPr>
        <w:t>moratorium</w:t>
      </w:r>
      <w:r w:rsidRPr="00EC6D33">
        <w:rPr>
          <w:rFonts w:cs="Arial"/>
          <w:b w:val="0"/>
          <w:bCs w:val="0"/>
        </w:rPr>
        <w:t xml:space="preserve"> </w:t>
      </w:r>
      <w:r w:rsidR="0054138A" w:rsidRPr="00EC6D33">
        <w:rPr>
          <w:rFonts w:cs="Arial"/>
          <w:b w:val="0"/>
          <w:bCs w:val="0"/>
        </w:rPr>
        <w:t>must</w:t>
      </w:r>
      <w:r w:rsidR="00CD71E4" w:rsidRPr="00EC6D33">
        <w:rPr>
          <w:rFonts w:cs="Arial"/>
          <w:b w:val="0"/>
          <w:bCs w:val="0"/>
        </w:rPr>
        <w:t xml:space="preserve"> </w:t>
      </w:r>
      <w:r w:rsidRPr="00EC6D33">
        <w:rPr>
          <w:rFonts w:cs="Arial"/>
          <w:b w:val="0"/>
          <w:bCs w:val="0"/>
        </w:rPr>
        <w:t>be temporary in nature</w:t>
      </w:r>
      <w:r w:rsidR="005A71D4" w:rsidRPr="00EC6D33">
        <w:rPr>
          <w:rFonts w:cs="Arial"/>
          <w:b w:val="0"/>
          <w:bCs w:val="0"/>
        </w:rPr>
        <w:t xml:space="preserve">. The section enjoins the Reserve Banks to </w:t>
      </w:r>
      <w:r w:rsidR="00813798" w:rsidRPr="00EC6D33">
        <w:rPr>
          <w:rFonts w:cs="Arial"/>
          <w:b w:val="0"/>
          <w:bCs w:val="0"/>
        </w:rPr>
        <w:t xml:space="preserve">state the period for the moratorium and </w:t>
      </w:r>
      <w:r w:rsidR="009B4055" w:rsidRPr="00EC6D33">
        <w:rPr>
          <w:rFonts w:cs="Arial"/>
          <w:b w:val="0"/>
          <w:bCs w:val="0"/>
        </w:rPr>
        <w:t xml:space="preserve">goes further to </w:t>
      </w:r>
      <w:r w:rsidR="009F2E7D" w:rsidRPr="00EC6D33">
        <w:rPr>
          <w:rFonts w:cs="Arial"/>
          <w:b w:val="0"/>
          <w:bCs w:val="0"/>
        </w:rPr>
        <w:t xml:space="preserve">prescribe that </w:t>
      </w:r>
      <w:r w:rsidR="00621742" w:rsidRPr="00EC6D33">
        <w:rPr>
          <w:rFonts w:cs="Arial"/>
          <w:b w:val="0"/>
          <w:bCs w:val="0"/>
        </w:rPr>
        <w:t xml:space="preserve">the </w:t>
      </w:r>
      <w:r w:rsidR="00EE7138" w:rsidRPr="00EC6D33">
        <w:rPr>
          <w:rFonts w:cs="Arial"/>
          <w:b w:val="0"/>
          <w:bCs w:val="0"/>
        </w:rPr>
        <w:t xml:space="preserve">said </w:t>
      </w:r>
      <w:r w:rsidR="00621742" w:rsidRPr="00EC6D33">
        <w:rPr>
          <w:rFonts w:cs="Arial"/>
          <w:b w:val="0"/>
          <w:bCs w:val="0"/>
        </w:rPr>
        <w:t xml:space="preserve">period of the moratorium </w:t>
      </w:r>
      <w:r w:rsidR="00BE1E5F" w:rsidRPr="00EC6D33">
        <w:rPr>
          <w:rFonts w:cs="Arial"/>
          <w:b w:val="0"/>
          <w:bCs w:val="0"/>
        </w:rPr>
        <w:t>must</w:t>
      </w:r>
      <w:r w:rsidRPr="00EC6D33">
        <w:rPr>
          <w:rFonts w:cs="Arial"/>
          <w:b w:val="0"/>
          <w:bCs w:val="0"/>
        </w:rPr>
        <w:t xml:space="preserve"> be a reasonable</w:t>
      </w:r>
      <w:r w:rsidR="00BE1E5F" w:rsidRPr="00EC6D33">
        <w:rPr>
          <w:rFonts w:cs="Arial"/>
          <w:b w:val="0"/>
          <w:bCs w:val="0"/>
        </w:rPr>
        <w:t xml:space="preserve"> period</w:t>
      </w:r>
      <w:r w:rsidRPr="00EC6D33">
        <w:rPr>
          <w:rFonts w:cs="Arial"/>
          <w:b w:val="0"/>
          <w:bCs w:val="0"/>
        </w:rPr>
        <w:t>.</w:t>
      </w:r>
    </w:p>
    <w:p w14:paraId="761D00E6" w14:textId="12FE6A94" w:rsidR="00123B10" w:rsidRPr="00EC6D33" w:rsidRDefault="00123B10"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To ensure that moratoria issued by the </w:t>
      </w:r>
      <w:r w:rsidR="00E61A4F" w:rsidRPr="00EC6D33">
        <w:rPr>
          <w:rFonts w:cs="Arial"/>
          <w:b w:val="0"/>
          <w:bCs w:val="0"/>
        </w:rPr>
        <w:t xml:space="preserve">Reserve Bank </w:t>
      </w:r>
      <w:r w:rsidR="00115E73" w:rsidRPr="00EC6D33">
        <w:rPr>
          <w:rFonts w:cs="Arial"/>
          <w:b w:val="0"/>
          <w:bCs w:val="0"/>
        </w:rPr>
        <w:t>will be</w:t>
      </w:r>
      <w:r w:rsidRPr="00EC6D33">
        <w:rPr>
          <w:rFonts w:cs="Arial"/>
          <w:b w:val="0"/>
          <w:bCs w:val="0"/>
        </w:rPr>
        <w:t xml:space="preserve"> in line with international best practice, the suspension of any obligations that may be provided for in moratoria issued by the </w:t>
      </w:r>
      <w:r w:rsidR="00E61A4F" w:rsidRPr="00EC6D33">
        <w:rPr>
          <w:rFonts w:cs="Arial"/>
          <w:b w:val="0"/>
          <w:bCs w:val="0"/>
        </w:rPr>
        <w:t xml:space="preserve">Reserve Bank </w:t>
      </w:r>
      <w:r w:rsidR="00BD0392" w:rsidRPr="00EC6D33">
        <w:rPr>
          <w:rFonts w:cs="Arial"/>
          <w:b w:val="0"/>
          <w:bCs w:val="0"/>
        </w:rPr>
        <w:t xml:space="preserve">in terms of section 166R(1)(d) </w:t>
      </w:r>
      <w:r w:rsidRPr="00EC6D33">
        <w:rPr>
          <w:rFonts w:cs="Arial"/>
          <w:b w:val="0"/>
          <w:bCs w:val="0"/>
        </w:rPr>
        <w:t>shall not exceed forty-eight (48) hours.</w:t>
      </w:r>
    </w:p>
    <w:p w14:paraId="548138DE" w14:textId="6AD7766A" w:rsidR="00BC7A76" w:rsidRPr="00EC6D33" w:rsidRDefault="00F020CD" w:rsidP="007700BB">
      <w:pPr>
        <w:pStyle w:val="Heading2"/>
        <w:numPr>
          <w:ilvl w:val="1"/>
          <w:numId w:val="5"/>
        </w:numPr>
        <w:tabs>
          <w:tab w:val="left" w:pos="567"/>
        </w:tabs>
        <w:spacing w:after="200" w:line="360" w:lineRule="auto"/>
        <w:ind w:left="567" w:hanging="567"/>
        <w:jc w:val="both"/>
        <w:rPr>
          <w:rFonts w:cs="Arial"/>
          <w:b w:val="0"/>
          <w:bCs w:val="0"/>
          <w:lang w:val="en-ZA"/>
        </w:rPr>
      </w:pPr>
      <w:r w:rsidRPr="00EC6D33">
        <w:rPr>
          <w:rFonts w:cs="Arial"/>
          <w:b w:val="0"/>
          <w:bCs w:val="0"/>
        </w:rPr>
        <w:t xml:space="preserve">Central banks, </w:t>
      </w:r>
      <w:r w:rsidR="00BC7A76" w:rsidRPr="00EC6D33">
        <w:rPr>
          <w:rFonts w:cs="Arial"/>
          <w:b w:val="0"/>
          <w:bCs w:val="0"/>
        </w:rPr>
        <w:t>m</w:t>
      </w:r>
      <w:r w:rsidRPr="00EC6D33">
        <w:rPr>
          <w:rFonts w:cs="Arial"/>
          <w:b w:val="0"/>
          <w:bCs w:val="0"/>
        </w:rPr>
        <w:t xml:space="preserve">arket </w:t>
      </w:r>
      <w:r w:rsidR="00BC7A76" w:rsidRPr="00EC6D33">
        <w:rPr>
          <w:rFonts w:cs="Arial"/>
          <w:b w:val="0"/>
          <w:bCs w:val="0"/>
        </w:rPr>
        <w:t>i</w:t>
      </w:r>
      <w:r w:rsidRPr="00EC6D33">
        <w:rPr>
          <w:rFonts w:cs="Arial"/>
          <w:b w:val="0"/>
          <w:bCs w:val="0"/>
        </w:rPr>
        <w:t>nfrastructures as defined under section 1 of the Act</w:t>
      </w:r>
      <w:r w:rsidR="003C497F" w:rsidRPr="00EC6D33">
        <w:rPr>
          <w:rFonts w:cs="Arial"/>
          <w:b w:val="0"/>
          <w:bCs w:val="0"/>
        </w:rPr>
        <w:t xml:space="preserve"> </w:t>
      </w:r>
      <w:r w:rsidRPr="00EC6D33">
        <w:rPr>
          <w:rFonts w:cs="Arial"/>
          <w:b w:val="0"/>
          <w:bCs w:val="0"/>
        </w:rPr>
        <w:t xml:space="preserve">as well as </w:t>
      </w:r>
      <w:r w:rsidR="00BC7A76" w:rsidRPr="00EC6D33">
        <w:rPr>
          <w:rFonts w:cs="Arial"/>
          <w:b w:val="0"/>
          <w:bCs w:val="0"/>
        </w:rPr>
        <w:t>f</w:t>
      </w:r>
      <w:r w:rsidR="00F234B0" w:rsidRPr="00EC6D33">
        <w:rPr>
          <w:rFonts w:cs="Arial"/>
          <w:b w:val="0"/>
          <w:bCs w:val="0"/>
        </w:rPr>
        <w:t xml:space="preserve">inancial </w:t>
      </w:r>
      <w:r w:rsidR="00BC7A76" w:rsidRPr="00EC6D33">
        <w:rPr>
          <w:rFonts w:cs="Arial"/>
          <w:b w:val="0"/>
          <w:bCs w:val="0"/>
        </w:rPr>
        <w:t>m</w:t>
      </w:r>
      <w:r w:rsidR="00F234B0" w:rsidRPr="00EC6D33">
        <w:rPr>
          <w:rFonts w:cs="Arial"/>
          <w:b w:val="0"/>
          <w:bCs w:val="0"/>
        </w:rPr>
        <w:t xml:space="preserve">arket </w:t>
      </w:r>
      <w:r w:rsidR="00BC7A76" w:rsidRPr="00EC6D33">
        <w:rPr>
          <w:rFonts w:cs="Arial"/>
          <w:b w:val="0"/>
          <w:bCs w:val="0"/>
        </w:rPr>
        <w:t>i</w:t>
      </w:r>
      <w:r w:rsidR="00F234B0" w:rsidRPr="00EC6D33">
        <w:rPr>
          <w:rFonts w:cs="Arial"/>
          <w:b w:val="0"/>
          <w:bCs w:val="0"/>
        </w:rPr>
        <w:t>nfrastructures</w:t>
      </w:r>
      <w:r w:rsidRPr="00EC6D33">
        <w:rPr>
          <w:rFonts w:cs="Arial"/>
          <w:b w:val="0"/>
          <w:bCs w:val="0"/>
        </w:rPr>
        <w:t xml:space="preserve"> as defined in the Principles for Financial Market Infrastructures</w:t>
      </w:r>
      <w:r w:rsidR="00F234B0" w:rsidRPr="00EC6D33">
        <w:rPr>
          <w:rFonts w:cs="Arial"/>
          <w:b w:val="0"/>
          <w:bCs w:val="0"/>
        </w:rPr>
        <w:t>,</w:t>
      </w:r>
      <w:r w:rsidRPr="00EC6D33">
        <w:rPr>
          <w:rFonts w:cs="Arial"/>
          <w:b w:val="0"/>
          <w:bCs w:val="0"/>
        </w:rPr>
        <w:t xml:space="preserve"> are excluded from the </w:t>
      </w:r>
      <w:r w:rsidR="004F5007" w:rsidRPr="00EC6D33">
        <w:rPr>
          <w:rFonts w:cs="Arial"/>
          <w:b w:val="0"/>
          <w:bCs w:val="0"/>
        </w:rPr>
        <w:t>provisions of the Standard.</w:t>
      </w:r>
      <w:r w:rsidR="00BC7A76" w:rsidRPr="00EC6D33">
        <w:rPr>
          <w:rFonts w:cs="Arial"/>
          <w:b w:val="0"/>
          <w:bCs w:val="0"/>
        </w:rPr>
        <w:t xml:space="preserve"> </w:t>
      </w:r>
      <w:r w:rsidR="00E96467" w:rsidRPr="00EC6D33">
        <w:rPr>
          <w:rFonts w:cs="Arial"/>
          <w:b w:val="0"/>
          <w:bCs w:val="0"/>
        </w:rPr>
        <w:t>M</w:t>
      </w:r>
      <w:r w:rsidR="00E96467" w:rsidRPr="00EC6D33">
        <w:rPr>
          <w:rFonts w:cs="Arial"/>
          <w:b w:val="0"/>
          <w:bCs w:val="0"/>
          <w:lang w:val="en-ZA"/>
        </w:rPr>
        <w:t>arket</w:t>
      </w:r>
      <w:r w:rsidR="00E96467">
        <w:rPr>
          <w:rFonts w:cs="Arial"/>
          <w:b w:val="0"/>
          <w:bCs w:val="0"/>
          <w:lang w:val="en-ZA"/>
        </w:rPr>
        <w:t xml:space="preserve"> </w:t>
      </w:r>
      <w:r w:rsidR="00E96467" w:rsidRPr="00EC6D33">
        <w:rPr>
          <w:rFonts w:cs="Arial"/>
          <w:b w:val="0"/>
          <w:bCs w:val="0"/>
          <w:lang w:val="en-ZA"/>
        </w:rPr>
        <w:t>infrastructures</w:t>
      </w:r>
      <w:r w:rsidR="00BC7A76" w:rsidRPr="00EC6D33">
        <w:rPr>
          <w:rFonts w:cs="Arial"/>
          <w:b w:val="0"/>
          <w:bCs w:val="0"/>
          <w:lang w:val="en-ZA"/>
        </w:rPr>
        <w:t xml:space="preserve"> and financial market infrastructures facilitate the trading, clearing, settlement, and recording of monetary and other financial transactions, such as payments, securities, and derivative</w:t>
      </w:r>
      <w:r w:rsidR="00716037" w:rsidRPr="00EC6D33">
        <w:rPr>
          <w:rFonts w:cs="Arial"/>
          <w:b w:val="0"/>
          <w:bCs w:val="0"/>
          <w:lang w:val="en-ZA"/>
        </w:rPr>
        <w:t xml:space="preserve"> contracts. These institutions enable</w:t>
      </w:r>
      <w:r w:rsidR="00BC7A76" w:rsidRPr="00EC6D33">
        <w:rPr>
          <w:rFonts w:cs="Arial"/>
          <w:b w:val="0"/>
          <w:bCs w:val="0"/>
          <w:lang w:val="en-ZA"/>
        </w:rPr>
        <w:t xml:space="preserve"> the efficient functioning of the financial system </w:t>
      </w:r>
      <w:r w:rsidR="00716037" w:rsidRPr="00EC6D33">
        <w:rPr>
          <w:rFonts w:cs="Arial"/>
          <w:b w:val="0"/>
          <w:bCs w:val="0"/>
          <w:lang w:val="en-ZA"/>
        </w:rPr>
        <w:t xml:space="preserve">thus fostering financial stability. </w:t>
      </w:r>
    </w:p>
    <w:p w14:paraId="56431D13" w14:textId="0E24FAE7" w:rsidR="001E12F2" w:rsidRPr="00EC6D33" w:rsidRDefault="00A12229"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Designated institutions will be required to ensure that </w:t>
      </w:r>
      <w:r w:rsidR="00CB0CDE" w:rsidRPr="00EC6D33">
        <w:rPr>
          <w:rFonts w:cs="Arial"/>
          <w:b w:val="0"/>
          <w:bCs w:val="0"/>
        </w:rPr>
        <w:t>the covered</w:t>
      </w:r>
      <w:r w:rsidRPr="00EC6D33">
        <w:rPr>
          <w:rFonts w:cs="Arial"/>
          <w:b w:val="0"/>
          <w:bCs w:val="0"/>
        </w:rPr>
        <w:t xml:space="preserve"> contracts </w:t>
      </w:r>
      <w:r w:rsidR="00CB0CDE" w:rsidRPr="00EC6D33">
        <w:rPr>
          <w:rFonts w:cs="Arial"/>
          <w:b w:val="0"/>
          <w:bCs w:val="0"/>
        </w:rPr>
        <w:t>th</w:t>
      </w:r>
      <w:r w:rsidR="000A21A7" w:rsidRPr="00EC6D33">
        <w:rPr>
          <w:rFonts w:cs="Arial"/>
          <w:b w:val="0"/>
          <w:bCs w:val="0"/>
        </w:rPr>
        <w:t xml:space="preserve">ey </w:t>
      </w:r>
      <w:proofErr w:type="gramStart"/>
      <w:r w:rsidR="000A21A7" w:rsidRPr="00EC6D33">
        <w:rPr>
          <w:rFonts w:cs="Arial"/>
          <w:b w:val="0"/>
          <w:bCs w:val="0"/>
        </w:rPr>
        <w:t>enter into</w:t>
      </w:r>
      <w:proofErr w:type="gramEnd"/>
      <w:r w:rsidR="000A21A7" w:rsidRPr="00EC6D33">
        <w:rPr>
          <w:rFonts w:cs="Arial"/>
          <w:b w:val="0"/>
          <w:bCs w:val="0"/>
        </w:rPr>
        <w:t xml:space="preserve"> </w:t>
      </w:r>
      <w:r w:rsidRPr="00EC6D33">
        <w:rPr>
          <w:rFonts w:cs="Arial"/>
          <w:b w:val="0"/>
          <w:bCs w:val="0"/>
        </w:rPr>
        <w:t xml:space="preserve">contain </w:t>
      </w:r>
      <w:r w:rsidR="001F43F8" w:rsidRPr="00EC6D33">
        <w:rPr>
          <w:rFonts w:cs="Arial"/>
          <w:b w:val="0"/>
          <w:bCs w:val="0"/>
        </w:rPr>
        <w:t xml:space="preserve">clauses </w:t>
      </w:r>
      <w:r w:rsidR="000A21A7" w:rsidRPr="00EC6D33">
        <w:rPr>
          <w:rFonts w:cs="Arial"/>
          <w:b w:val="0"/>
          <w:bCs w:val="0"/>
        </w:rPr>
        <w:t>that</w:t>
      </w:r>
      <w:r w:rsidR="001F43F8" w:rsidRPr="00EC6D33">
        <w:rPr>
          <w:rFonts w:cs="Arial"/>
          <w:b w:val="0"/>
          <w:bCs w:val="0"/>
        </w:rPr>
        <w:t xml:space="preserve"> </w:t>
      </w:r>
      <w:r w:rsidR="002265A0" w:rsidRPr="00EC6D33">
        <w:rPr>
          <w:rFonts w:cs="Arial"/>
          <w:b w:val="0"/>
          <w:bCs w:val="0"/>
        </w:rPr>
        <w:t>recognise</w:t>
      </w:r>
      <w:r w:rsidR="000A21A7" w:rsidRPr="00EC6D33">
        <w:rPr>
          <w:rFonts w:cs="Arial"/>
          <w:b w:val="0"/>
          <w:bCs w:val="0"/>
        </w:rPr>
        <w:t>s</w:t>
      </w:r>
      <w:r w:rsidR="002265A0" w:rsidRPr="00EC6D33">
        <w:rPr>
          <w:rFonts w:cs="Arial"/>
          <w:b w:val="0"/>
          <w:bCs w:val="0"/>
        </w:rPr>
        <w:t xml:space="preserve"> </w:t>
      </w:r>
      <w:r w:rsidR="001F43F8" w:rsidRPr="00EC6D33">
        <w:rPr>
          <w:rFonts w:cs="Arial"/>
          <w:b w:val="0"/>
          <w:bCs w:val="0"/>
        </w:rPr>
        <w:t xml:space="preserve">the </w:t>
      </w:r>
      <w:r w:rsidR="00E61A4F" w:rsidRPr="00EC6D33">
        <w:rPr>
          <w:rFonts w:cs="Arial"/>
          <w:b w:val="0"/>
          <w:bCs w:val="0"/>
        </w:rPr>
        <w:t xml:space="preserve">Reserve Bank’s </w:t>
      </w:r>
      <w:r w:rsidR="001F43F8" w:rsidRPr="00EC6D33">
        <w:rPr>
          <w:rFonts w:cs="Arial"/>
          <w:b w:val="0"/>
          <w:bCs w:val="0"/>
        </w:rPr>
        <w:t xml:space="preserve">stays and resolution moratoria powers, and to put measures in place to ensure that they have detailed </w:t>
      </w:r>
      <w:r w:rsidR="001F43F8" w:rsidRPr="00EC6D33">
        <w:rPr>
          <w:rFonts w:cs="Arial"/>
          <w:b w:val="0"/>
          <w:bCs w:val="0"/>
        </w:rPr>
        <w:lastRenderedPageBreak/>
        <w:t xml:space="preserve">records on </w:t>
      </w:r>
      <w:r w:rsidR="002852EB" w:rsidRPr="00EC6D33">
        <w:rPr>
          <w:rFonts w:cs="Arial"/>
          <w:b w:val="0"/>
          <w:bCs w:val="0"/>
        </w:rPr>
        <w:t xml:space="preserve">such covered </w:t>
      </w:r>
      <w:r w:rsidR="001F43F8" w:rsidRPr="00EC6D33">
        <w:rPr>
          <w:rFonts w:cs="Arial"/>
          <w:b w:val="0"/>
          <w:bCs w:val="0"/>
        </w:rPr>
        <w:t xml:space="preserve">contracts. Additionally, designated institutions will be required to </w:t>
      </w:r>
      <w:r w:rsidR="002852EB" w:rsidRPr="00EC6D33">
        <w:rPr>
          <w:rFonts w:cs="Arial"/>
          <w:b w:val="0"/>
          <w:bCs w:val="0"/>
        </w:rPr>
        <w:t>develop capabilities</w:t>
      </w:r>
      <w:r w:rsidR="001F43F8" w:rsidRPr="00EC6D33">
        <w:rPr>
          <w:rFonts w:cs="Arial"/>
          <w:b w:val="0"/>
          <w:bCs w:val="0"/>
        </w:rPr>
        <w:t xml:space="preserve"> to report the extent </w:t>
      </w:r>
      <w:r w:rsidR="00D972A7" w:rsidRPr="00EC6D33">
        <w:rPr>
          <w:rFonts w:cs="Arial"/>
          <w:b w:val="0"/>
          <w:bCs w:val="0"/>
        </w:rPr>
        <w:t xml:space="preserve">of their compliance with the requirements in the </w:t>
      </w:r>
      <w:r w:rsidR="00116B61" w:rsidRPr="00EC6D33">
        <w:rPr>
          <w:rFonts w:cs="Arial"/>
          <w:b w:val="0"/>
          <w:bCs w:val="0"/>
        </w:rPr>
        <w:t>S</w:t>
      </w:r>
      <w:r w:rsidR="00D972A7" w:rsidRPr="00EC6D33">
        <w:rPr>
          <w:rFonts w:cs="Arial"/>
          <w:b w:val="0"/>
          <w:bCs w:val="0"/>
        </w:rPr>
        <w:t xml:space="preserve">tandard to the </w:t>
      </w:r>
      <w:r w:rsidR="00E61A4F" w:rsidRPr="00EC6D33">
        <w:rPr>
          <w:rFonts w:cs="Arial"/>
          <w:b w:val="0"/>
          <w:bCs w:val="0"/>
        </w:rPr>
        <w:t>Reserve Bank</w:t>
      </w:r>
      <w:r w:rsidR="00D972A7" w:rsidRPr="00EC6D33">
        <w:rPr>
          <w:rFonts w:cs="Arial"/>
          <w:b w:val="0"/>
          <w:bCs w:val="0"/>
        </w:rPr>
        <w:t xml:space="preserve">. </w:t>
      </w:r>
    </w:p>
    <w:p w14:paraId="422C9BB2" w14:textId="0A0E24C5" w:rsidR="00894388" w:rsidRPr="00EC6D33" w:rsidRDefault="001E12F2" w:rsidP="007700BB">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A designated institution’s governing body</w:t>
      </w:r>
      <w:r w:rsidR="00A12229" w:rsidRPr="00EC6D33">
        <w:rPr>
          <w:rFonts w:cs="Arial"/>
          <w:b w:val="0"/>
          <w:bCs w:val="0"/>
        </w:rPr>
        <w:t xml:space="preserve"> will be ultimately responsible for</w:t>
      </w:r>
      <w:r w:rsidR="00D972A7" w:rsidRPr="00EC6D33">
        <w:rPr>
          <w:rFonts w:cs="Arial"/>
          <w:b w:val="0"/>
          <w:bCs w:val="0"/>
        </w:rPr>
        <w:t xml:space="preserve"> overall</w:t>
      </w:r>
      <w:r w:rsidR="00A12229" w:rsidRPr="00EC6D33">
        <w:rPr>
          <w:rFonts w:cs="Arial"/>
          <w:b w:val="0"/>
          <w:bCs w:val="0"/>
        </w:rPr>
        <w:t xml:space="preserve"> compliance with the </w:t>
      </w:r>
      <w:r w:rsidR="00D67CB1" w:rsidRPr="00EC6D33">
        <w:rPr>
          <w:rFonts w:cs="Arial"/>
          <w:b w:val="0"/>
          <w:bCs w:val="0"/>
        </w:rPr>
        <w:t>Standard</w:t>
      </w:r>
      <w:r w:rsidR="00A12229" w:rsidRPr="00EC6D33">
        <w:rPr>
          <w:rFonts w:cs="Arial"/>
          <w:b w:val="0"/>
          <w:bCs w:val="0"/>
        </w:rPr>
        <w:t xml:space="preserve">. </w:t>
      </w:r>
    </w:p>
    <w:p w14:paraId="141BDD1A" w14:textId="26E78601" w:rsidR="00942F8F" w:rsidRPr="00EC6D33" w:rsidRDefault="00CD6490" w:rsidP="00CB2853">
      <w:pPr>
        <w:pStyle w:val="Heading2"/>
        <w:numPr>
          <w:ilvl w:val="1"/>
          <w:numId w:val="5"/>
        </w:numPr>
        <w:tabs>
          <w:tab w:val="left" w:pos="567"/>
        </w:tabs>
        <w:spacing w:after="200" w:line="360" w:lineRule="auto"/>
        <w:ind w:left="567" w:hanging="567"/>
        <w:jc w:val="both"/>
        <w:rPr>
          <w:rFonts w:cs="Arial"/>
          <w:lang w:val="en-ZA"/>
        </w:rPr>
      </w:pPr>
      <w:r w:rsidRPr="00EC6D33">
        <w:rPr>
          <w:rFonts w:cs="Arial"/>
          <w:b w:val="0"/>
          <w:bCs w:val="0"/>
        </w:rPr>
        <w:t xml:space="preserve">The </w:t>
      </w:r>
      <w:r w:rsidR="009F5F9B" w:rsidRPr="00EC6D33">
        <w:rPr>
          <w:rFonts w:cs="Arial"/>
          <w:b w:val="0"/>
          <w:bCs w:val="0"/>
        </w:rPr>
        <w:t xml:space="preserve">Standard </w:t>
      </w:r>
      <w:r w:rsidR="001B1208" w:rsidRPr="00EC6D33">
        <w:rPr>
          <w:rFonts w:cs="Arial"/>
          <w:b w:val="0"/>
          <w:bCs w:val="0"/>
        </w:rPr>
        <w:t>will come</w:t>
      </w:r>
      <w:r w:rsidR="009F5F9B" w:rsidRPr="00EC6D33">
        <w:rPr>
          <w:rFonts w:cs="Arial"/>
          <w:b w:val="0"/>
          <w:bCs w:val="0"/>
        </w:rPr>
        <w:t xml:space="preserve"> into effect </w:t>
      </w:r>
      <w:r w:rsidR="009522DE" w:rsidRPr="00EC6D33">
        <w:rPr>
          <w:rFonts w:cs="Arial"/>
          <w:b w:val="0"/>
          <w:bCs w:val="0"/>
        </w:rPr>
        <w:t xml:space="preserve">twelve (12) months </w:t>
      </w:r>
      <w:r w:rsidR="005055B6" w:rsidRPr="00EC6D33">
        <w:rPr>
          <w:rFonts w:cs="Arial"/>
          <w:b w:val="0"/>
          <w:bCs w:val="0"/>
        </w:rPr>
        <w:t xml:space="preserve">from the date on which the </w:t>
      </w:r>
      <w:r w:rsidR="0092678F" w:rsidRPr="00EC6D33">
        <w:rPr>
          <w:rFonts w:cs="Arial"/>
          <w:b w:val="0"/>
          <w:bCs w:val="0"/>
        </w:rPr>
        <w:t xml:space="preserve">resolution </w:t>
      </w:r>
      <w:r w:rsidR="00CB2853" w:rsidRPr="00EC6D33">
        <w:rPr>
          <w:rFonts w:cs="Arial"/>
          <w:b w:val="0"/>
          <w:bCs w:val="0"/>
        </w:rPr>
        <w:t xml:space="preserve">provisions </w:t>
      </w:r>
      <w:r w:rsidR="00F36129" w:rsidRPr="00EC6D33">
        <w:rPr>
          <w:rFonts w:cs="Arial"/>
          <w:b w:val="0"/>
          <w:bCs w:val="0"/>
          <w:lang w:val="en-ZA"/>
        </w:rPr>
        <w:t>in</w:t>
      </w:r>
      <w:r w:rsidR="005055B6" w:rsidRPr="00EC6D33">
        <w:rPr>
          <w:rFonts w:cs="Arial"/>
          <w:b w:val="0"/>
          <w:bCs w:val="0"/>
          <w:lang w:val="en-ZA"/>
        </w:rPr>
        <w:t xml:space="preserve"> the Financial Sector Laws Amendment Act</w:t>
      </w:r>
      <w:r w:rsidR="00A67B92" w:rsidRPr="00EC6D33">
        <w:rPr>
          <w:rFonts w:cs="Arial"/>
          <w:b w:val="0"/>
          <w:bCs w:val="0"/>
          <w:lang w:val="en-ZA"/>
        </w:rPr>
        <w:t>,</w:t>
      </w:r>
      <w:r w:rsidR="005055B6" w:rsidRPr="00EC6D33">
        <w:rPr>
          <w:rFonts w:cs="Arial"/>
          <w:b w:val="0"/>
          <w:bCs w:val="0"/>
          <w:lang w:val="en-ZA"/>
        </w:rPr>
        <w:t xml:space="preserve"> 2021 come</w:t>
      </w:r>
      <w:r w:rsidR="007D06AE" w:rsidRPr="00EC6D33">
        <w:rPr>
          <w:rFonts w:cs="Arial"/>
          <w:b w:val="0"/>
          <w:bCs w:val="0"/>
          <w:lang w:val="en-ZA"/>
        </w:rPr>
        <w:t>s</w:t>
      </w:r>
      <w:r w:rsidR="005055B6" w:rsidRPr="00EC6D33">
        <w:rPr>
          <w:rFonts w:cs="Arial"/>
          <w:b w:val="0"/>
          <w:bCs w:val="0"/>
          <w:lang w:val="en-ZA"/>
        </w:rPr>
        <w:t xml:space="preserve"> into operation</w:t>
      </w:r>
      <w:r w:rsidR="0092191D" w:rsidRPr="00EC6D33">
        <w:rPr>
          <w:rFonts w:cs="Arial"/>
          <w:b w:val="0"/>
          <w:bCs w:val="0"/>
          <w:lang w:val="en-ZA"/>
        </w:rPr>
        <w:t>. The commencement</w:t>
      </w:r>
      <w:r w:rsidR="005055B6" w:rsidRPr="00EC6D33">
        <w:rPr>
          <w:rFonts w:cs="Arial"/>
          <w:b w:val="0"/>
          <w:bCs w:val="0"/>
          <w:lang w:val="en-ZA"/>
        </w:rPr>
        <w:t xml:space="preserve"> </w:t>
      </w:r>
      <w:r w:rsidR="007D06AE" w:rsidRPr="00EC6D33">
        <w:rPr>
          <w:rFonts w:cs="Arial"/>
          <w:b w:val="0"/>
          <w:bCs w:val="0"/>
          <w:lang w:val="en-ZA"/>
        </w:rPr>
        <w:t>schedule</w:t>
      </w:r>
      <w:r w:rsidR="00D960F4" w:rsidRPr="00EC6D33">
        <w:rPr>
          <w:rFonts w:cs="Arial"/>
          <w:b w:val="0"/>
          <w:bCs w:val="0"/>
          <w:lang w:val="en-ZA"/>
        </w:rPr>
        <w:t xml:space="preserve"> for</w:t>
      </w:r>
      <w:r w:rsidR="0092191D" w:rsidRPr="00EC6D33">
        <w:rPr>
          <w:rFonts w:cs="Arial"/>
          <w:b w:val="0"/>
          <w:bCs w:val="0"/>
          <w:lang w:val="en-ZA"/>
        </w:rPr>
        <w:t xml:space="preserve"> the Financial Sector Laws Amendment Act, 2021 </w:t>
      </w:r>
      <w:r w:rsidR="005055B6" w:rsidRPr="00EC6D33">
        <w:rPr>
          <w:rFonts w:cs="Arial"/>
          <w:b w:val="0"/>
          <w:bCs w:val="0"/>
          <w:lang w:val="en-ZA"/>
        </w:rPr>
        <w:t xml:space="preserve">will be published by the Minister of Finance in </w:t>
      </w:r>
      <w:r w:rsidR="00D960F4" w:rsidRPr="00EC6D33">
        <w:rPr>
          <w:rFonts w:cs="Arial"/>
          <w:b w:val="0"/>
          <w:bCs w:val="0"/>
          <w:lang w:val="en-ZA"/>
        </w:rPr>
        <w:t>a</w:t>
      </w:r>
      <w:r w:rsidR="005055B6" w:rsidRPr="00EC6D33">
        <w:rPr>
          <w:rFonts w:cs="Arial"/>
          <w:b w:val="0"/>
          <w:bCs w:val="0"/>
          <w:lang w:val="en-ZA"/>
        </w:rPr>
        <w:t xml:space="preserve"> Gazette.</w:t>
      </w:r>
    </w:p>
    <w:p w14:paraId="33BD7E70" w14:textId="16C175A5" w:rsidR="00DB27D0" w:rsidRPr="00EC6D33" w:rsidRDefault="004C2C96" w:rsidP="007700BB">
      <w:pPr>
        <w:pStyle w:val="Heading2"/>
        <w:numPr>
          <w:ilvl w:val="0"/>
          <w:numId w:val="5"/>
        </w:numPr>
        <w:tabs>
          <w:tab w:val="left" w:pos="567"/>
        </w:tabs>
        <w:spacing w:after="200" w:line="360" w:lineRule="auto"/>
        <w:ind w:left="567" w:hanging="567"/>
        <w:jc w:val="both"/>
        <w:rPr>
          <w:rFonts w:cs="Arial"/>
          <w:spacing w:val="-1"/>
        </w:rPr>
      </w:pPr>
      <w:bookmarkStart w:id="16" w:name="_Toc126830095"/>
      <w:r w:rsidRPr="00EC6D33">
        <w:rPr>
          <w:rFonts w:cs="Arial"/>
          <w:spacing w:val="-1"/>
        </w:rPr>
        <w:t xml:space="preserve">Expected impact </w:t>
      </w:r>
      <w:r w:rsidR="00DB27D0" w:rsidRPr="00EC6D33">
        <w:rPr>
          <w:rFonts w:cs="Arial"/>
          <w:spacing w:val="-1"/>
        </w:rPr>
        <w:t xml:space="preserve">of the </w:t>
      </w:r>
      <w:r w:rsidR="00F92FB5" w:rsidRPr="00EC6D33">
        <w:rPr>
          <w:rFonts w:cs="Arial"/>
          <w:spacing w:val="-1"/>
        </w:rPr>
        <w:t>S</w:t>
      </w:r>
      <w:r w:rsidR="00DB27D0" w:rsidRPr="00EC6D33">
        <w:rPr>
          <w:rFonts w:cs="Arial"/>
          <w:spacing w:val="-1"/>
        </w:rPr>
        <w:t>tandard</w:t>
      </w:r>
      <w:bookmarkEnd w:id="16"/>
      <w:r w:rsidR="00DB27D0" w:rsidRPr="00EC6D33">
        <w:rPr>
          <w:rFonts w:cs="Arial"/>
          <w:spacing w:val="-1"/>
        </w:rPr>
        <w:t xml:space="preserve"> </w:t>
      </w:r>
    </w:p>
    <w:p w14:paraId="759A97F3" w14:textId="35BE17E1" w:rsidR="002A1AAA" w:rsidRPr="00EC6D33" w:rsidRDefault="002A1AAA" w:rsidP="007700BB">
      <w:pPr>
        <w:pStyle w:val="Heading2"/>
        <w:numPr>
          <w:ilvl w:val="1"/>
          <w:numId w:val="5"/>
        </w:numPr>
        <w:tabs>
          <w:tab w:val="left" w:pos="567"/>
        </w:tabs>
        <w:spacing w:after="200" w:line="360" w:lineRule="auto"/>
        <w:ind w:left="567" w:hanging="567"/>
        <w:jc w:val="both"/>
        <w:rPr>
          <w:rFonts w:cs="Arial"/>
          <w:b w:val="0"/>
          <w:bCs w:val="0"/>
          <w:lang w:val="en-ZA"/>
        </w:rPr>
      </w:pPr>
      <w:r w:rsidRPr="00EC6D33">
        <w:rPr>
          <w:rFonts w:cs="Arial"/>
          <w:b w:val="0"/>
          <w:bCs w:val="0"/>
          <w:lang w:val="en-ZA"/>
        </w:rPr>
        <w:t>The Authorities expect the Standard to improv</w:t>
      </w:r>
      <w:r w:rsidR="008131CF">
        <w:rPr>
          <w:rFonts w:cs="Arial"/>
          <w:b w:val="0"/>
          <w:bCs w:val="0"/>
          <w:lang w:val="en-ZA"/>
        </w:rPr>
        <w:t>e</w:t>
      </w:r>
      <w:r w:rsidRPr="00EC6D33">
        <w:rPr>
          <w:rFonts w:cs="Arial"/>
          <w:b w:val="0"/>
          <w:bCs w:val="0"/>
          <w:lang w:val="en-ZA"/>
        </w:rPr>
        <w:t xml:space="preserve"> the overall credibility of the South African resolution regime. This is primarily because the Standard gives meaning to the principles adopted in the Act thereby ensuring alignment of the South African resolution framework with international standards and best practices. In this regard, it is expected that adequate preparedness by designated institutions to implement and comply with the requirements provided for in the Standard will increase the resolvability of designated institutions thus improving the Reserve Bank’s ability to achieve its objective of assisting in </w:t>
      </w:r>
      <w:r w:rsidR="00EB12CF">
        <w:rPr>
          <w:rFonts w:cs="Arial"/>
          <w:b w:val="0"/>
          <w:bCs w:val="0"/>
          <w:lang w:val="en-ZA"/>
        </w:rPr>
        <w:t xml:space="preserve">the </w:t>
      </w:r>
      <w:r w:rsidR="00F7795D">
        <w:rPr>
          <w:rFonts w:cs="Arial"/>
          <w:b w:val="0"/>
          <w:bCs w:val="0"/>
          <w:lang w:val="en-ZA"/>
        </w:rPr>
        <w:t>maintenance of</w:t>
      </w:r>
      <w:r w:rsidRPr="00EC6D33">
        <w:rPr>
          <w:rFonts w:cs="Arial"/>
          <w:b w:val="0"/>
          <w:bCs w:val="0"/>
          <w:lang w:val="en-ZA"/>
        </w:rPr>
        <w:t xml:space="preserve"> financial stability through the orderly resolution of designated institutions in resolution. </w:t>
      </w:r>
    </w:p>
    <w:p w14:paraId="70D173D1" w14:textId="7549186D" w:rsidR="004C2C96" w:rsidRPr="00EC6D33" w:rsidRDefault="00E61A4F" w:rsidP="007700BB">
      <w:pPr>
        <w:pStyle w:val="Heading2"/>
        <w:numPr>
          <w:ilvl w:val="1"/>
          <w:numId w:val="5"/>
        </w:numPr>
        <w:tabs>
          <w:tab w:val="left" w:pos="567"/>
        </w:tabs>
        <w:spacing w:after="200" w:line="360" w:lineRule="auto"/>
        <w:ind w:left="567" w:hanging="567"/>
        <w:jc w:val="both"/>
        <w:rPr>
          <w:rFonts w:cs="Arial"/>
          <w:b w:val="0"/>
          <w:bCs w:val="0"/>
          <w:lang w:val="en-ZA"/>
        </w:rPr>
      </w:pPr>
      <w:r w:rsidRPr="00EC6D33">
        <w:rPr>
          <w:rFonts w:cs="Arial"/>
          <w:b w:val="0"/>
          <w:bCs w:val="0"/>
        </w:rPr>
        <w:t xml:space="preserve">As part of the consultation process, </w:t>
      </w:r>
      <w:r w:rsidR="004273F7" w:rsidRPr="00EC6D33">
        <w:rPr>
          <w:rFonts w:cs="Arial"/>
          <w:b w:val="0"/>
          <w:bCs w:val="0"/>
        </w:rPr>
        <w:t xml:space="preserve">and to assist the </w:t>
      </w:r>
      <w:r w:rsidR="00901102" w:rsidRPr="00EC6D33">
        <w:rPr>
          <w:rFonts w:cs="Arial"/>
          <w:b w:val="0"/>
          <w:bCs w:val="0"/>
        </w:rPr>
        <w:t xml:space="preserve">Authorities </w:t>
      </w:r>
      <w:r w:rsidR="004273F7" w:rsidRPr="00EC6D33">
        <w:rPr>
          <w:rFonts w:cs="Arial"/>
          <w:b w:val="0"/>
          <w:bCs w:val="0"/>
        </w:rPr>
        <w:t xml:space="preserve">to assess the </w:t>
      </w:r>
      <w:r w:rsidR="00207917" w:rsidRPr="00EC6D33">
        <w:rPr>
          <w:rFonts w:cs="Arial"/>
          <w:b w:val="0"/>
          <w:bCs w:val="0"/>
        </w:rPr>
        <w:t>expected impact</w:t>
      </w:r>
      <w:r w:rsidR="004273F7" w:rsidRPr="00EC6D33">
        <w:rPr>
          <w:rFonts w:cs="Arial"/>
          <w:b w:val="0"/>
          <w:bCs w:val="0"/>
        </w:rPr>
        <w:t xml:space="preserve"> of the Standard, </w:t>
      </w:r>
      <w:r w:rsidR="0049237B" w:rsidRPr="00EC6D33">
        <w:rPr>
          <w:rFonts w:cs="Arial"/>
          <w:b w:val="0"/>
          <w:bCs w:val="0"/>
        </w:rPr>
        <w:t xml:space="preserve">a set of questions were included under Section C of the </w:t>
      </w:r>
      <w:r w:rsidR="004A248D">
        <w:rPr>
          <w:rFonts w:cs="Arial"/>
          <w:b w:val="0"/>
          <w:bCs w:val="0"/>
        </w:rPr>
        <w:t xml:space="preserve">published </w:t>
      </w:r>
      <w:r w:rsidR="0049237B" w:rsidRPr="00EC6D33">
        <w:rPr>
          <w:rFonts w:cs="Arial"/>
          <w:b w:val="0"/>
          <w:bCs w:val="0"/>
        </w:rPr>
        <w:t xml:space="preserve">Comments Template to solicit industry inputs on the expected impact of implementing the </w:t>
      </w:r>
      <w:r w:rsidR="001B1208" w:rsidRPr="00EC6D33">
        <w:rPr>
          <w:rFonts w:cs="Arial"/>
          <w:b w:val="0"/>
          <w:bCs w:val="0"/>
        </w:rPr>
        <w:t>Standard.</w:t>
      </w:r>
      <w:r w:rsidR="004C2C96" w:rsidRPr="00EC6D33">
        <w:rPr>
          <w:rFonts w:cs="Arial"/>
          <w:b w:val="0"/>
          <w:bCs w:val="0"/>
        </w:rPr>
        <w:t xml:space="preserve"> </w:t>
      </w:r>
    </w:p>
    <w:p w14:paraId="4C5261E6" w14:textId="1A74AE12" w:rsidR="00F325E5" w:rsidRPr="00EC6D33" w:rsidRDefault="00F325E5" w:rsidP="00865BD0">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Of the eight respondents who participated in the consultation process, only two systemically important banks </w:t>
      </w:r>
      <w:r w:rsidR="00546037" w:rsidRPr="00EC6D33">
        <w:rPr>
          <w:rFonts w:cs="Arial"/>
          <w:b w:val="0"/>
          <w:bCs w:val="0"/>
        </w:rPr>
        <w:t>provided responses</w:t>
      </w:r>
      <w:r w:rsidRPr="00EC6D33">
        <w:rPr>
          <w:rFonts w:cs="Arial"/>
          <w:b w:val="0"/>
          <w:bCs w:val="0"/>
        </w:rPr>
        <w:t xml:space="preserve"> to the </w:t>
      </w:r>
      <w:r w:rsidR="006D70EE" w:rsidRPr="00EC6D33">
        <w:rPr>
          <w:rFonts w:cs="Arial"/>
          <w:b w:val="0"/>
          <w:bCs w:val="0"/>
        </w:rPr>
        <w:t xml:space="preserve">impact </w:t>
      </w:r>
      <w:r w:rsidRPr="00EC6D33">
        <w:rPr>
          <w:rFonts w:cs="Arial"/>
          <w:b w:val="0"/>
          <w:bCs w:val="0"/>
        </w:rPr>
        <w:t>question</w:t>
      </w:r>
      <w:r w:rsidR="006D70EE" w:rsidRPr="00EC6D33">
        <w:rPr>
          <w:rFonts w:cs="Arial"/>
          <w:b w:val="0"/>
          <w:bCs w:val="0"/>
        </w:rPr>
        <w:t>s</w:t>
      </w:r>
      <w:r w:rsidR="00B20CA4" w:rsidRPr="00EC6D33">
        <w:rPr>
          <w:rFonts w:cs="Arial"/>
          <w:b w:val="0"/>
          <w:bCs w:val="0"/>
        </w:rPr>
        <w:t xml:space="preserve"> under Section C of the </w:t>
      </w:r>
      <w:r w:rsidR="002B020D">
        <w:rPr>
          <w:rFonts w:cs="Arial"/>
          <w:b w:val="0"/>
          <w:bCs w:val="0"/>
        </w:rPr>
        <w:t xml:space="preserve">published </w:t>
      </w:r>
      <w:r w:rsidR="001F1E4A" w:rsidRPr="00EC6D33">
        <w:rPr>
          <w:rFonts w:cs="Arial"/>
          <w:b w:val="0"/>
          <w:bCs w:val="0"/>
        </w:rPr>
        <w:t>Comments Template</w:t>
      </w:r>
      <w:r w:rsidRPr="00EC6D33">
        <w:rPr>
          <w:rFonts w:cs="Arial"/>
          <w:b w:val="0"/>
          <w:bCs w:val="0"/>
        </w:rPr>
        <w:t xml:space="preserve">. The information obtained from the respondents </w:t>
      </w:r>
      <w:r w:rsidR="002B020D">
        <w:rPr>
          <w:rFonts w:cs="Arial"/>
          <w:b w:val="0"/>
          <w:bCs w:val="0"/>
        </w:rPr>
        <w:t xml:space="preserve">in this regard </w:t>
      </w:r>
      <w:r w:rsidRPr="00EC6D33">
        <w:rPr>
          <w:rFonts w:cs="Arial"/>
          <w:b w:val="0"/>
          <w:bCs w:val="0"/>
        </w:rPr>
        <w:t>w</w:t>
      </w:r>
      <w:r w:rsidR="002B020D">
        <w:rPr>
          <w:rFonts w:cs="Arial"/>
          <w:b w:val="0"/>
          <w:bCs w:val="0"/>
        </w:rPr>
        <w:t>ere</w:t>
      </w:r>
      <w:r w:rsidRPr="00EC6D33">
        <w:rPr>
          <w:rFonts w:cs="Arial"/>
          <w:b w:val="0"/>
          <w:bCs w:val="0"/>
        </w:rPr>
        <w:t xml:space="preserve"> analysed and </w:t>
      </w:r>
      <w:r w:rsidR="002B020D">
        <w:rPr>
          <w:rFonts w:cs="Arial"/>
          <w:b w:val="0"/>
          <w:bCs w:val="0"/>
        </w:rPr>
        <w:t>a summary of the key</w:t>
      </w:r>
      <w:r w:rsidR="00DA2405">
        <w:rPr>
          <w:rFonts w:cs="Arial"/>
          <w:b w:val="0"/>
          <w:bCs w:val="0"/>
        </w:rPr>
        <w:t xml:space="preserve"> take-aways </w:t>
      </w:r>
      <w:r w:rsidR="00E41AF9">
        <w:rPr>
          <w:rFonts w:cs="Arial"/>
          <w:b w:val="0"/>
          <w:bCs w:val="0"/>
        </w:rPr>
        <w:t xml:space="preserve">therefrom </w:t>
      </w:r>
      <w:r w:rsidR="00DA2405">
        <w:rPr>
          <w:rFonts w:cs="Arial"/>
          <w:b w:val="0"/>
          <w:bCs w:val="0"/>
        </w:rPr>
        <w:t>is</w:t>
      </w:r>
      <w:r w:rsidRPr="00EC6D33">
        <w:rPr>
          <w:rFonts w:cs="Arial"/>
          <w:b w:val="0"/>
          <w:bCs w:val="0"/>
        </w:rPr>
        <w:t xml:space="preserve"> presented herewith. </w:t>
      </w:r>
    </w:p>
    <w:p w14:paraId="7126BAF3" w14:textId="77777777" w:rsidR="00AF5541" w:rsidRPr="00EC6D33" w:rsidRDefault="004F600F" w:rsidP="00FB1EAA">
      <w:pPr>
        <w:pStyle w:val="ListParagraph"/>
        <w:numPr>
          <w:ilvl w:val="2"/>
          <w:numId w:val="14"/>
        </w:numPr>
        <w:spacing w:after="200" w:line="360" w:lineRule="auto"/>
        <w:ind w:left="1134" w:hanging="567"/>
        <w:jc w:val="both"/>
        <w:rPr>
          <w:rFonts w:ascii="Arial" w:hAnsi="Arial" w:cs="Arial"/>
          <w:sz w:val="23"/>
          <w:szCs w:val="23"/>
        </w:rPr>
      </w:pPr>
      <w:r w:rsidRPr="00EC6D33">
        <w:rPr>
          <w:rFonts w:ascii="Arial" w:hAnsi="Arial" w:cs="Arial"/>
          <w:sz w:val="23"/>
          <w:szCs w:val="23"/>
        </w:rPr>
        <w:t xml:space="preserve">Overall, </w:t>
      </w:r>
      <w:r w:rsidR="00B7321E" w:rsidRPr="00EC6D33">
        <w:rPr>
          <w:rFonts w:ascii="Arial" w:hAnsi="Arial" w:cs="Arial"/>
          <w:sz w:val="23"/>
          <w:szCs w:val="23"/>
        </w:rPr>
        <w:t xml:space="preserve">respondents found the Standard to be </w:t>
      </w:r>
      <w:r w:rsidR="00A419D1" w:rsidRPr="00EC6D33">
        <w:rPr>
          <w:rFonts w:ascii="Arial" w:hAnsi="Arial" w:cs="Arial"/>
          <w:sz w:val="23"/>
          <w:szCs w:val="23"/>
        </w:rPr>
        <w:t xml:space="preserve">necessary for the maintenance of financial stability in the South African market </w:t>
      </w:r>
      <w:r w:rsidR="00855CA3" w:rsidRPr="00EC6D33">
        <w:rPr>
          <w:rFonts w:ascii="Arial" w:hAnsi="Arial" w:cs="Arial"/>
          <w:sz w:val="23"/>
          <w:szCs w:val="23"/>
        </w:rPr>
        <w:t>and</w:t>
      </w:r>
      <w:r w:rsidR="00A419D1" w:rsidRPr="00EC6D33">
        <w:rPr>
          <w:rFonts w:ascii="Arial" w:hAnsi="Arial" w:cs="Arial"/>
          <w:sz w:val="23"/>
          <w:szCs w:val="23"/>
        </w:rPr>
        <w:t xml:space="preserve"> </w:t>
      </w:r>
      <w:r w:rsidR="00CA7926" w:rsidRPr="00EC6D33">
        <w:rPr>
          <w:rFonts w:ascii="Arial" w:hAnsi="Arial" w:cs="Arial"/>
          <w:sz w:val="23"/>
          <w:szCs w:val="23"/>
        </w:rPr>
        <w:t xml:space="preserve">for the </w:t>
      </w:r>
      <w:r w:rsidR="00855CA3" w:rsidRPr="00EC6D33">
        <w:rPr>
          <w:rFonts w:ascii="Arial" w:hAnsi="Arial" w:cs="Arial"/>
          <w:sz w:val="23"/>
          <w:szCs w:val="23"/>
        </w:rPr>
        <w:t>a</w:t>
      </w:r>
      <w:r w:rsidR="00B7321E" w:rsidRPr="00EC6D33">
        <w:rPr>
          <w:rFonts w:ascii="Arial" w:hAnsi="Arial" w:cs="Arial"/>
          <w:sz w:val="23"/>
          <w:szCs w:val="23"/>
        </w:rPr>
        <w:t>li</w:t>
      </w:r>
      <w:r w:rsidR="00855CA3" w:rsidRPr="00EC6D33">
        <w:rPr>
          <w:rFonts w:ascii="Arial" w:hAnsi="Arial" w:cs="Arial"/>
          <w:sz w:val="23"/>
          <w:szCs w:val="23"/>
        </w:rPr>
        <w:t>g</w:t>
      </w:r>
      <w:r w:rsidR="00B7321E" w:rsidRPr="00EC6D33">
        <w:rPr>
          <w:rFonts w:ascii="Arial" w:hAnsi="Arial" w:cs="Arial"/>
          <w:sz w:val="23"/>
          <w:szCs w:val="23"/>
        </w:rPr>
        <w:t>n</w:t>
      </w:r>
      <w:r w:rsidR="00CA7926" w:rsidRPr="00EC6D33">
        <w:rPr>
          <w:rFonts w:ascii="Arial" w:hAnsi="Arial" w:cs="Arial"/>
          <w:sz w:val="23"/>
          <w:szCs w:val="23"/>
        </w:rPr>
        <w:t>ment of the South African resolution framework</w:t>
      </w:r>
      <w:r w:rsidR="00B7321E" w:rsidRPr="00EC6D33">
        <w:rPr>
          <w:rFonts w:ascii="Arial" w:hAnsi="Arial" w:cs="Arial"/>
          <w:sz w:val="23"/>
          <w:szCs w:val="23"/>
        </w:rPr>
        <w:t xml:space="preserve"> with international </w:t>
      </w:r>
      <w:r w:rsidR="00A419D1" w:rsidRPr="00EC6D33">
        <w:rPr>
          <w:rFonts w:ascii="Arial" w:hAnsi="Arial" w:cs="Arial"/>
          <w:sz w:val="23"/>
          <w:szCs w:val="23"/>
        </w:rPr>
        <w:t>standards.</w:t>
      </w:r>
    </w:p>
    <w:p w14:paraId="4ACE4723" w14:textId="39B5D87C" w:rsidR="00A419D1" w:rsidRPr="00EC6D33" w:rsidRDefault="00442A60" w:rsidP="00FB1EAA">
      <w:pPr>
        <w:pStyle w:val="ListParagraph"/>
        <w:numPr>
          <w:ilvl w:val="2"/>
          <w:numId w:val="14"/>
        </w:numPr>
        <w:spacing w:after="200" w:line="360" w:lineRule="auto"/>
        <w:ind w:left="1134" w:hanging="567"/>
        <w:jc w:val="both"/>
        <w:rPr>
          <w:rFonts w:ascii="Arial" w:hAnsi="Arial" w:cs="Arial"/>
          <w:sz w:val="23"/>
          <w:szCs w:val="23"/>
        </w:rPr>
      </w:pPr>
      <w:r w:rsidRPr="00EC6D33">
        <w:rPr>
          <w:rFonts w:ascii="Arial" w:hAnsi="Arial" w:cs="Arial"/>
          <w:bCs/>
          <w:sz w:val="23"/>
          <w:szCs w:val="23"/>
          <w:lang w:val="en-ZA"/>
        </w:rPr>
        <w:lastRenderedPageBreak/>
        <w:t xml:space="preserve">Respondents </w:t>
      </w:r>
      <w:r w:rsidR="00727529" w:rsidRPr="00EC6D33">
        <w:rPr>
          <w:rFonts w:ascii="Arial" w:hAnsi="Arial" w:cs="Arial"/>
          <w:bCs/>
          <w:sz w:val="23"/>
          <w:szCs w:val="23"/>
          <w:lang w:val="en-ZA"/>
        </w:rPr>
        <w:t>indicated</w:t>
      </w:r>
      <w:r w:rsidRPr="00EC6D33">
        <w:rPr>
          <w:rFonts w:ascii="Arial" w:hAnsi="Arial" w:cs="Arial"/>
          <w:bCs/>
          <w:sz w:val="23"/>
          <w:szCs w:val="23"/>
          <w:lang w:val="en-ZA"/>
        </w:rPr>
        <w:t xml:space="preserve"> that whilst the Standard introduces some new </w:t>
      </w:r>
      <w:r w:rsidR="00D461B8" w:rsidRPr="00EC6D33">
        <w:rPr>
          <w:rFonts w:ascii="Arial" w:hAnsi="Arial" w:cs="Arial"/>
          <w:bCs/>
          <w:sz w:val="23"/>
          <w:szCs w:val="23"/>
          <w:lang w:val="en-ZA"/>
        </w:rPr>
        <w:t xml:space="preserve">administrative </w:t>
      </w:r>
      <w:r w:rsidR="00217867">
        <w:rPr>
          <w:rFonts w:ascii="Arial" w:hAnsi="Arial" w:cs="Arial"/>
          <w:bCs/>
          <w:sz w:val="23"/>
          <w:szCs w:val="23"/>
          <w:lang w:val="en-ZA"/>
        </w:rPr>
        <w:t>requirements</w:t>
      </w:r>
      <w:r w:rsidRPr="00EC6D33">
        <w:rPr>
          <w:rFonts w:ascii="Arial" w:hAnsi="Arial" w:cs="Arial"/>
          <w:bCs/>
          <w:sz w:val="23"/>
          <w:szCs w:val="23"/>
          <w:lang w:val="en-ZA"/>
        </w:rPr>
        <w:t xml:space="preserve">, </w:t>
      </w:r>
      <w:r w:rsidR="00427F26" w:rsidRPr="00EC6D33">
        <w:rPr>
          <w:rFonts w:ascii="Arial" w:hAnsi="Arial" w:cs="Arial"/>
          <w:bCs/>
          <w:sz w:val="23"/>
          <w:szCs w:val="23"/>
          <w:lang w:val="en-ZA"/>
        </w:rPr>
        <w:t xml:space="preserve">designated institutions will be able to leverage </w:t>
      </w:r>
      <w:r w:rsidR="00217867">
        <w:rPr>
          <w:rFonts w:ascii="Arial" w:hAnsi="Arial" w:cs="Arial"/>
          <w:bCs/>
          <w:sz w:val="23"/>
          <w:szCs w:val="23"/>
          <w:lang w:val="en-ZA"/>
        </w:rPr>
        <w:t xml:space="preserve">their </w:t>
      </w:r>
      <w:r w:rsidRPr="00EC6D33">
        <w:rPr>
          <w:rFonts w:ascii="Arial" w:hAnsi="Arial" w:cs="Arial"/>
          <w:bCs/>
          <w:sz w:val="23"/>
          <w:szCs w:val="23"/>
          <w:lang w:val="en-ZA"/>
        </w:rPr>
        <w:t xml:space="preserve">existing governance and </w:t>
      </w:r>
      <w:r w:rsidR="00217867">
        <w:rPr>
          <w:rFonts w:ascii="Arial" w:hAnsi="Arial" w:cs="Arial"/>
          <w:bCs/>
          <w:sz w:val="23"/>
          <w:szCs w:val="23"/>
          <w:lang w:val="en-ZA"/>
        </w:rPr>
        <w:t xml:space="preserve">internal </w:t>
      </w:r>
      <w:r w:rsidRPr="00EC6D33">
        <w:rPr>
          <w:rFonts w:ascii="Arial" w:hAnsi="Arial" w:cs="Arial"/>
          <w:bCs/>
          <w:sz w:val="23"/>
          <w:szCs w:val="23"/>
          <w:lang w:val="en-ZA"/>
        </w:rPr>
        <w:t>control arrangements to ensure readiness and compliance with the requirements set out in the Standard.</w:t>
      </w:r>
      <w:r w:rsidR="00AF337A" w:rsidRPr="00EC6D33">
        <w:rPr>
          <w:rFonts w:ascii="Arial" w:hAnsi="Arial" w:cs="Arial"/>
          <w:bCs/>
          <w:sz w:val="23"/>
          <w:szCs w:val="23"/>
          <w:lang w:val="en-ZA"/>
        </w:rPr>
        <w:t xml:space="preserve"> All respondents confirmed that they currently keep records of contracts that would meet the Standard’s definition of covered contracts.</w:t>
      </w:r>
    </w:p>
    <w:p w14:paraId="52A7D14C" w14:textId="3316F85D" w:rsidR="00442A60" w:rsidRPr="00EC6D33" w:rsidRDefault="00442A60" w:rsidP="00FB1EAA">
      <w:pPr>
        <w:pStyle w:val="ListParagraph"/>
        <w:numPr>
          <w:ilvl w:val="2"/>
          <w:numId w:val="14"/>
        </w:numPr>
        <w:spacing w:after="200" w:line="360" w:lineRule="auto"/>
        <w:ind w:left="1134" w:hanging="567"/>
        <w:jc w:val="both"/>
        <w:rPr>
          <w:rFonts w:ascii="Arial" w:hAnsi="Arial" w:cs="Arial"/>
          <w:sz w:val="23"/>
          <w:szCs w:val="23"/>
        </w:rPr>
      </w:pPr>
      <w:r w:rsidRPr="00EC6D33">
        <w:rPr>
          <w:rFonts w:ascii="Arial" w:hAnsi="Arial" w:cs="Arial"/>
          <w:sz w:val="23"/>
          <w:szCs w:val="23"/>
        </w:rPr>
        <w:t xml:space="preserve">Respondents cited </w:t>
      </w:r>
      <w:r w:rsidR="00541555" w:rsidRPr="00EC6D33">
        <w:rPr>
          <w:rFonts w:ascii="Arial" w:hAnsi="Arial" w:cs="Arial"/>
          <w:sz w:val="23"/>
          <w:szCs w:val="23"/>
        </w:rPr>
        <w:t xml:space="preserve">the </w:t>
      </w:r>
      <w:r w:rsidRPr="00EC6D33">
        <w:rPr>
          <w:rFonts w:ascii="Arial" w:hAnsi="Arial" w:cs="Arial"/>
          <w:sz w:val="23"/>
          <w:szCs w:val="23"/>
        </w:rPr>
        <w:t xml:space="preserve">alignment </w:t>
      </w:r>
      <w:r w:rsidR="00C22600" w:rsidRPr="00EC6D33">
        <w:rPr>
          <w:rFonts w:ascii="Arial" w:hAnsi="Arial" w:cs="Arial"/>
          <w:sz w:val="23"/>
          <w:szCs w:val="23"/>
        </w:rPr>
        <w:t xml:space="preserve">of South Africa’s resolution framework </w:t>
      </w:r>
      <w:r w:rsidRPr="00EC6D33">
        <w:rPr>
          <w:rFonts w:ascii="Arial" w:hAnsi="Arial" w:cs="Arial"/>
          <w:sz w:val="23"/>
          <w:szCs w:val="23"/>
        </w:rPr>
        <w:t>with international standards and international best practices</w:t>
      </w:r>
      <w:r w:rsidR="00427F26" w:rsidRPr="00EC6D33">
        <w:rPr>
          <w:rFonts w:ascii="Arial" w:hAnsi="Arial" w:cs="Arial"/>
          <w:sz w:val="23"/>
          <w:szCs w:val="23"/>
        </w:rPr>
        <w:t>,</w:t>
      </w:r>
      <w:r w:rsidRPr="00EC6D33">
        <w:rPr>
          <w:rFonts w:ascii="Arial" w:hAnsi="Arial" w:cs="Arial"/>
          <w:sz w:val="23"/>
          <w:szCs w:val="23"/>
        </w:rPr>
        <w:t xml:space="preserve"> </w:t>
      </w:r>
      <w:r w:rsidR="00427F26" w:rsidRPr="00EC6D33">
        <w:rPr>
          <w:rFonts w:ascii="Arial" w:hAnsi="Arial" w:cs="Arial"/>
          <w:sz w:val="23"/>
          <w:szCs w:val="23"/>
        </w:rPr>
        <w:t xml:space="preserve">improved </w:t>
      </w:r>
      <w:r w:rsidRPr="00EC6D33">
        <w:rPr>
          <w:rFonts w:ascii="Arial" w:hAnsi="Arial" w:cs="Arial"/>
          <w:sz w:val="23"/>
          <w:szCs w:val="23"/>
        </w:rPr>
        <w:t xml:space="preserve">consistency </w:t>
      </w:r>
      <w:r w:rsidR="00C66B17" w:rsidRPr="00EC6D33">
        <w:rPr>
          <w:rFonts w:ascii="Arial" w:hAnsi="Arial" w:cs="Arial"/>
          <w:sz w:val="23"/>
          <w:szCs w:val="23"/>
        </w:rPr>
        <w:t>in the resolution of banks</w:t>
      </w:r>
      <w:r w:rsidR="00427F26" w:rsidRPr="00EC6D33">
        <w:rPr>
          <w:rFonts w:ascii="Arial" w:hAnsi="Arial" w:cs="Arial"/>
          <w:sz w:val="23"/>
          <w:szCs w:val="23"/>
        </w:rPr>
        <w:t>,</w:t>
      </w:r>
      <w:r w:rsidR="00C66B17" w:rsidRPr="00EC6D33">
        <w:rPr>
          <w:rFonts w:ascii="Arial" w:hAnsi="Arial" w:cs="Arial"/>
          <w:sz w:val="23"/>
          <w:szCs w:val="23"/>
        </w:rPr>
        <w:t xml:space="preserve"> </w:t>
      </w:r>
      <w:r w:rsidR="00427F26" w:rsidRPr="00EC6D33">
        <w:rPr>
          <w:rFonts w:ascii="Arial" w:hAnsi="Arial" w:cs="Arial"/>
          <w:sz w:val="23"/>
          <w:szCs w:val="23"/>
        </w:rPr>
        <w:t xml:space="preserve">as well as </w:t>
      </w:r>
      <w:r w:rsidR="00B15AAD" w:rsidRPr="00EC6D33">
        <w:rPr>
          <w:rFonts w:ascii="Arial" w:hAnsi="Arial" w:cs="Arial"/>
          <w:sz w:val="23"/>
          <w:szCs w:val="23"/>
        </w:rPr>
        <w:t xml:space="preserve">the </w:t>
      </w:r>
      <w:r w:rsidRPr="00EC6D33">
        <w:rPr>
          <w:rFonts w:ascii="Arial" w:hAnsi="Arial" w:cs="Arial"/>
          <w:sz w:val="23"/>
          <w:szCs w:val="23"/>
        </w:rPr>
        <w:t xml:space="preserve">removal of barriers to resolution as some of the main advantages </w:t>
      </w:r>
      <w:r w:rsidR="0000798A">
        <w:rPr>
          <w:rFonts w:ascii="Arial" w:hAnsi="Arial" w:cs="Arial"/>
          <w:sz w:val="23"/>
          <w:szCs w:val="23"/>
        </w:rPr>
        <w:t xml:space="preserve">to be </w:t>
      </w:r>
      <w:r w:rsidR="00427F26" w:rsidRPr="00EC6D33">
        <w:rPr>
          <w:rFonts w:ascii="Arial" w:hAnsi="Arial" w:cs="Arial"/>
          <w:sz w:val="23"/>
          <w:szCs w:val="23"/>
        </w:rPr>
        <w:t xml:space="preserve">brought about by the </w:t>
      </w:r>
      <w:r w:rsidR="00C66B17" w:rsidRPr="00EC6D33">
        <w:rPr>
          <w:rFonts w:ascii="Arial" w:hAnsi="Arial" w:cs="Arial"/>
          <w:sz w:val="23"/>
          <w:szCs w:val="23"/>
        </w:rPr>
        <w:t xml:space="preserve">Standard. </w:t>
      </w:r>
    </w:p>
    <w:p w14:paraId="4D08A2E3" w14:textId="21D6EC64" w:rsidR="00352E2C" w:rsidRPr="00EC6D33" w:rsidRDefault="00427F26" w:rsidP="00FB1EAA">
      <w:pPr>
        <w:pStyle w:val="ListParagraph"/>
        <w:numPr>
          <w:ilvl w:val="2"/>
          <w:numId w:val="14"/>
        </w:numPr>
        <w:spacing w:after="200" w:line="360" w:lineRule="auto"/>
        <w:ind w:left="1134" w:hanging="567"/>
        <w:jc w:val="both"/>
        <w:rPr>
          <w:rFonts w:ascii="Arial" w:hAnsi="Arial" w:cs="Arial"/>
          <w:bCs/>
          <w:i/>
          <w:iCs/>
          <w:color w:val="000000"/>
          <w:sz w:val="23"/>
          <w:szCs w:val="23"/>
        </w:rPr>
      </w:pPr>
      <w:r w:rsidRPr="00EC6D33">
        <w:rPr>
          <w:rFonts w:ascii="Arial" w:hAnsi="Arial" w:cs="Arial"/>
          <w:sz w:val="23"/>
          <w:szCs w:val="23"/>
        </w:rPr>
        <w:t>Responde</w:t>
      </w:r>
      <w:r w:rsidR="00E21A94" w:rsidRPr="00EC6D33">
        <w:rPr>
          <w:rFonts w:ascii="Arial" w:hAnsi="Arial" w:cs="Arial"/>
          <w:sz w:val="23"/>
          <w:szCs w:val="23"/>
        </w:rPr>
        <w:t>nts</w:t>
      </w:r>
      <w:r w:rsidRPr="00EC6D33">
        <w:rPr>
          <w:rFonts w:ascii="Arial" w:hAnsi="Arial" w:cs="Arial"/>
          <w:sz w:val="23"/>
          <w:szCs w:val="23"/>
        </w:rPr>
        <w:t xml:space="preserve"> cautioned </w:t>
      </w:r>
      <w:r w:rsidR="00EA5558" w:rsidRPr="00EC6D33">
        <w:rPr>
          <w:rFonts w:ascii="Arial" w:hAnsi="Arial" w:cs="Arial"/>
          <w:sz w:val="23"/>
          <w:szCs w:val="23"/>
        </w:rPr>
        <w:t xml:space="preserve">that, the </w:t>
      </w:r>
      <w:r w:rsidR="00C66B17" w:rsidRPr="00EC6D33">
        <w:rPr>
          <w:rFonts w:ascii="Arial" w:hAnsi="Arial" w:cs="Arial"/>
          <w:sz w:val="23"/>
          <w:szCs w:val="23"/>
        </w:rPr>
        <w:t xml:space="preserve">failure to afford Global Master Securities Lending Agreements </w:t>
      </w:r>
      <w:r w:rsidR="00104C1C" w:rsidRPr="00EC6D33">
        <w:rPr>
          <w:rFonts w:ascii="Arial" w:hAnsi="Arial" w:cs="Arial"/>
          <w:sz w:val="23"/>
          <w:szCs w:val="23"/>
        </w:rPr>
        <w:t xml:space="preserve">(GMSLA) </w:t>
      </w:r>
      <w:r w:rsidR="00C66B17" w:rsidRPr="00EC6D33">
        <w:rPr>
          <w:rFonts w:ascii="Arial" w:hAnsi="Arial" w:cs="Arial"/>
          <w:sz w:val="23"/>
          <w:szCs w:val="23"/>
        </w:rPr>
        <w:t xml:space="preserve">and Global Master Repurchase Agreements </w:t>
      </w:r>
      <w:r w:rsidR="00104C1C" w:rsidRPr="00EC6D33">
        <w:rPr>
          <w:rFonts w:ascii="Arial" w:hAnsi="Arial" w:cs="Arial"/>
          <w:sz w:val="23"/>
          <w:szCs w:val="23"/>
        </w:rPr>
        <w:t xml:space="preserve">(GMRA) </w:t>
      </w:r>
      <w:r w:rsidR="0000798A">
        <w:rPr>
          <w:rFonts w:ascii="Arial" w:hAnsi="Arial" w:cs="Arial"/>
          <w:sz w:val="23"/>
          <w:szCs w:val="23"/>
        </w:rPr>
        <w:t xml:space="preserve">a </w:t>
      </w:r>
      <w:r w:rsidR="00C66B17" w:rsidRPr="00EC6D33">
        <w:rPr>
          <w:rFonts w:ascii="Arial" w:hAnsi="Arial" w:cs="Arial"/>
          <w:sz w:val="23"/>
          <w:szCs w:val="23"/>
        </w:rPr>
        <w:t xml:space="preserve">similar status </w:t>
      </w:r>
      <w:r w:rsidR="0000798A">
        <w:rPr>
          <w:rFonts w:ascii="Arial" w:hAnsi="Arial" w:cs="Arial"/>
          <w:sz w:val="23"/>
          <w:szCs w:val="23"/>
        </w:rPr>
        <w:t xml:space="preserve">in resolution </w:t>
      </w:r>
      <w:r w:rsidR="00C66B17" w:rsidRPr="00EC6D33">
        <w:rPr>
          <w:rFonts w:ascii="Arial" w:hAnsi="Arial" w:cs="Arial"/>
          <w:sz w:val="23"/>
          <w:szCs w:val="23"/>
        </w:rPr>
        <w:t>as</w:t>
      </w:r>
      <w:r w:rsidR="00B15AAD" w:rsidRPr="00EC6D33">
        <w:rPr>
          <w:rFonts w:ascii="Arial" w:hAnsi="Arial" w:cs="Arial"/>
          <w:sz w:val="23"/>
          <w:szCs w:val="23"/>
        </w:rPr>
        <w:t xml:space="preserve"> that</w:t>
      </w:r>
      <w:r w:rsidR="00932DE3" w:rsidRPr="00EC6D33">
        <w:rPr>
          <w:rFonts w:ascii="Arial" w:hAnsi="Arial" w:cs="Arial"/>
          <w:sz w:val="23"/>
          <w:szCs w:val="23"/>
        </w:rPr>
        <w:t xml:space="preserve"> </w:t>
      </w:r>
      <w:r w:rsidR="008E1A4B">
        <w:rPr>
          <w:rFonts w:ascii="Arial" w:hAnsi="Arial" w:cs="Arial"/>
          <w:sz w:val="23"/>
          <w:szCs w:val="23"/>
        </w:rPr>
        <w:t>afforded to</w:t>
      </w:r>
      <w:r w:rsidR="00C66B17" w:rsidRPr="00EC6D33">
        <w:rPr>
          <w:rFonts w:ascii="Arial" w:hAnsi="Arial" w:cs="Arial"/>
          <w:sz w:val="23"/>
          <w:szCs w:val="23"/>
        </w:rPr>
        <w:t xml:space="preserve"> derivative instruments in the </w:t>
      </w:r>
      <w:r w:rsidR="000E7423" w:rsidRPr="00EC6D33">
        <w:rPr>
          <w:rFonts w:ascii="Arial" w:hAnsi="Arial" w:cs="Arial"/>
          <w:sz w:val="23"/>
          <w:szCs w:val="23"/>
        </w:rPr>
        <w:t>Act and the Standard</w:t>
      </w:r>
      <w:r w:rsidR="00EA5558" w:rsidRPr="00EC6D33">
        <w:rPr>
          <w:rFonts w:ascii="Arial" w:hAnsi="Arial" w:cs="Arial"/>
          <w:sz w:val="23"/>
          <w:szCs w:val="23"/>
        </w:rPr>
        <w:t xml:space="preserve"> may </w:t>
      </w:r>
      <w:r w:rsidR="000B4D4A" w:rsidRPr="00EC6D33">
        <w:rPr>
          <w:rFonts w:ascii="Arial" w:hAnsi="Arial" w:cs="Arial"/>
          <w:bCs/>
          <w:sz w:val="23"/>
          <w:szCs w:val="23"/>
          <w:lang w:val="en-ZA"/>
        </w:rPr>
        <w:t xml:space="preserve">create uncertainty in the market which in turn may result in international counterparties to these agreements being reluctant to </w:t>
      </w:r>
      <w:r w:rsidR="00FD34B8" w:rsidRPr="00EC6D33">
        <w:rPr>
          <w:rFonts w:ascii="Arial" w:hAnsi="Arial" w:cs="Arial"/>
          <w:bCs/>
          <w:sz w:val="23"/>
          <w:szCs w:val="23"/>
          <w:lang w:val="en-ZA"/>
        </w:rPr>
        <w:t>transact with</w:t>
      </w:r>
      <w:r w:rsidR="000B4D4A" w:rsidRPr="00EC6D33">
        <w:rPr>
          <w:rFonts w:ascii="Arial" w:hAnsi="Arial" w:cs="Arial"/>
          <w:bCs/>
          <w:sz w:val="23"/>
          <w:szCs w:val="23"/>
          <w:lang w:val="en-ZA"/>
        </w:rPr>
        <w:t xml:space="preserve"> South Africa counterparties</w:t>
      </w:r>
      <w:r w:rsidR="003F1D41" w:rsidRPr="00EC6D33">
        <w:rPr>
          <w:rFonts w:ascii="Arial" w:hAnsi="Arial" w:cs="Arial"/>
          <w:sz w:val="23"/>
          <w:szCs w:val="23"/>
        </w:rPr>
        <w:t xml:space="preserve">. </w:t>
      </w:r>
      <w:r w:rsidR="00FD34B8" w:rsidRPr="00EC6D33">
        <w:rPr>
          <w:rFonts w:ascii="Arial" w:hAnsi="Arial" w:cs="Arial"/>
          <w:sz w:val="23"/>
          <w:szCs w:val="23"/>
        </w:rPr>
        <w:t xml:space="preserve">The Reserve Bank and the National treasury </w:t>
      </w:r>
      <w:r w:rsidR="00F47DC4" w:rsidRPr="00EC6D33">
        <w:rPr>
          <w:rFonts w:ascii="Arial" w:hAnsi="Arial" w:cs="Arial"/>
          <w:sz w:val="23"/>
          <w:szCs w:val="23"/>
        </w:rPr>
        <w:t>initiated focused engagements with the relevant industry participants</w:t>
      </w:r>
      <w:r w:rsidR="00805380" w:rsidRPr="00EC6D33">
        <w:rPr>
          <w:rFonts w:ascii="Arial" w:hAnsi="Arial" w:cs="Arial"/>
          <w:sz w:val="23"/>
          <w:szCs w:val="23"/>
        </w:rPr>
        <w:t xml:space="preserve"> </w:t>
      </w:r>
      <w:r w:rsidR="00984A95" w:rsidRPr="00EC6D33">
        <w:rPr>
          <w:rFonts w:ascii="Arial" w:hAnsi="Arial" w:cs="Arial"/>
          <w:sz w:val="23"/>
          <w:szCs w:val="23"/>
        </w:rPr>
        <w:t xml:space="preserve">to </w:t>
      </w:r>
      <w:r w:rsidR="00A74012" w:rsidRPr="00EC6D33">
        <w:rPr>
          <w:rFonts w:ascii="Arial" w:hAnsi="Arial" w:cs="Arial"/>
          <w:sz w:val="23"/>
          <w:szCs w:val="23"/>
        </w:rPr>
        <w:t xml:space="preserve">gain better insights on the issues </w:t>
      </w:r>
      <w:r w:rsidR="00157705" w:rsidRPr="00EC6D33">
        <w:rPr>
          <w:rFonts w:ascii="Arial" w:hAnsi="Arial" w:cs="Arial"/>
          <w:sz w:val="23"/>
          <w:szCs w:val="23"/>
        </w:rPr>
        <w:t xml:space="preserve">raised and </w:t>
      </w:r>
      <w:r w:rsidR="004B625F" w:rsidRPr="00EC6D33">
        <w:rPr>
          <w:rFonts w:ascii="Arial" w:hAnsi="Arial" w:cs="Arial"/>
          <w:sz w:val="23"/>
          <w:szCs w:val="23"/>
        </w:rPr>
        <w:t xml:space="preserve">to </w:t>
      </w:r>
      <w:r w:rsidR="00984A95" w:rsidRPr="00EC6D33">
        <w:rPr>
          <w:rFonts w:ascii="Arial" w:hAnsi="Arial" w:cs="Arial"/>
          <w:sz w:val="23"/>
          <w:szCs w:val="23"/>
        </w:rPr>
        <w:t xml:space="preserve">explore </w:t>
      </w:r>
      <w:r w:rsidR="005A431A" w:rsidRPr="00EC6D33">
        <w:rPr>
          <w:rFonts w:ascii="Arial" w:hAnsi="Arial" w:cs="Arial"/>
          <w:sz w:val="23"/>
          <w:szCs w:val="23"/>
        </w:rPr>
        <w:t xml:space="preserve">and agree on </w:t>
      </w:r>
      <w:r w:rsidR="00984A95" w:rsidRPr="00EC6D33">
        <w:rPr>
          <w:rFonts w:ascii="Arial" w:hAnsi="Arial" w:cs="Arial"/>
          <w:sz w:val="23"/>
          <w:szCs w:val="23"/>
        </w:rPr>
        <w:t xml:space="preserve">viable </w:t>
      </w:r>
      <w:r w:rsidR="002779F8" w:rsidRPr="00EC6D33">
        <w:rPr>
          <w:rFonts w:ascii="Arial" w:hAnsi="Arial" w:cs="Arial"/>
          <w:sz w:val="23"/>
          <w:szCs w:val="23"/>
        </w:rPr>
        <w:t xml:space="preserve">avenues </w:t>
      </w:r>
      <w:r w:rsidR="00157705" w:rsidRPr="00EC6D33">
        <w:rPr>
          <w:rFonts w:ascii="Arial" w:hAnsi="Arial" w:cs="Arial"/>
          <w:sz w:val="23"/>
          <w:szCs w:val="23"/>
        </w:rPr>
        <w:t xml:space="preserve">to resolve </w:t>
      </w:r>
      <w:r w:rsidR="004B625F" w:rsidRPr="00EC6D33">
        <w:rPr>
          <w:rFonts w:ascii="Arial" w:hAnsi="Arial" w:cs="Arial"/>
          <w:sz w:val="23"/>
          <w:szCs w:val="23"/>
        </w:rPr>
        <w:t>these</w:t>
      </w:r>
      <w:r w:rsidR="00157705" w:rsidRPr="00EC6D33">
        <w:rPr>
          <w:rFonts w:ascii="Arial" w:hAnsi="Arial" w:cs="Arial"/>
          <w:sz w:val="23"/>
          <w:szCs w:val="23"/>
        </w:rPr>
        <w:t xml:space="preserve"> issues</w:t>
      </w:r>
      <w:r w:rsidR="00A74012" w:rsidRPr="00EC6D33">
        <w:rPr>
          <w:rFonts w:ascii="Arial" w:hAnsi="Arial" w:cs="Arial"/>
          <w:sz w:val="23"/>
          <w:szCs w:val="23"/>
        </w:rPr>
        <w:t xml:space="preserve">. </w:t>
      </w:r>
    </w:p>
    <w:p w14:paraId="5974749B" w14:textId="7C6533FC" w:rsidR="00B7094C" w:rsidRPr="00EC6D33" w:rsidRDefault="00352E2C" w:rsidP="00FB1EAA">
      <w:pPr>
        <w:pStyle w:val="ListParagraph"/>
        <w:numPr>
          <w:ilvl w:val="2"/>
          <w:numId w:val="14"/>
        </w:numPr>
        <w:spacing w:after="200" w:line="360" w:lineRule="auto"/>
        <w:ind w:left="1134" w:hanging="567"/>
        <w:jc w:val="both"/>
        <w:rPr>
          <w:rFonts w:ascii="Arial" w:hAnsi="Arial" w:cs="Arial"/>
          <w:bCs/>
          <w:color w:val="000000"/>
          <w:sz w:val="23"/>
          <w:szCs w:val="23"/>
        </w:rPr>
      </w:pPr>
      <w:r w:rsidRPr="00EC6D33">
        <w:rPr>
          <w:rFonts w:ascii="Arial" w:hAnsi="Arial" w:cs="Arial"/>
          <w:sz w:val="23"/>
          <w:szCs w:val="23"/>
        </w:rPr>
        <w:t xml:space="preserve">Generally, </w:t>
      </w:r>
      <w:r w:rsidR="005B4C90" w:rsidRPr="00EC6D33">
        <w:rPr>
          <w:rFonts w:ascii="Arial" w:hAnsi="Arial" w:cs="Arial"/>
          <w:bCs/>
          <w:color w:val="000000"/>
          <w:sz w:val="23"/>
          <w:szCs w:val="23"/>
        </w:rPr>
        <w:t xml:space="preserve">respondents indicated </w:t>
      </w:r>
      <w:r w:rsidR="00853A29" w:rsidRPr="00EC6D33">
        <w:rPr>
          <w:rFonts w:ascii="Arial" w:hAnsi="Arial" w:cs="Arial"/>
          <w:bCs/>
          <w:color w:val="000000"/>
          <w:sz w:val="23"/>
          <w:szCs w:val="23"/>
        </w:rPr>
        <w:t xml:space="preserve">that </w:t>
      </w:r>
      <w:r w:rsidR="0027416A" w:rsidRPr="00EC6D33">
        <w:rPr>
          <w:rFonts w:ascii="Arial" w:hAnsi="Arial" w:cs="Arial"/>
          <w:bCs/>
          <w:color w:val="000000"/>
          <w:sz w:val="23"/>
          <w:szCs w:val="23"/>
        </w:rPr>
        <w:t xml:space="preserve">while </w:t>
      </w:r>
      <w:r w:rsidR="00CE06C3" w:rsidRPr="00EC6D33">
        <w:rPr>
          <w:rFonts w:ascii="Arial" w:hAnsi="Arial" w:cs="Arial"/>
          <w:bCs/>
          <w:color w:val="000000"/>
          <w:sz w:val="23"/>
          <w:szCs w:val="23"/>
        </w:rPr>
        <w:t xml:space="preserve">they </w:t>
      </w:r>
      <w:r w:rsidR="009B4B01" w:rsidRPr="00EC6D33">
        <w:rPr>
          <w:rFonts w:ascii="Arial" w:hAnsi="Arial" w:cs="Arial"/>
          <w:bCs/>
          <w:color w:val="000000"/>
          <w:sz w:val="23"/>
          <w:szCs w:val="23"/>
        </w:rPr>
        <w:t xml:space="preserve">did not </w:t>
      </w:r>
      <w:r w:rsidR="00CE06C3" w:rsidRPr="00EC6D33">
        <w:rPr>
          <w:rFonts w:ascii="Arial" w:hAnsi="Arial" w:cs="Arial"/>
          <w:bCs/>
          <w:color w:val="000000"/>
          <w:sz w:val="23"/>
          <w:szCs w:val="23"/>
        </w:rPr>
        <w:t>fores</w:t>
      </w:r>
      <w:r w:rsidR="00C61C59" w:rsidRPr="00EC6D33">
        <w:rPr>
          <w:rFonts w:ascii="Arial" w:hAnsi="Arial" w:cs="Arial"/>
          <w:bCs/>
          <w:color w:val="000000"/>
          <w:sz w:val="23"/>
          <w:szCs w:val="23"/>
        </w:rPr>
        <w:t>ee any material</w:t>
      </w:r>
      <w:r w:rsidR="00663CFC" w:rsidRPr="00EC6D33">
        <w:rPr>
          <w:rFonts w:ascii="Arial" w:hAnsi="Arial" w:cs="Arial"/>
          <w:bCs/>
          <w:color w:val="000000"/>
          <w:sz w:val="23"/>
          <w:szCs w:val="23"/>
        </w:rPr>
        <w:t xml:space="preserve"> challenges </w:t>
      </w:r>
      <w:r w:rsidR="00C61C59" w:rsidRPr="00EC6D33">
        <w:rPr>
          <w:rFonts w:ascii="Arial" w:hAnsi="Arial" w:cs="Arial"/>
          <w:bCs/>
          <w:color w:val="000000"/>
          <w:sz w:val="23"/>
          <w:szCs w:val="23"/>
        </w:rPr>
        <w:t>in complying with the Standard</w:t>
      </w:r>
      <w:r w:rsidR="005F1F5B" w:rsidRPr="00EC6D33">
        <w:rPr>
          <w:rFonts w:ascii="Arial" w:hAnsi="Arial" w:cs="Arial"/>
          <w:bCs/>
          <w:color w:val="000000"/>
          <w:sz w:val="23"/>
          <w:szCs w:val="23"/>
        </w:rPr>
        <w:t xml:space="preserve">, </w:t>
      </w:r>
      <w:r w:rsidR="005B4C90" w:rsidRPr="00EC6D33">
        <w:rPr>
          <w:rFonts w:ascii="Arial" w:hAnsi="Arial" w:cs="Arial"/>
          <w:bCs/>
          <w:color w:val="000000"/>
          <w:sz w:val="23"/>
          <w:szCs w:val="23"/>
        </w:rPr>
        <w:t xml:space="preserve">implementation </w:t>
      </w:r>
      <w:r w:rsidR="005F1F5B" w:rsidRPr="00EC6D33">
        <w:rPr>
          <w:rFonts w:ascii="Arial" w:hAnsi="Arial" w:cs="Arial"/>
          <w:bCs/>
          <w:color w:val="000000"/>
          <w:sz w:val="23"/>
          <w:szCs w:val="23"/>
        </w:rPr>
        <w:t xml:space="preserve">complexities </w:t>
      </w:r>
      <w:r w:rsidR="008E1A4B">
        <w:rPr>
          <w:rFonts w:ascii="Arial" w:hAnsi="Arial" w:cs="Arial"/>
          <w:bCs/>
          <w:color w:val="000000"/>
          <w:sz w:val="23"/>
          <w:szCs w:val="23"/>
        </w:rPr>
        <w:t>may</w:t>
      </w:r>
      <w:r w:rsidR="005F1F5B" w:rsidRPr="00EC6D33">
        <w:rPr>
          <w:rFonts w:ascii="Arial" w:hAnsi="Arial" w:cs="Arial"/>
          <w:bCs/>
          <w:color w:val="000000"/>
          <w:sz w:val="23"/>
          <w:szCs w:val="23"/>
        </w:rPr>
        <w:t xml:space="preserve"> vary depending on the structure and size of </w:t>
      </w:r>
      <w:r w:rsidR="00A73081" w:rsidRPr="00EC6D33">
        <w:rPr>
          <w:rFonts w:ascii="Arial" w:hAnsi="Arial" w:cs="Arial"/>
          <w:bCs/>
          <w:color w:val="000000"/>
          <w:sz w:val="23"/>
          <w:szCs w:val="23"/>
        </w:rPr>
        <w:t xml:space="preserve">designated institutions as well as </w:t>
      </w:r>
      <w:r w:rsidR="00F803EC" w:rsidRPr="00EC6D33">
        <w:rPr>
          <w:rFonts w:ascii="Arial" w:hAnsi="Arial" w:cs="Arial"/>
          <w:bCs/>
          <w:color w:val="000000"/>
          <w:sz w:val="23"/>
          <w:szCs w:val="23"/>
        </w:rPr>
        <w:t xml:space="preserve">the applicability of the Standard to </w:t>
      </w:r>
      <w:r w:rsidR="00A3077D" w:rsidRPr="00EC6D33">
        <w:rPr>
          <w:rFonts w:ascii="Arial" w:hAnsi="Arial" w:cs="Arial"/>
          <w:bCs/>
          <w:color w:val="000000"/>
          <w:sz w:val="23"/>
          <w:szCs w:val="23"/>
        </w:rPr>
        <w:t>a particular designated institution’s group entities.</w:t>
      </w:r>
      <w:r w:rsidR="00A73081" w:rsidRPr="00EC6D33">
        <w:rPr>
          <w:rFonts w:ascii="Arial" w:hAnsi="Arial" w:cs="Arial"/>
          <w:bCs/>
          <w:color w:val="000000"/>
          <w:sz w:val="23"/>
          <w:szCs w:val="23"/>
        </w:rPr>
        <w:t xml:space="preserve"> </w:t>
      </w:r>
      <w:r w:rsidR="00A3077D" w:rsidRPr="00EC6D33">
        <w:rPr>
          <w:rFonts w:ascii="Arial" w:hAnsi="Arial" w:cs="Arial"/>
          <w:bCs/>
          <w:color w:val="000000"/>
          <w:sz w:val="23"/>
          <w:szCs w:val="23"/>
        </w:rPr>
        <w:t xml:space="preserve">Respondents further </w:t>
      </w:r>
      <w:r w:rsidR="002D1724" w:rsidRPr="00EC6D33">
        <w:rPr>
          <w:rFonts w:ascii="Arial" w:hAnsi="Arial" w:cs="Arial"/>
          <w:bCs/>
          <w:color w:val="000000"/>
          <w:sz w:val="23"/>
          <w:szCs w:val="23"/>
        </w:rPr>
        <w:t xml:space="preserve">indicated </w:t>
      </w:r>
      <w:r w:rsidR="00223BF0" w:rsidRPr="00EC6D33">
        <w:rPr>
          <w:rFonts w:ascii="Arial" w:hAnsi="Arial" w:cs="Arial"/>
          <w:bCs/>
          <w:color w:val="000000"/>
          <w:sz w:val="23"/>
          <w:szCs w:val="23"/>
        </w:rPr>
        <w:t>that designated institutions that have been designated as financial conglomerates</w:t>
      </w:r>
      <w:r w:rsidR="00B03CD0" w:rsidRPr="00EC6D33">
        <w:rPr>
          <w:rFonts w:ascii="Arial" w:hAnsi="Arial" w:cs="Arial"/>
          <w:bCs/>
          <w:color w:val="000000"/>
          <w:sz w:val="23"/>
          <w:szCs w:val="23"/>
        </w:rPr>
        <w:t xml:space="preserve"> </w:t>
      </w:r>
      <w:r w:rsidR="00AF337A" w:rsidRPr="00EC6D33">
        <w:rPr>
          <w:rFonts w:ascii="Arial" w:hAnsi="Arial" w:cs="Arial"/>
          <w:bCs/>
          <w:color w:val="000000"/>
          <w:sz w:val="23"/>
          <w:szCs w:val="23"/>
        </w:rPr>
        <w:t>would</w:t>
      </w:r>
      <w:r w:rsidR="00B03CD0" w:rsidRPr="00EC6D33">
        <w:rPr>
          <w:rFonts w:ascii="Arial" w:hAnsi="Arial" w:cs="Arial"/>
          <w:bCs/>
          <w:color w:val="000000"/>
          <w:sz w:val="23"/>
          <w:szCs w:val="23"/>
        </w:rPr>
        <w:t xml:space="preserve"> need </w:t>
      </w:r>
      <w:r w:rsidR="00596342" w:rsidRPr="00EC6D33">
        <w:rPr>
          <w:rFonts w:ascii="Arial" w:hAnsi="Arial" w:cs="Arial"/>
          <w:bCs/>
          <w:color w:val="000000"/>
          <w:sz w:val="23"/>
          <w:szCs w:val="23"/>
        </w:rPr>
        <w:t xml:space="preserve">more time to </w:t>
      </w:r>
      <w:r w:rsidR="00223BF0" w:rsidRPr="00EC6D33">
        <w:rPr>
          <w:rFonts w:ascii="Arial" w:hAnsi="Arial" w:cs="Arial"/>
          <w:bCs/>
          <w:color w:val="000000"/>
          <w:sz w:val="23"/>
          <w:szCs w:val="23"/>
        </w:rPr>
        <w:t>adopt</w:t>
      </w:r>
      <w:r w:rsidR="00596342" w:rsidRPr="00EC6D33">
        <w:rPr>
          <w:rFonts w:ascii="Arial" w:hAnsi="Arial" w:cs="Arial"/>
          <w:bCs/>
          <w:color w:val="000000"/>
          <w:sz w:val="23"/>
          <w:szCs w:val="23"/>
        </w:rPr>
        <w:t xml:space="preserve"> and ensure compliance with the Standard</w:t>
      </w:r>
      <w:r w:rsidR="00AF337A" w:rsidRPr="00EC6D33">
        <w:rPr>
          <w:rFonts w:ascii="Arial" w:hAnsi="Arial" w:cs="Arial"/>
          <w:bCs/>
          <w:color w:val="000000"/>
          <w:sz w:val="23"/>
          <w:szCs w:val="23"/>
        </w:rPr>
        <w:t xml:space="preserve">. </w:t>
      </w:r>
    </w:p>
    <w:p w14:paraId="3B790029" w14:textId="735BBB81" w:rsidR="00B87920" w:rsidRPr="00EC6D33" w:rsidRDefault="001A55B0" w:rsidP="00FB1EAA">
      <w:pPr>
        <w:pStyle w:val="ListParagraph"/>
        <w:numPr>
          <w:ilvl w:val="2"/>
          <w:numId w:val="14"/>
        </w:numPr>
        <w:spacing w:after="200" w:line="360" w:lineRule="auto"/>
        <w:ind w:left="1134" w:hanging="567"/>
        <w:jc w:val="both"/>
        <w:rPr>
          <w:rFonts w:ascii="Arial" w:hAnsi="Arial" w:cs="Arial"/>
          <w:sz w:val="23"/>
          <w:szCs w:val="23"/>
          <w:lang w:val="en-ZA"/>
        </w:rPr>
      </w:pPr>
      <w:r w:rsidRPr="00EC6D33">
        <w:rPr>
          <w:rFonts w:ascii="Arial" w:hAnsi="Arial" w:cs="Arial"/>
          <w:sz w:val="23"/>
          <w:szCs w:val="23"/>
          <w:lang w:val="en-ZA"/>
        </w:rPr>
        <w:t>R</w:t>
      </w:r>
      <w:r w:rsidR="00663CFC" w:rsidRPr="00EC6D33">
        <w:rPr>
          <w:rFonts w:ascii="Arial" w:hAnsi="Arial" w:cs="Arial"/>
          <w:sz w:val="23"/>
          <w:szCs w:val="23"/>
          <w:lang w:val="en-ZA"/>
        </w:rPr>
        <w:t xml:space="preserve">espondents anticipate that </w:t>
      </w:r>
      <w:r w:rsidRPr="00EC6D33">
        <w:rPr>
          <w:rFonts w:ascii="Arial" w:hAnsi="Arial" w:cs="Arial"/>
          <w:sz w:val="23"/>
          <w:szCs w:val="23"/>
          <w:lang w:val="en-ZA"/>
        </w:rPr>
        <w:t xml:space="preserve">compliance with the </w:t>
      </w:r>
      <w:r w:rsidR="00663CFC" w:rsidRPr="00EC6D33">
        <w:rPr>
          <w:rFonts w:ascii="Arial" w:hAnsi="Arial" w:cs="Arial"/>
          <w:sz w:val="23"/>
          <w:szCs w:val="23"/>
          <w:lang w:val="en-ZA"/>
        </w:rPr>
        <w:t xml:space="preserve">Standard will impose additional </w:t>
      </w:r>
      <w:r w:rsidR="00B87920" w:rsidRPr="00EC6D33">
        <w:rPr>
          <w:rFonts w:ascii="Arial" w:hAnsi="Arial" w:cs="Arial"/>
          <w:sz w:val="23"/>
          <w:szCs w:val="23"/>
          <w:lang w:val="en-ZA"/>
        </w:rPr>
        <w:t>costs</w:t>
      </w:r>
      <w:r w:rsidRPr="00EC6D33">
        <w:rPr>
          <w:rFonts w:ascii="Arial" w:hAnsi="Arial" w:cs="Arial"/>
          <w:sz w:val="23"/>
          <w:szCs w:val="23"/>
          <w:lang w:val="en-ZA"/>
        </w:rPr>
        <w:t>, particularly</w:t>
      </w:r>
      <w:r w:rsidR="00B87920" w:rsidRPr="00EC6D33">
        <w:rPr>
          <w:rFonts w:ascii="Arial" w:hAnsi="Arial" w:cs="Arial"/>
          <w:sz w:val="23"/>
          <w:szCs w:val="23"/>
          <w:lang w:val="en-ZA"/>
        </w:rPr>
        <w:t xml:space="preserve"> in relation to </w:t>
      </w:r>
      <w:r w:rsidR="00663CFC" w:rsidRPr="00EC6D33">
        <w:rPr>
          <w:rFonts w:ascii="Arial" w:hAnsi="Arial" w:cs="Arial"/>
          <w:sz w:val="23"/>
          <w:szCs w:val="23"/>
          <w:lang w:val="en-ZA"/>
        </w:rPr>
        <w:t>legal</w:t>
      </w:r>
      <w:r w:rsidR="00FD35EA" w:rsidRPr="00EC6D33">
        <w:rPr>
          <w:rFonts w:ascii="Arial" w:hAnsi="Arial" w:cs="Arial"/>
          <w:sz w:val="23"/>
          <w:szCs w:val="23"/>
          <w:lang w:val="en-ZA"/>
        </w:rPr>
        <w:t xml:space="preserve"> costs</w:t>
      </w:r>
      <w:r w:rsidR="00B87920" w:rsidRPr="00EC6D33">
        <w:rPr>
          <w:rFonts w:ascii="Arial" w:hAnsi="Arial" w:cs="Arial"/>
          <w:sz w:val="23"/>
          <w:szCs w:val="23"/>
          <w:lang w:val="en-ZA"/>
        </w:rPr>
        <w:t>, systems</w:t>
      </w:r>
      <w:r w:rsidR="00FD35EA" w:rsidRPr="00EC6D33">
        <w:rPr>
          <w:rFonts w:ascii="Arial" w:hAnsi="Arial" w:cs="Arial"/>
          <w:sz w:val="23"/>
          <w:szCs w:val="23"/>
          <w:lang w:val="en-ZA"/>
        </w:rPr>
        <w:t xml:space="preserve"> costs</w:t>
      </w:r>
      <w:r w:rsidR="00B87920" w:rsidRPr="00EC6D33">
        <w:rPr>
          <w:rFonts w:ascii="Arial" w:hAnsi="Arial" w:cs="Arial"/>
          <w:sz w:val="23"/>
          <w:szCs w:val="23"/>
          <w:lang w:val="en-ZA"/>
        </w:rPr>
        <w:t xml:space="preserve"> as well as </w:t>
      </w:r>
      <w:r w:rsidR="00FD35EA" w:rsidRPr="00EC6D33">
        <w:rPr>
          <w:rFonts w:ascii="Arial" w:hAnsi="Arial" w:cs="Arial"/>
          <w:sz w:val="23"/>
          <w:szCs w:val="23"/>
          <w:lang w:val="en-ZA"/>
        </w:rPr>
        <w:t xml:space="preserve">costs to implement </w:t>
      </w:r>
      <w:r w:rsidR="00B87920" w:rsidRPr="00EC6D33">
        <w:rPr>
          <w:rFonts w:ascii="Arial" w:hAnsi="Arial" w:cs="Arial"/>
          <w:sz w:val="23"/>
          <w:szCs w:val="23"/>
          <w:lang w:val="en-ZA"/>
        </w:rPr>
        <w:t>changes to processes.</w:t>
      </w:r>
      <w:r w:rsidR="00663CFC" w:rsidRPr="00EC6D33">
        <w:rPr>
          <w:rFonts w:ascii="Arial" w:hAnsi="Arial" w:cs="Arial"/>
          <w:sz w:val="23"/>
          <w:szCs w:val="23"/>
          <w:lang w:val="en-ZA"/>
        </w:rPr>
        <w:t xml:space="preserve"> </w:t>
      </w:r>
      <w:r w:rsidR="002F3450" w:rsidRPr="00EC6D33">
        <w:rPr>
          <w:rFonts w:ascii="Arial" w:hAnsi="Arial" w:cs="Arial"/>
          <w:sz w:val="23"/>
          <w:szCs w:val="23"/>
          <w:lang w:val="en-ZA"/>
        </w:rPr>
        <w:t xml:space="preserve">However, </w:t>
      </w:r>
      <w:r w:rsidR="00513C4C" w:rsidRPr="00EC6D33">
        <w:rPr>
          <w:rFonts w:ascii="Arial" w:hAnsi="Arial" w:cs="Arial"/>
          <w:sz w:val="23"/>
          <w:szCs w:val="23"/>
          <w:lang w:val="en-ZA"/>
        </w:rPr>
        <w:t>none of the r</w:t>
      </w:r>
      <w:r w:rsidR="00B87920" w:rsidRPr="00EC6D33">
        <w:rPr>
          <w:rFonts w:ascii="Arial" w:hAnsi="Arial" w:cs="Arial"/>
          <w:sz w:val="23"/>
          <w:szCs w:val="23"/>
          <w:lang w:val="en-ZA"/>
        </w:rPr>
        <w:t>espondents provide</w:t>
      </w:r>
      <w:r w:rsidR="00513C4C" w:rsidRPr="00EC6D33">
        <w:rPr>
          <w:rFonts w:ascii="Arial" w:hAnsi="Arial" w:cs="Arial"/>
          <w:sz w:val="23"/>
          <w:szCs w:val="23"/>
          <w:lang w:val="en-ZA"/>
        </w:rPr>
        <w:t>d</w:t>
      </w:r>
      <w:r w:rsidR="00B87920" w:rsidRPr="00EC6D33">
        <w:rPr>
          <w:rFonts w:ascii="Arial" w:hAnsi="Arial" w:cs="Arial"/>
          <w:sz w:val="23"/>
          <w:szCs w:val="23"/>
          <w:lang w:val="en-ZA"/>
        </w:rPr>
        <w:t xml:space="preserve"> quantitative information relating to the anticipated additional costs. </w:t>
      </w:r>
    </w:p>
    <w:p w14:paraId="37694897" w14:textId="26BFD5B7" w:rsidR="00B87920" w:rsidRPr="00EC6D33" w:rsidRDefault="00B87920" w:rsidP="00FB1EAA">
      <w:pPr>
        <w:pStyle w:val="ListParagraph"/>
        <w:numPr>
          <w:ilvl w:val="2"/>
          <w:numId w:val="14"/>
        </w:numPr>
        <w:spacing w:after="200" w:line="360" w:lineRule="auto"/>
        <w:ind w:left="1134" w:hanging="567"/>
        <w:jc w:val="both"/>
        <w:rPr>
          <w:rFonts w:ascii="Arial" w:hAnsi="Arial" w:cs="Arial"/>
          <w:sz w:val="23"/>
          <w:szCs w:val="23"/>
          <w:lang w:val="en-ZA"/>
        </w:rPr>
      </w:pPr>
      <w:bookmarkStart w:id="17" w:name="_Hlk125715686"/>
      <w:r w:rsidRPr="00EC6D33">
        <w:rPr>
          <w:rFonts w:ascii="Arial" w:hAnsi="Arial" w:cs="Arial"/>
          <w:sz w:val="23"/>
          <w:szCs w:val="23"/>
          <w:lang w:val="en-ZA"/>
        </w:rPr>
        <w:t xml:space="preserve">Respondents </w:t>
      </w:r>
      <w:r w:rsidR="00651F99" w:rsidRPr="00EC6D33">
        <w:rPr>
          <w:rFonts w:ascii="Arial" w:hAnsi="Arial" w:cs="Arial"/>
          <w:sz w:val="23"/>
          <w:szCs w:val="23"/>
          <w:lang w:val="en-ZA"/>
        </w:rPr>
        <w:t xml:space="preserve">indicated that the industry would need </w:t>
      </w:r>
      <w:r w:rsidRPr="00EC6D33">
        <w:rPr>
          <w:rFonts w:ascii="Arial" w:hAnsi="Arial" w:cs="Arial"/>
          <w:sz w:val="23"/>
          <w:szCs w:val="23"/>
          <w:lang w:val="en-ZA"/>
        </w:rPr>
        <w:t xml:space="preserve">a minimum </w:t>
      </w:r>
      <w:r w:rsidR="007E7BB7" w:rsidRPr="00EC6D33">
        <w:rPr>
          <w:rFonts w:ascii="Arial" w:hAnsi="Arial" w:cs="Arial"/>
          <w:sz w:val="23"/>
          <w:szCs w:val="23"/>
          <w:lang w:val="en-ZA"/>
        </w:rPr>
        <w:t xml:space="preserve">of 12 months to </w:t>
      </w:r>
      <w:r w:rsidRPr="00EC6D33">
        <w:rPr>
          <w:rFonts w:ascii="Arial" w:hAnsi="Arial" w:cs="Arial"/>
          <w:sz w:val="23"/>
          <w:szCs w:val="23"/>
          <w:lang w:val="en-ZA"/>
        </w:rPr>
        <w:t>implement</w:t>
      </w:r>
      <w:r w:rsidR="007E7BB7" w:rsidRPr="00EC6D33">
        <w:rPr>
          <w:rFonts w:ascii="Arial" w:hAnsi="Arial" w:cs="Arial"/>
          <w:sz w:val="23"/>
          <w:szCs w:val="23"/>
          <w:lang w:val="en-ZA"/>
        </w:rPr>
        <w:t xml:space="preserve"> and comply</w:t>
      </w:r>
      <w:r w:rsidRPr="00EC6D33">
        <w:rPr>
          <w:rFonts w:ascii="Arial" w:hAnsi="Arial" w:cs="Arial"/>
          <w:sz w:val="23"/>
          <w:szCs w:val="23"/>
          <w:lang w:val="en-ZA"/>
        </w:rPr>
        <w:t xml:space="preserve"> with the Standard</w:t>
      </w:r>
      <w:bookmarkEnd w:id="17"/>
      <w:r w:rsidRPr="00EC6D33">
        <w:rPr>
          <w:rFonts w:ascii="Arial" w:hAnsi="Arial" w:cs="Arial"/>
          <w:sz w:val="23"/>
          <w:szCs w:val="23"/>
          <w:lang w:val="en-ZA"/>
        </w:rPr>
        <w:t>.</w:t>
      </w:r>
    </w:p>
    <w:p w14:paraId="54F2E5A8" w14:textId="77777777" w:rsidR="00FB1EAA" w:rsidRPr="00EC6D33" w:rsidRDefault="00374CD7" w:rsidP="00865BD0">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lastRenderedPageBreak/>
        <w:t>In conclusion</w:t>
      </w:r>
      <w:r w:rsidR="0096366D" w:rsidRPr="00EC6D33">
        <w:rPr>
          <w:rFonts w:cs="Arial"/>
          <w:b w:val="0"/>
          <w:bCs w:val="0"/>
        </w:rPr>
        <w:t xml:space="preserve">, based on the qualitative information obtained from the respondents, </w:t>
      </w:r>
      <w:bookmarkStart w:id="18" w:name="_Hlk125715168"/>
      <w:r w:rsidR="0096366D" w:rsidRPr="00EC6D33">
        <w:rPr>
          <w:rFonts w:cs="Arial"/>
          <w:b w:val="0"/>
          <w:bCs w:val="0"/>
        </w:rPr>
        <w:t xml:space="preserve">the Standard is </w:t>
      </w:r>
      <w:r w:rsidR="0096366D" w:rsidRPr="00EC6D33">
        <w:rPr>
          <w:rFonts w:cs="Arial"/>
          <w:b w:val="0"/>
          <w:bCs w:val="0"/>
          <w:lang w:val="en-ZA"/>
        </w:rPr>
        <w:t>mostly in line with the international standards and</w:t>
      </w:r>
      <w:r w:rsidR="003C7D26" w:rsidRPr="00EC6D33">
        <w:rPr>
          <w:rFonts w:cs="Arial"/>
          <w:b w:val="0"/>
          <w:bCs w:val="0"/>
        </w:rPr>
        <w:t xml:space="preserve"> </w:t>
      </w:r>
      <w:r w:rsidR="0058403A" w:rsidRPr="00EC6D33">
        <w:rPr>
          <w:rFonts w:cs="Arial"/>
          <w:b w:val="0"/>
          <w:bCs w:val="0"/>
        </w:rPr>
        <w:t xml:space="preserve">its implementation can reasonably be expected to yield more </w:t>
      </w:r>
      <w:r w:rsidR="003C7D26" w:rsidRPr="00EC6D33">
        <w:rPr>
          <w:rFonts w:cs="Arial"/>
          <w:b w:val="0"/>
          <w:bCs w:val="0"/>
        </w:rPr>
        <w:t xml:space="preserve">advantages </w:t>
      </w:r>
      <w:r w:rsidR="0058403A" w:rsidRPr="00EC6D33">
        <w:rPr>
          <w:rFonts w:cs="Arial"/>
          <w:b w:val="0"/>
          <w:bCs w:val="0"/>
        </w:rPr>
        <w:t xml:space="preserve">than disadvantages for </w:t>
      </w:r>
      <w:r w:rsidR="003C7D26" w:rsidRPr="00EC6D33">
        <w:rPr>
          <w:rFonts w:cs="Arial"/>
          <w:b w:val="0"/>
          <w:bCs w:val="0"/>
        </w:rPr>
        <w:t>the South African market</w:t>
      </w:r>
      <w:r w:rsidR="0058403A" w:rsidRPr="00EC6D33">
        <w:rPr>
          <w:rFonts w:cs="Arial"/>
          <w:b w:val="0"/>
          <w:bCs w:val="0"/>
        </w:rPr>
        <w:t xml:space="preserve">. </w:t>
      </w:r>
    </w:p>
    <w:p w14:paraId="673D669D" w14:textId="646F37B4" w:rsidR="00963707" w:rsidRPr="00EC6D33" w:rsidRDefault="0058403A" w:rsidP="00865BD0">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Furthermore, save for a few concerns that have been addressed in the drafting of </w:t>
      </w:r>
      <w:r w:rsidR="00BA1BE2">
        <w:rPr>
          <w:rFonts w:cs="Arial"/>
          <w:b w:val="0"/>
          <w:bCs w:val="0"/>
        </w:rPr>
        <w:t>the</w:t>
      </w:r>
      <w:r w:rsidRPr="00EC6D33">
        <w:rPr>
          <w:rFonts w:cs="Arial"/>
          <w:b w:val="0"/>
          <w:bCs w:val="0"/>
        </w:rPr>
        <w:t xml:space="preserve"> revised Standard, </w:t>
      </w:r>
      <w:proofErr w:type="gramStart"/>
      <w:r w:rsidR="00FB1EAA" w:rsidRPr="00EC6D33">
        <w:rPr>
          <w:rFonts w:cs="Arial"/>
          <w:b w:val="0"/>
          <w:bCs w:val="0"/>
        </w:rPr>
        <w:t xml:space="preserve">it is clear that </w:t>
      </w:r>
      <w:r w:rsidR="003F1912" w:rsidRPr="00EC6D33">
        <w:rPr>
          <w:rFonts w:cs="Arial"/>
          <w:b w:val="0"/>
          <w:bCs w:val="0"/>
        </w:rPr>
        <w:t>the</w:t>
      </w:r>
      <w:proofErr w:type="gramEnd"/>
      <w:r w:rsidR="003F1912" w:rsidRPr="00EC6D33">
        <w:rPr>
          <w:rFonts w:cs="Arial"/>
          <w:b w:val="0"/>
          <w:bCs w:val="0"/>
        </w:rPr>
        <w:t xml:space="preserve"> requirements making up the Standard would not </w:t>
      </w:r>
      <w:r w:rsidRPr="00EC6D33">
        <w:rPr>
          <w:rFonts w:cs="Arial"/>
          <w:b w:val="0"/>
          <w:bCs w:val="0"/>
        </w:rPr>
        <w:t xml:space="preserve">unduly </w:t>
      </w:r>
      <w:r w:rsidR="003F1912" w:rsidRPr="00EC6D33">
        <w:rPr>
          <w:rFonts w:cs="Arial"/>
          <w:b w:val="0"/>
          <w:bCs w:val="0"/>
        </w:rPr>
        <w:t xml:space="preserve">overburden the industry from </w:t>
      </w:r>
      <w:r w:rsidR="00963707" w:rsidRPr="00EC6D33">
        <w:rPr>
          <w:rFonts w:cs="Arial"/>
          <w:b w:val="0"/>
          <w:bCs w:val="0"/>
        </w:rPr>
        <w:t xml:space="preserve">a </w:t>
      </w:r>
      <w:r w:rsidR="00915B1E" w:rsidRPr="00EC6D33">
        <w:rPr>
          <w:rFonts w:cs="Arial"/>
          <w:b w:val="0"/>
          <w:bCs w:val="0"/>
        </w:rPr>
        <w:t>cost, governance</w:t>
      </w:r>
      <w:r w:rsidR="00963707" w:rsidRPr="00EC6D33">
        <w:rPr>
          <w:rFonts w:cs="Arial"/>
          <w:b w:val="0"/>
          <w:bCs w:val="0"/>
        </w:rPr>
        <w:t xml:space="preserve"> </w:t>
      </w:r>
      <w:r w:rsidR="006D70EE" w:rsidRPr="00EC6D33">
        <w:rPr>
          <w:rFonts w:cs="Arial"/>
          <w:b w:val="0"/>
          <w:bCs w:val="0"/>
        </w:rPr>
        <w:t>as well as</w:t>
      </w:r>
      <w:r w:rsidR="00963707" w:rsidRPr="00EC6D33">
        <w:rPr>
          <w:rFonts w:cs="Arial"/>
          <w:b w:val="0"/>
          <w:bCs w:val="0"/>
        </w:rPr>
        <w:t xml:space="preserve"> control arrangements perspective. </w:t>
      </w:r>
      <w:bookmarkEnd w:id="18"/>
    </w:p>
    <w:p w14:paraId="0EE38F7D" w14:textId="719934CB" w:rsidR="005A2189" w:rsidRPr="00EC6D33" w:rsidRDefault="005A2189" w:rsidP="00865BD0">
      <w:pPr>
        <w:pStyle w:val="Heading2"/>
        <w:numPr>
          <w:ilvl w:val="1"/>
          <w:numId w:val="5"/>
        </w:numPr>
        <w:tabs>
          <w:tab w:val="left" w:pos="567"/>
        </w:tabs>
        <w:spacing w:after="200" w:line="360" w:lineRule="auto"/>
        <w:ind w:left="567" w:hanging="567"/>
        <w:jc w:val="both"/>
        <w:rPr>
          <w:rFonts w:cs="Arial"/>
          <w:b w:val="0"/>
          <w:bCs w:val="0"/>
        </w:rPr>
      </w:pPr>
      <w:bookmarkStart w:id="19" w:name="_Hlk125715842"/>
      <w:r w:rsidRPr="00EC6D33">
        <w:rPr>
          <w:rFonts w:cs="Arial"/>
          <w:b w:val="0"/>
          <w:bCs w:val="0"/>
        </w:rPr>
        <w:t>The Authorit</w:t>
      </w:r>
      <w:r w:rsidR="00004684" w:rsidRPr="00EC6D33">
        <w:rPr>
          <w:rFonts w:cs="Arial"/>
          <w:b w:val="0"/>
          <w:bCs w:val="0"/>
        </w:rPr>
        <w:t>ies</w:t>
      </w:r>
      <w:r w:rsidRPr="00EC6D33">
        <w:rPr>
          <w:rFonts w:cs="Arial"/>
          <w:b w:val="0"/>
          <w:bCs w:val="0"/>
        </w:rPr>
        <w:t xml:space="preserve"> are </w:t>
      </w:r>
      <w:r w:rsidR="00193542" w:rsidRPr="00EC6D33">
        <w:rPr>
          <w:rFonts w:cs="Arial"/>
          <w:b w:val="0"/>
          <w:bCs w:val="0"/>
        </w:rPr>
        <w:t xml:space="preserve">amenable to the proposals received from industry regarding the implementation timeline for the Standard and will ensure that designated institutions are afforded a minimum period of 12 months to ensure compliance with the </w:t>
      </w:r>
      <w:r w:rsidR="00866908" w:rsidRPr="00EC6D33">
        <w:rPr>
          <w:rFonts w:cs="Arial"/>
          <w:b w:val="0"/>
          <w:bCs w:val="0"/>
        </w:rPr>
        <w:t>requirements</w:t>
      </w:r>
      <w:r w:rsidR="00AE2434" w:rsidRPr="00EC6D33">
        <w:rPr>
          <w:rFonts w:cs="Arial"/>
          <w:b w:val="0"/>
          <w:bCs w:val="0"/>
        </w:rPr>
        <w:t xml:space="preserve"> in the Standard</w:t>
      </w:r>
      <w:r w:rsidR="00193542" w:rsidRPr="00EC6D33">
        <w:rPr>
          <w:rFonts w:cs="Arial"/>
          <w:b w:val="0"/>
          <w:bCs w:val="0"/>
        </w:rPr>
        <w:t>.</w:t>
      </w:r>
    </w:p>
    <w:p w14:paraId="6AA3B1B3" w14:textId="5157E736" w:rsidR="00515925" w:rsidRPr="00EC6D33" w:rsidRDefault="00515925" w:rsidP="00865BD0">
      <w:pPr>
        <w:pStyle w:val="Heading2"/>
        <w:numPr>
          <w:ilvl w:val="0"/>
          <w:numId w:val="5"/>
        </w:numPr>
        <w:tabs>
          <w:tab w:val="left" w:pos="567"/>
        </w:tabs>
        <w:spacing w:after="200" w:line="360" w:lineRule="auto"/>
        <w:ind w:left="567" w:hanging="567"/>
        <w:jc w:val="both"/>
        <w:rPr>
          <w:rFonts w:cs="Arial"/>
          <w:spacing w:val="-1"/>
        </w:rPr>
      </w:pPr>
      <w:bookmarkStart w:id="20" w:name="_Toc126830096"/>
      <w:bookmarkEnd w:id="19"/>
      <w:r w:rsidRPr="00EC6D33">
        <w:rPr>
          <w:rFonts w:cs="Arial"/>
          <w:spacing w:val="-1"/>
        </w:rPr>
        <w:t>Conclusion</w:t>
      </w:r>
      <w:bookmarkEnd w:id="15"/>
      <w:bookmarkEnd w:id="20"/>
    </w:p>
    <w:p w14:paraId="1909D2A9" w14:textId="2EFA0FA9" w:rsidR="00374CD7" w:rsidRPr="00EC6D33" w:rsidRDefault="00BB3250" w:rsidP="00865BD0">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 xml:space="preserve">It is an established practice for designated institutions to enter </w:t>
      </w:r>
      <w:r w:rsidR="00AE1BF3" w:rsidRPr="00EC6D33">
        <w:rPr>
          <w:rFonts w:cs="Arial"/>
          <w:b w:val="0"/>
          <w:bCs w:val="0"/>
        </w:rPr>
        <w:t xml:space="preserve">into </w:t>
      </w:r>
      <w:r w:rsidRPr="00EC6D33">
        <w:rPr>
          <w:rFonts w:cs="Arial"/>
          <w:b w:val="0"/>
          <w:bCs w:val="0"/>
        </w:rPr>
        <w:t xml:space="preserve">contracts with foreign counterparties and for such contracts to </w:t>
      </w:r>
      <w:r w:rsidR="00AE1BF3" w:rsidRPr="00EC6D33">
        <w:rPr>
          <w:rFonts w:cs="Arial"/>
          <w:b w:val="0"/>
          <w:bCs w:val="0"/>
        </w:rPr>
        <w:t xml:space="preserve">be </w:t>
      </w:r>
      <w:r w:rsidRPr="00EC6D33">
        <w:rPr>
          <w:rFonts w:cs="Arial"/>
          <w:b w:val="0"/>
          <w:bCs w:val="0"/>
        </w:rPr>
        <w:t xml:space="preserve">regulated in terms of foreign law. The </w:t>
      </w:r>
      <w:r w:rsidR="00144194" w:rsidRPr="00EC6D33">
        <w:rPr>
          <w:rFonts w:cs="Arial"/>
          <w:b w:val="0"/>
          <w:bCs w:val="0"/>
        </w:rPr>
        <w:t>S</w:t>
      </w:r>
      <w:r w:rsidRPr="00EC6D33">
        <w:rPr>
          <w:rFonts w:cs="Arial"/>
          <w:b w:val="0"/>
          <w:bCs w:val="0"/>
        </w:rPr>
        <w:t xml:space="preserve">tandard seeks to ensure that such contracts contain clauses that </w:t>
      </w:r>
      <w:r w:rsidR="00AE1BF3" w:rsidRPr="00EC6D33">
        <w:rPr>
          <w:rFonts w:cs="Arial"/>
          <w:b w:val="0"/>
          <w:bCs w:val="0"/>
        </w:rPr>
        <w:t xml:space="preserve">recognise </w:t>
      </w:r>
      <w:r w:rsidRPr="00EC6D33">
        <w:rPr>
          <w:rFonts w:cs="Arial"/>
          <w:b w:val="0"/>
          <w:bCs w:val="0"/>
        </w:rPr>
        <w:t xml:space="preserve">the </w:t>
      </w:r>
      <w:r w:rsidR="00F439CA" w:rsidRPr="00EC6D33">
        <w:rPr>
          <w:rFonts w:cs="Arial"/>
          <w:b w:val="0"/>
          <w:bCs w:val="0"/>
        </w:rPr>
        <w:t xml:space="preserve">provisions of the </w:t>
      </w:r>
      <w:r w:rsidRPr="00EC6D33">
        <w:rPr>
          <w:rFonts w:cs="Arial"/>
          <w:b w:val="0"/>
          <w:bCs w:val="0"/>
        </w:rPr>
        <w:t>A</w:t>
      </w:r>
      <w:r w:rsidR="004C2C96" w:rsidRPr="00EC6D33">
        <w:rPr>
          <w:rFonts w:cs="Arial"/>
          <w:b w:val="0"/>
          <w:bCs w:val="0"/>
        </w:rPr>
        <w:t>ct</w:t>
      </w:r>
      <w:r w:rsidR="00F439CA" w:rsidRPr="00EC6D33">
        <w:rPr>
          <w:rFonts w:cs="Arial"/>
          <w:b w:val="0"/>
          <w:bCs w:val="0"/>
        </w:rPr>
        <w:t xml:space="preserve">. </w:t>
      </w:r>
    </w:p>
    <w:p w14:paraId="498565B6" w14:textId="064BBD0E" w:rsidR="009E70A9" w:rsidRPr="00EC6D33" w:rsidRDefault="00B353D9" w:rsidP="00865BD0">
      <w:pPr>
        <w:pStyle w:val="Heading2"/>
        <w:numPr>
          <w:ilvl w:val="1"/>
          <w:numId w:val="5"/>
        </w:numPr>
        <w:tabs>
          <w:tab w:val="left" w:pos="567"/>
        </w:tabs>
        <w:spacing w:after="200" w:line="360" w:lineRule="auto"/>
        <w:ind w:left="567" w:hanging="567"/>
        <w:jc w:val="both"/>
        <w:rPr>
          <w:rFonts w:cs="Arial"/>
          <w:b w:val="0"/>
          <w:bCs w:val="0"/>
        </w:rPr>
      </w:pPr>
      <w:r w:rsidRPr="00EC6D33">
        <w:rPr>
          <w:rFonts w:cs="Arial"/>
          <w:b w:val="0"/>
          <w:bCs w:val="0"/>
        </w:rPr>
        <w:t>The s</w:t>
      </w:r>
      <w:r w:rsidR="00DD2DB7" w:rsidRPr="00EC6D33">
        <w:rPr>
          <w:rFonts w:cs="Arial"/>
          <w:b w:val="0"/>
          <w:bCs w:val="0"/>
        </w:rPr>
        <w:t xml:space="preserve">tays </w:t>
      </w:r>
      <w:r w:rsidRPr="00EC6D33">
        <w:rPr>
          <w:rFonts w:cs="Arial"/>
          <w:b w:val="0"/>
          <w:bCs w:val="0"/>
        </w:rPr>
        <w:t xml:space="preserve">and resolution moratoria </w:t>
      </w:r>
      <w:r w:rsidR="00DD2DB7" w:rsidRPr="00EC6D33">
        <w:rPr>
          <w:rFonts w:cs="Arial"/>
          <w:b w:val="0"/>
          <w:bCs w:val="0"/>
        </w:rPr>
        <w:t xml:space="preserve">powers </w:t>
      </w:r>
      <w:r w:rsidRPr="00EC6D33">
        <w:rPr>
          <w:rFonts w:cs="Arial"/>
          <w:b w:val="0"/>
          <w:bCs w:val="0"/>
        </w:rPr>
        <w:t xml:space="preserve">provided for in the </w:t>
      </w:r>
      <w:r w:rsidR="00937877" w:rsidRPr="00EC6D33">
        <w:rPr>
          <w:rFonts w:cs="Arial"/>
          <w:b w:val="0"/>
          <w:bCs w:val="0"/>
        </w:rPr>
        <w:t>S</w:t>
      </w:r>
      <w:r w:rsidRPr="00EC6D33">
        <w:rPr>
          <w:rFonts w:cs="Arial"/>
          <w:b w:val="0"/>
          <w:bCs w:val="0"/>
        </w:rPr>
        <w:t xml:space="preserve">tandard </w:t>
      </w:r>
      <w:r w:rsidR="00DD2DB7" w:rsidRPr="00EC6D33">
        <w:rPr>
          <w:rFonts w:cs="Arial"/>
          <w:b w:val="0"/>
          <w:bCs w:val="0"/>
        </w:rPr>
        <w:t xml:space="preserve">are a key element of the South African resolution framework </w:t>
      </w:r>
      <w:r w:rsidR="00346754" w:rsidRPr="00EC6D33">
        <w:rPr>
          <w:rFonts w:cs="Arial"/>
          <w:b w:val="0"/>
          <w:bCs w:val="0"/>
        </w:rPr>
        <w:t xml:space="preserve">because they enable the </w:t>
      </w:r>
      <w:r w:rsidR="00144194" w:rsidRPr="00EC6D33">
        <w:rPr>
          <w:rFonts w:cs="Arial"/>
          <w:b w:val="0"/>
          <w:bCs w:val="0"/>
        </w:rPr>
        <w:t xml:space="preserve">Reserve Bank </w:t>
      </w:r>
      <w:r w:rsidR="00346754" w:rsidRPr="00EC6D33">
        <w:rPr>
          <w:rFonts w:cs="Arial"/>
          <w:b w:val="0"/>
          <w:bCs w:val="0"/>
        </w:rPr>
        <w:t xml:space="preserve">to prevent counterparties from terminating their contracts with a designated institution in resolution on a mass scale based solely on such designated institution’s entry into resolution or because of the exercise of resolution powers by the </w:t>
      </w:r>
      <w:r w:rsidR="00E61A4F" w:rsidRPr="00EC6D33">
        <w:rPr>
          <w:rFonts w:cs="Arial"/>
          <w:b w:val="0"/>
          <w:bCs w:val="0"/>
        </w:rPr>
        <w:t>Reserve Bank</w:t>
      </w:r>
      <w:r w:rsidR="00346754" w:rsidRPr="00EC6D33">
        <w:rPr>
          <w:rFonts w:cs="Arial"/>
          <w:b w:val="0"/>
          <w:bCs w:val="0"/>
        </w:rPr>
        <w:t>.</w:t>
      </w:r>
    </w:p>
    <w:sectPr w:rsidR="009E70A9" w:rsidRPr="00EC6D33" w:rsidSect="0093564F">
      <w:pgSz w:w="11910" w:h="16840"/>
      <w:pgMar w:top="1440" w:right="1440" w:bottom="1440" w:left="1440" w:header="733" w:footer="9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9D9C" w14:textId="77777777" w:rsidR="00DC7A49" w:rsidRDefault="00DC7A49">
      <w:r>
        <w:separator/>
      </w:r>
    </w:p>
  </w:endnote>
  <w:endnote w:type="continuationSeparator" w:id="0">
    <w:p w14:paraId="4F8C62B0" w14:textId="77777777" w:rsidR="00DC7A49" w:rsidRDefault="00DC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F010" w14:textId="77777777" w:rsidR="002D6CCF" w:rsidRDefault="002D6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90CB" w14:textId="77777777" w:rsidR="002D6CCF" w:rsidRDefault="002D6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A4FB" w14:textId="77777777" w:rsidR="002D6CCF" w:rsidRDefault="002D6C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7318" w14:textId="7AEAC70C" w:rsidR="004F66DB" w:rsidRDefault="002C5135">
    <w:pPr>
      <w:spacing w:line="14" w:lineRule="auto"/>
      <w:rPr>
        <w:sz w:val="20"/>
        <w:szCs w:val="20"/>
      </w:rPr>
    </w:pPr>
    <w:r>
      <w:rPr>
        <w:noProof/>
      </w:rPr>
      <mc:AlternateContent>
        <mc:Choice Requires="wps">
          <w:drawing>
            <wp:anchor distT="0" distB="0" distL="114300" distR="114300" simplePos="0" relativeHeight="503300384" behindDoc="1" locked="0" layoutInCell="1" allowOverlap="1" wp14:anchorId="6C7CF4AC" wp14:editId="5DAAC23F">
              <wp:simplePos x="0" y="0"/>
              <wp:positionH relativeFrom="page">
                <wp:posOffset>5922010</wp:posOffset>
              </wp:positionH>
              <wp:positionV relativeFrom="page">
                <wp:posOffset>9942195</wp:posOffset>
              </wp:positionV>
              <wp:extent cx="73914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wps:spPr>
                    <wps:txbx>
                      <w:txbxContent>
                        <w:p w14:paraId="01AA7330" w14:textId="025862DA" w:rsidR="004F66DB" w:rsidRPr="002C157E" w:rsidRDefault="004F66DB">
                          <w:pPr>
                            <w:spacing w:line="204" w:lineRule="exact"/>
                            <w:ind w:left="20"/>
                            <w:rPr>
                              <w:rFonts w:ascii="Arial" w:eastAsia="Arial" w:hAnsi="Arial" w:cs="Arial"/>
                              <w:color w:val="000000" w:themeColor="text1"/>
                              <w:sz w:val="18"/>
                              <w:szCs w:val="18"/>
                            </w:rPr>
                          </w:pPr>
                          <w:r w:rsidRPr="002C157E">
                            <w:rPr>
                              <w:rFonts w:ascii="Arial"/>
                              <w:color w:val="000000" w:themeColor="text1"/>
                              <w:spacing w:val="-1"/>
                              <w:sz w:val="18"/>
                            </w:rPr>
                            <w:t>Page</w:t>
                          </w:r>
                          <w:r w:rsidRPr="002C157E">
                            <w:rPr>
                              <w:rFonts w:ascii="Arial"/>
                              <w:color w:val="000000" w:themeColor="text1"/>
                              <w:spacing w:val="1"/>
                              <w:sz w:val="18"/>
                            </w:rPr>
                            <w:t xml:space="preserve"> </w:t>
                          </w:r>
                          <w:r w:rsidRPr="002C157E">
                            <w:rPr>
                              <w:color w:val="000000" w:themeColor="text1"/>
                            </w:rPr>
                            <w:fldChar w:fldCharType="begin"/>
                          </w:r>
                          <w:r w:rsidRPr="002C157E">
                            <w:rPr>
                              <w:rFonts w:ascii="Arial"/>
                              <w:color w:val="000000" w:themeColor="text1"/>
                              <w:sz w:val="18"/>
                            </w:rPr>
                            <w:instrText xml:space="preserve"> PAGE </w:instrText>
                          </w:r>
                          <w:r w:rsidRPr="002C157E">
                            <w:rPr>
                              <w:color w:val="000000" w:themeColor="text1"/>
                            </w:rPr>
                            <w:fldChar w:fldCharType="separate"/>
                          </w:r>
                          <w:r w:rsidR="00CB685E">
                            <w:rPr>
                              <w:rFonts w:ascii="Arial"/>
                              <w:noProof/>
                              <w:color w:val="000000" w:themeColor="text1"/>
                              <w:sz w:val="18"/>
                            </w:rPr>
                            <w:t>3</w:t>
                          </w:r>
                          <w:r w:rsidRPr="002C157E">
                            <w:rPr>
                              <w:color w:val="000000" w:themeColor="text1"/>
                            </w:rPr>
                            <w:fldChar w:fldCharType="end"/>
                          </w:r>
                          <w:r w:rsidRPr="002C157E">
                            <w:rPr>
                              <w:rFonts w:ascii="Arial"/>
                              <w:color w:val="000000" w:themeColor="text1"/>
                              <w:spacing w:val="1"/>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CF4AC" id="_x0000_t202" coordsize="21600,21600" o:spt="202" path="m,l,21600r21600,l21600,xe">
              <v:stroke joinstyle="miter"/>
              <v:path gradientshapeok="t" o:connecttype="rect"/>
            </v:shapetype>
            <v:shape id="Text Box 2" o:spid="_x0000_s1027" type="#_x0000_t202" style="position:absolute;margin-left:466.3pt;margin-top:782.85pt;width:58.2pt;height:11pt;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" filled="f" stroked="f">
              <v:textbox inset="0,0,0,0">
                <w:txbxContent>
                  <w:p w14:paraId="01AA7330" w14:textId="025862DA" w:rsidR="004F66DB" w:rsidRPr="002C157E" w:rsidRDefault="004F66DB">
                    <w:pPr>
                      <w:spacing w:line="204" w:lineRule="exact"/>
                      <w:ind w:left="20"/>
                      <w:rPr>
                        <w:rFonts w:ascii="Arial" w:eastAsia="Arial" w:hAnsi="Arial" w:cs="Arial"/>
                        <w:color w:val="000000" w:themeColor="text1"/>
                        <w:sz w:val="18"/>
                        <w:szCs w:val="18"/>
                      </w:rPr>
                    </w:pPr>
                    <w:r w:rsidRPr="002C157E">
                      <w:rPr>
                        <w:rFonts w:ascii="Arial"/>
                        <w:color w:val="000000" w:themeColor="text1"/>
                        <w:spacing w:val="-1"/>
                        <w:sz w:val="18"/>
                      </w:rPr>
                      <w:t>Page</w:t>
                    </w:r>
                    <w:r w:rsidRPr="002C157E">
                      <w:rPr>
                        <w:rFonts w:ascii="Arial"/>
                        <w:color w:val="000000" w:themeColor="text1"/>
                        <w:spacing w:val="1"/>
                        <w:sz w:val="18"/>
                      </w:rPr>
                      <w:t xml:space="preserve"> </w:t>
                    </w:r>
                    <w:r w:rsidRPr="002C157E">
                      <w:rPr>
                        <w:color w:val="000000" w:themeColor="text1"/>
                      </w:rPr>
                      <w:fldChar w:fldCharType="begin"/>
                    </w:r>
                    <w:r w:rsidRPr="002C157E">
                      <w:rPr>
                        <w:rFonts w:ascii="Arial"/>
                        <w:color w:val="000000" w:themeColor="text1"/>
                        <w:sz w:val="18"/>
                      </w:rPr>
                      <w:instrText xml:space="preserve"> PAGE </w:instrText>
                    </w:r>
                    <w:r w:rsidRPr="002C157E">
                      <w:rPr>
                        <w:color w:val="000000" w:themeColor="text1"/>
                      </w:rPr>
                      <w:fldChar w:fldCharType="separate"/>
                    </w:r>
                    <w:r w:rsidR="00CB685E">
                      <w:rPr>
                        <w:rFonts w:ascii="Arial"/>
                        <w:noProof/>
                        <w:color w:val="000000" w:themeColor="text1"/>
                        <w:sz w:val="18"/>
                      </w:rPr>
                      <w:t>3</w:t>
                    </w:r>
                    <w:r w:rsidRPr="002C157E">
                      <w:rPr>
                        <w:color w:val="000000" w:themeColor="text1"/>
                      </w:rPr>
                      <w:fldChar w:fldCharType="end"/>
                    </w:r>
                    <w:r w:rsidRPr="002C157E">
                      <w:rPr>
                        <w:rFonts w:ascii="Arial"/>
                        <w:color w:val="000000" w:themeColor="text1"/>
                        <w:spacing w:val="1"/>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81F6" w14:textId="77777777" w:rsidR="00DC7A49" w:rsidRDefault="00DC7A49">
      <w:r>
        <w:separator/>
      </w:r>
    </w:p>
  </w:footnote>
  <w:footnote w:type="continuationSeparator" w:id="0">
    <w:p w14:paraId="5801F6C6" w14:textId="77777777" w:rsidR="00DC7A49" w:rsidRDefault="00DC7A49">
      <w:r>
        <w:continuationSeparator/>
      </w:r>
    </w:p>
  </w:footnote>
  <w:footnote w:id="1">
    <w:p w14:paraId="248FDB39" w14:textId="757112DF" w:rsidR="00976002" w:rsidRPr="00761B48" w:rsidRDefault="00976002" w:rsidP="00761B48">
      <w:pPr>
        <w:pStyle w:val="FootnoteText"/>
        <w:ind w:left="284" w:hanging="284"/>
        <w:jc w:val="both"/>
        <w:rPr>
          <w:rFonts w:ascii="Arial" w:hAnsi="Arial" w:cs="Arial"/>
          <w:lang w:val="en-ZA"/>
        </w:rPr>
      </w:pPr>
      <w:r w:rsidRPr="00761B48">
        <w:rPr>
          <w:rStyle w:val="FootnoteReference"/>
          <w:rFonts w:ascii="Arial" w:hAnsi="Arial" w:cs="Arial"/>
        </w:rPr>
        <w:footnoteRef/>
      </w:r>
      <w:r w:rsidRPr="00761B48">
        <w:rPr>
          <w:rFonts w:ascii="Arial" w:hAnsi="Arial" w:cs="Arial"/>
        </w:rPr>
        <w:t xml:space="preserve"> </w:t>
      </w:r>
      <w:r w:rsidR="00761B48" w:rsidRPr="00761B48">
        <w:rPr>
          <w:rFonts w:ascii="Arial" w:hAnsi="Arial" w:cs="Arial"/>
          <w:lang w:val="en-ZA"/>
        </w:rPr>
        <w:t>The term ‘</w:t>
      </w:r>
      <w:r w:rsidRPr="00761B48">
        <w:rPr>
          <w:rFonts w:ascii="Arial" w:hAnsi="Arial" w:cs="Arial"/>
          <w:lang w:val="en-ZA"/>
        </w:rPr>
        <w:t>covered contracts</w:t>
      </w:r>
      <w:r w:rsidR="00761B48" w:rsidRPr="00761B48">
        <w:rPr>
          <w:rFonts w:ascii="Arial" w:hAnsi="Arial" w:cs="Arial"/>
          <w:lang w:val="en-ZA"/>
        </w:rPr>
        <w:t>’</w:t>
      </w:r>
      <w:r w:rsidRPr="00761B48">
        <w:rPr>
          <w:rFonts w:ascii="Arial" w:hAnsi="Arial" w:cs="Arial"/>
          <w:lang w:val="en-ZA"/>
        </w:rPr>
        <w:t xml:space="preserve"> </w:t>
      </w:r>
      <w:r w:rsidR="005469A6" w:rsidRPr="00761B48">
        <w:rPr>
          <w:rFonts w:ascii="Arial" w:hAnsi="Arial" w:cs="Arial"/>
          <w:lang w:val="en-ZA"/>
        </w:rPr>
        <w:t xml:space="preserve">is defined in the </w:t>
      </w:r>
      <w:r w:rsidR="00365837" w:rsidRPr="00761B48">
        <w:rPr>
          <w:rFonts w:ascii="Arial" w:hAnsi="Arial" w:cs="Arial"/>
        </w:rPr>
        <w:t>prudential standard relating to stays on early-termination rights and resolution moratoria on contracts of designated institutions in resolution</w:t>
      </w:r>
      <w:r w:rsidR="00365837" w:rsidRPr="00761B48">
        <w:rPr>
          <w:rFonts w:ascii="Arial" w:hAnsi="Arial" w:cs="Arial"/>
          <w:lang w:val="en-ZA"/>
        </w:rPr>
        <w:t xml:space="preserve"> as </w:t>
      </w:r>
      <w:r w:rsidRPr="00761B48">
        <w:rPr>
          <w:rFonts w:ascii="Arial" w:hAnsi="Arial" w:cs="Arial"/>
          <w:lang w:val="en-ZA"/>
        </w:rPr>
        <w:t>specified contracts that are governed under foreign laws and contain provisions for early termination rights.</w:t>
      </w:r>
    </w:p>
    <w:p w14:paraId="3DD9DF51" w14:textId="77777777" w:rsidR="00976002" w:rsidRPr="005F7F09" w:rsidRDefault="00976002" w:rsidP="00976002">
      <w:pPr>
        <w:pStyle w:val="FootnoteText"/>
        <w:rPr>
          <w:lang w:val="en-Z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3995" w14:textId="3CA0FC97" w:rsidR="00EC12AC" w:rsidRDefault="00EC1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AD0C" w14:textId="0706F41E" w:rsidR="00EC12AC" w:rsidRDefault="00EC1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BD98" w14:textId="584A7CC2" w:rsidR="00EC12AC" w:rsidRDefault="00EC1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824E" w14:textId="2EE1A3C0" w:rsidR="00350056" w:rsidRDefault="003500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1968" w14:textId="6DBE9FAE" w:rsidR="00F10995" w:rsidRPr="00F10995" w:rsidRDefault="00F10995" w:rsidP="00F10995">
    <w:pPr>
      <w:ind w:right="279"/>
      <w:jc w:val="both"/>
      <w:rPr>
        <w:rFonts w:ascii="Arial" w:hAnsi="Arial" w:cs="Arial"/>
        <w:bCs/>
        <w:color w:val="0D0D0D" w:themeColor="text1" w:themeTint="F2"/>
        <w:sz w:val="14"/>
        <w:szCs w:val="14"/>
      </w:rPr>
    </w:pPr>
    <w:r w:rsidRPr="00F10995">
      <w:rPr>
        <w:rFonts w:ascii="Arial" w:hAnsi="Arial" w:cs="Arial"/>
        <w:bCs/>
        <w:color w:val="0D0D0D" w:themeColor="text1" w:themeTint="F2"/>
        <w:sz w:val="14"/>
        <w:szCs w:val="14"/>
      </w:rPr>
      <w:t xml:space="preserve">Statement explaining the need for, </w:t>
    </w:r>
    <w:r w:rsidR="00915B1E">
      <w:rPr>
        <w:rFonts w:ascii="Arial" w:hAnsi="Arial" w:cs="Arial"/>
        <w:bCs/>
        <w:color w:val="0D0D0D" w:themeColor="text1" w:themeTint="F2"/>
        <w:sz w:val="14"/>
        <w:szCs w:val="14"/>
      </w:rPr>
      <w:t xml:space="preserve">the </w:t>
    </w:r>
    <w:r w:rsidRPr="00F10995">
      <w:rPr>
        <w:rFonts w:ascii="Arial" w:hAnsi="Arial" w:cs="Arial"/>
        <w:bCs/>
        <w:color w:val="0D0D0D" w:themeColor="text1" w:themeTint="F2"/>
        <w:sz w:val="14"/>
        <w:szCs w:val="14"/>
      </w:rPr>
      <w:t xml:space="preserve">intended operation </w:t>
    </w:r>
    <w:r w:rsidR="00144BC6">
      <w:rPr>
        <w:rFonts w:ascii="Arial" w:hAnsi="Arial" w:cs="Arial"/>
        <w:bCs/>
        <w:color w:val="0D0D0D" w:themeColor="text1" w:themeTint="F2"/>
        <w:sz w:val="14"/>
        <w:szCs w:val="14"/>
      </w:rPr>
      <w:t xml:space="preserve">of </w:t>
    </w:r>
    <w:r w:rsidRPr="00F10995">
      <w:rPr>
        <w:rFonts w:ascii="Arial" w:hAnsi="Arial" w:cs="Arial"/>
        <w:bCs/>
        <w:color w:val="0D0D0D" w:themeColor="text1" w:themeTint="F2"/>
        <w:sz w:val="14"/>
        <w:szCs w:val="14"/>
      </w:rPr>
      <w:t xml:space="preserve">and </w:t>
    </w:r>
    <w:r w:rsidR="00915B1E">
      <w:rPr>
        <w:rFonts w:ascii="Arial" w:hAnsi="Arial" w:cs="Arial"/>
        <w:bCs/>
        <w:color w:val="0D0D0D" w:themeColor="text1" w:themeTint="F2"/>
        <w:sz w:val="14"/>
        <w:szCs w:val="14"/>
      </w:rPr>
      <w:t xml:space="preserve">the </w:t>
    </w:r>
    <w:r w:rsidRPr="00F10995">
      <w:rPr>
        <w:rFonts w:ascii="Arial" w:hAnsi="Arial" w:cs="Arial"/>
        <w:bCs/>
        <w:color w:val="0D0D0D" w:themeColor="text1" w:themeTint="F2"/>
        <w:sz w:val="14"/>
        <w:szCs w:val="14"/>
      </w:rPr>
      <w:t>expected impact of the prudential standard in respect of stays on early-termination rights and resolution moratoria</w:t>
    </w:r>
    <w:r w:rsidR="00C542DF">
      <w:rPr>
        <w:rFonts w:ascii="Arial" w:hAnsi="Arial" w:cs="Arial"/>
        <w:bCs/>
        <w:color w:val="0D0D0D" w:themeColor="text1" w:themeTint="F2"/>
        <w:sz w:val="14"/>
        <w:szCs w:val="14"/>
      </w:rPr>
      <w:t xml:space="preserve"> on contracts of designated institutions in resolution</w:t>
    </w:r>
  </w:p>
  <w:p w14:paraId="01AA7317" w14:textId="57C0576C" w:rsidR="004F66DB" w:rsidRPr="00DA036E" w:rsidRDefault="004F66DB" w:rsidP="00DA03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DD1E" w14:textId="30CFCC69" w:rsidR="00350056" w:rsidRDefault="0035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A43"/>
    <w:multiLevelType w:val="hybridMultilevel"/>
    <w:tmpl w:val="612EA42C"/>
    <w:lvl w:ilvl="0" w:tplc="D6BC9BF2">
      <w:start w:val="1"/>
      <w:numFmt w:val="bullet"/>
      <w:lvlText w:val=""/>
      <w:lvlJc w:val="left"/>
      <w:pPr>
        <w:ind w:left="951" w:hanging="286"/>
      </w:pPr>
      <w:rPr>
        <w:rFonts w:ascii="Symbol" w:eastAsia="Symbol" w:hAnsi="Symbol" w:hint="default"/>
        <w:sz w:val="23"/>
        <w:szCs w:val="23"/>
      </w:rPr>
    </w:lvl>
    <w:lvl w:ilvl="1" w:tplc="1F209436">
      <w:start w:val="1"/>
      <w:numFmt w:val="bullet"/>
      <w:lvlText w:val="•"/>
      <w:lvlJc w:val="left"/>
      <w:pPr>
        <w:ind w:left="1781" w:hanging="286"/>
      </w:pPr>
      <w:rPr>
        <w:rFonts w:hint="default"/>
      </w:rPr>
    </w:lvl>
    <w:lvl w:ilvl="2" w:tplc="43EC177E">
      <w:start w:val="1"/>
      <w:numFmt w:val="bullet"/>
      <w:lvlText w:val="•"/>
      <w:lvlJc w:val="left"/>
      <w:pPr>
        <w:ind w:left="2610" w:hanging="286"/>
      </w:pPr>
      <w:rPr>
        <w:rFonts w:hint="default"/>
      </w:rPr>
    </w:lvl>
    <w:lvl w:ilvl="3" w:tplc="B5064D54">
      <w:start w:val="1"/>
      <w:numFmt w:val="bullet"/>
      <w:lvlText w:val="•"/>
      <w:lvlJc w:val="left"/>
      <w:pPr>
        <w:ind w:left="3440" w:hanging="286"/>
      </w:pPr>
      <w:rPr>
        <w:rFonts w:hint="default"/>
      </w:rPr>
    </w:lvl>
    <w:lvl w:ilvl="4" w:tplc="DFB019A6">
      <w:start w:val="1"/>
      <w:numFmt w:val="bullet"/>
      <w:lvlText w:val="•"/>
      <w:lvlJc w:val="left"/>
      <w:pPr>
        <w:ind w:left="4269" w:hanging="286"/>
      </w:pPr>
      <w:rPr>
        <w:rFonts w:hint="default"/>
      </w:rPr>
    </w:lvl>
    <w:lvl w:ilvl="5" w:tplc="7DBE68C6">
      <w:start w:val="1"/>
      <w:numFmt w:val="bullet"/>
      <w:lvlText w:val="•"/>
      <w:lvlJc w:val="left"/>
      <w:pPr>
        <w:ind w:left="5099" w:hanging="286"/>
      </w:pPr>
      <w:rPr>
        <w:rFonts w:hint="default"/>
      </w:rPr>
    </w:lvl>
    <w:lvl w:ilvl="6" w:tplc="F9584E72">
      <w:start w:val="1"/>
      <w:numFmt w:val="bullet"/>
      <w:lvlText w:val="•"/>
      <w:lvlJc w:val="left"/>
      <w:pPr>
        <w:ind w:left="5928" w:hanging="286"/>
      </w:pPr>
      <w:rPr>
        <w:rFonts w:hint="default"/>
      </w:rPr>
    </w:lvl>
    <w:lvl w:ilvl="7" w:tplc="EB62AA86">
      <w:start w:val="1"/>
      <w:numFmt w:val="bullet"/>
      <w:lvlText w:val="•"/>
      <w:lvlJc w:val="left"/>
      <w:pPr>
        <w:ind w:left="6758" w:hanging="286"/>
      </w:pPr>
      <w:rPr>
        <w:rFonts w:hint="default"/>
      </w:rPr>
    </w:lvl>
    <w:lvl w:ilvl="8" w:tplc="5C4E7CD2">
      <w:start w:val="1"/>
      <w:numFmt w:val="bullet"/>
      <w:lvlText w:val="•"/>
      <w:lvlJc w:val="left"/>
      <w:pPr>
        <w:ind w:left="7587" w:hanging="286"/>
      </w:pPr>
      <w:rPr>
        <w:rFonts w:hint="default"/>
      </w:rPr>
    </w:lvl>
  </w:abstractNum>
  <w:abstractNum w:abstractNumId="1" w15:restartNumberingAfterBreak="0">
    <w:nsid w:val="07F62AD1"/>
    <w:multiLevelType w:val="hybridMultilevel"/>
    <w:tmpl w:val="912850A8"/>
    <w:lvl w:ilvl="0" w:tplc="950A1860">
      <w:start w:val="1"/>
      <w:numFmt w:val="bullet"/>
      <w:lvlText w:val=""/>
      <w:lvlJc w:val="left"/>
      <w:pPr>
        <w:ind w:left="1093" w:hanging="428"/>
      </w:pPr>
      <w:rPr>
        <w:rFonts w:ascii="Symbol" w:eastAsia="Symbol" w:hAnsi="Symbol" w:hint="default"/>
        <w:sz w:val="23"/>
        <w:szCs w:val="23"/>
      </w:rPr>
    </w:lvl>
    <w:lvl w:ilvl="1" w:tplc="7C70404C">
      <w:start w:val="1"/>
      <w:numFmt w:val="bullet"/>
      <w:lvlText w:val="•"/>
      <w:lvlJc w:val="left"/>
      <w:pPr>
        <w:ind w:left="1912" w:hanging="428"/>
      </w:pPr>
      <w:rPr>
        <w:rFonts w:hint="default"/>
      </w:rPr>
    </w:lvl>
    <w:lvl w:ilvl="2" w:tplc="0F325C68">
      <w:start w:val="1"/>
      <w:numFmt w:val="bullet"/>
      <w:lvlText w:val="•"/>
      <w:lvlJc w:val="left"/>
      <w:pPr>
        <w:ind w:left="2731" w:hanging="428"/>
      </w:pPr>
      <w:rPr>
        <w:rFonts w:hint="default"/>
      </w:rPr>
    </w:lvl>
    <w:lvl w:ilvl="3" w:tplc="84DC7180">
      <w:start w:val="1"/>
      <w:numFmt w:val="bullet"/>
      <w:lvlText w:val="•"/>
      <w:lvlJc w:val="left"/>
      <w:pPr>
        <w:ind w:left="3551" w:hanging="428"/>
      </w:pPr>
      <w:rPr>
        <w:rFonts w:hint="default"/>
      </w:rPr>
    </w:lvl>
    <w:lvl w:ilvl="4" w:tplc="C5748D0E">
      <w:start w:val="1"/>
      <w:numFmt w:val="bullet"/>
      <w:lvlText w:val="•"/>
      <w:lvlJc w:val="left"/>
      <w:pPr>
        <w:ind w:left="4370" w:hanging="428"/>
      </w:pPr>
      <w:rPr>
        <w:rFonts w:hint="default"/>
      </w:rPr>
    </w:lvl>
    <w:lvl w:ilvl="5" w:tplc="FC003A44">
      <w:start w:val="1"/>
      <w:numFmt w:val="bullet"/>
      <w:lvlText w:val="•"/>
      <w:lvlJc w:val="left"/>
      <w:pPr>
        <w:ind w:left="5189" w:hanging="428"/>
      </w:pPr>
      <w:rPr>
        <w:rFonts w:hint="default"/>
      </w:rPr>
    </w:lvl>
    <w:lvl w:ilvl="6" w:tplc="B2BA2B2E">
      <w:start w:val="1"/>
      <w:numFmt w:val="bullet"/>
      <w:lvlText w:val="•"/>
      <w:lvlJc w:val="left"/>
      <w:pPr>
        <w:ind w:left="6009" w:hanging="428"/>
      </w:pPr>
      <w:rPr>
        <w:rFonts w:hint="default"/>
      </w:rPr>
    </w:lvl>
    <w:lvl w:ilvl="7" w:tplc="1332B2B4">
      <w:start w:val="1"/>
      <w:numFmt w:val="bullet"/>
      <w:lvlText w:val="•"/>
      <w:lvlJc w:val="left"/>
      <w:pPr>
        <w:ind w:left="6828" w:hanging="428"/>
      </w:pPr>
      <w:rPr>
        <w:rFonts w:hint="default"/>
      </w:rPr>
    </w:lvl>
    <w:lvl w:ilvl="8" w:tplc="3754E59C">
      <w:start w:val="1"/>
      <w:numFmt w:val="bullet"/>
      <w:lvlText w:val="•"/>
      <w:lvlJc w:val="left"/>
      <w:pPr>
        <w:ind w:left="7647" w:hanging="428"/>
      </w:pPr>
      <w:rPr>
        <w:rFonts w:hint="default"/>
      </w:rPr>
    </w:lvl>
  </w:abstractNum>
  <w:abstractNum w:abstractNumId="2" w15:restartNumberingAfterBreak="0">
    <w:nsid w:val="09512151"/>
    <w:multiLevelType w:val="multilevel"/>
    <w:tmpl w:val="39107F44"/>
    <w:lvl w:ilvl="0">
      <w:start w:val="1"/>
      <w:numFmt w:val="decimal"/>
      <w:lvlText w:val="%1."/>
      <w:lvlJc w:val="left"/>
      <w:pPr>
        <w:ind w:left="360" w:hanging="360"/>
      </w:pPr>
      <w:rPr>
        <w:rFonts w:hint="default"/>
        <w:b/>
        <w:bCs/>
        <w:spacing w:val="-1"/>
        <w:sz w:val="23"/>
        <w:szCs w:val="23"/>
      </w:rPr>
    </w:lvl>
    <w:lvl w:ilvl="1">
      <w:start w:val="1"/>
      <w:numFmt w:val="decimal"/>
      <w:lvlText w:val="%1.%2."/>
      <w:lvlJc w:val="left"/>
      <w:pPr>
        <w:ind w:left="792" w:hanging="432"/>
      </w:pPr>
      <w:rPr>
        <w:rFonts w:hint="default"/>
        <w:spacing w:val="-1"/>
        <w:sz w:val="23"/>
        <w:szCs w:val="23"/>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910721"/>
    <w:multiLevelType w:val="hybridMultilevel"/>
    <w:tmpl w:val="72662456"/>
    <w:lvl w:ilvl="0" w:tplc="3B547F68">
      <w:start w:val="1"/>
      <w:numFmt w:val="bullet"/>
      <w:lvlText w:val=""/>
      <w:lvlJc w:val="left"/>
      <w:pPr>
        <w:ind w:left="1113" w:hanging="428"/>
      </w:pPr>
      <w:rPr>
        <w:rFonts w:ascii="Symbol" w:eastAsia="Symbol" w:hAnsi="Symbol" w:hint="default"/>
        <w:sz w:val="23"/>
        <w:szCs w:val="23"/>
      </w:rPr>
    </w:lvl>
    <w:lvl w:ilvl="1" w:tplc="49802BCE">
      <w:start w:val="1"/>
      <w:numFmt w:val="bullet"/>
      <w:lvlText w:val="•"/>
      <w:lvlJc w:val="left"/>
      <w:pPr>
        <w:ind w:left="1928" w:hanging="428"/>
      </w:pPr>
      <w:rPr>
        <w:rFonts w:hint="default"/>
      </w:rPr>
    </w:lvl>
    <w:lvl w:ilvl="2" w:tplc="E802594C">
      <w:start w:val="1"/>
      <w:numFmt w:val="bullet"/>
      <w:lvlText w:val="•"/>
      <w:lvlJc w:val="left"/>
      <w:pPr>
        <w:ind w:left="2743" w:hanging="428"/>
      </w:pPr>
      <w:rPr>
        <w:rFonts w:hint="default"/>
      </w:rPr>
    </w:lvl>
    <w:lvl w:ilvl="3" w:tplc="2A1A72C2">
      <w:start w:val="1"/>
      <w:numFmt w:val="bullet"/>
      <w:lvlText w:val="•"/>
      <w:lvlJc w:val="left"/>
      <w:pPr>
        <w:ind w:left="3559" w:hanging="428"/>
      </w:pPr>
      <w:rPr>
        <w:rFonts w:hint="default"/>
      </w:rPr>
    </w:lvl>
    <w:lvl w:ilvl="4" w:tplc="F5428748">
      <w:start w:val="1"/>
      <w:numFmt w:val="bullet"/>
      <w:lvlText w:val="•"/>
      <w:lvlJc w:val="left"/>
      <w:pPr>
        <w:ind w:left="4374" w:hanging="428"/>
      </w:pPr>
      <w:rPr>
        <w:rFonts w:hint="default"/>
      </w:rPr>
    </w:lvl>
    <w:lvl w:ilvl="5" w:tplc="6FA8D840">
      <w:start w:val="1"/>
      <w:numFmt w:val="bullet"/>
      <w:lvlText w:val="•"/>
      <w:lvlJc w:val="left"/>
      <w:pPr>
        <w:ind w:left="5189" w:hanging="428"/>
      </w:pPr>
      <w:rPr>
        <w:rFonts w:hint="default"/>
      </w:rPr>
    </w:lvl>
    <w:lvl w:ilvl="6" w:tplc="982A0280">
      <w:start w:val="1"/>
      <w:numFmt w:val="bullet"/>
      <w:lvlText w:val="•"/>
      <w:lvlJc w:val="left"/>
      <w:pPr>
        <w:ind w:left="6005" w:hanging="428"/>
      </w:pPr>
      <w:rPr>
        <w:rFonts w:hint="default"/>
      </w:rPr>
    </w:lvl>
    <w:lvl w:ilvl="7" w:tplc="2B722854">
      <w:start w:val="1"/>
      <w:numFmt w:val="bullet"/>
      <w:lvlText w:val="•"/>
      <w:lvlJc w:val="left"/>
      <w:pPr>
        <w:ind w:left="6820" w:hanging="428"/>
      </w:pPr>
      <w:rPr>
        <w:rFonts w:hint="default"/>
      </w:rPr>
    </w:lvl>
    <w:lvl w:ilvl="8" w:tplc="7FA8B548">
      <w:start w:val="1"/>
      <w:numFmt w:val="bullet"/>
      <w:lvlText w:val="•"/>
      <w:lvlJc w:val="left"/>
      <w:pPr>
        <w:ind w:left="7635" w:hanging="428"/>
      </w:pPr>
      <w:rPr>
        <w:rFonts w:hint="default"/>
      </w:rPr>
    </w:lvl>
  </w:abstractNum>
  <w:abstractNum w:abstractNumId="4" w15:restartNumberingAfterBreak="0">
    <w:nsid w:val="0B1A1F2E"/>
    <w:multiLevelType w:val="hybridMultilevel"/>
    <w:tmpl w:val="C0BCA754"/>
    <w:lvl w:ilvl="0" w:tplc="BEE26308">
      <w:start w:val="1"/>
      <w:numFmt w:val="decimal"/>
      <w:lvlText w:val="%1."/>
      <w:lvlJc w:val="left"/>
      <w:pPr>
        <w:ind w:left="383" w:hanging="284"/>
      </w:pPr>
      <w:rPr>
        <w:rFonts w:ascii="Arial" w:eastAsia="Arial" w:hAnsi="Arial" w:hint="default"/>
        <w:b/>
        <w:bCs/>
        <w:spacing w:val="-1"/>
        <w:sz w:val="23"/>
        <w:szCs w:val="23"/>
      </w:rPr>
    </w:lvl>
    <w:lvl w:ilvl="1" w:tplc="9EEE90E6">
      <w:start w:val="1"/>
      <w:numFmt w:val="bullet"/>
      <w:lvlText w:val="•"/>
      <w:lvlJc w:val="left"/>
      <w:pPr>
        <w:ind w:left="1269" w:hanging="284"/>
      </w:pPr>
      <w:rPr>
        <w:rFonts w:hint="default"/>
      </w:rPr>
    </w:lvl>
    <w:lvl w:ilvl="2" w:tplc="42A6341C">
      <w:start w:val="1"/>
      <w:numFmt w:val="bullet"/>
      <w:lvlText w:val="•"/>
      <w:lvlJc w:val="left"/>
      <w:pPr>
        <w:ind w:left="2156" w:hanging="284"/>
      </w:pPr>
      <w:rPr>
        <w:rFonts w:hint="default"/>
      </w:rPr>
    </w:lvl>
    <w:lvl w:ilvl="3" w:tplc="6C7EA772">
      <w:start w:val="1"/>
      <w:numFmt w:val="bullet"/>
      <w:lvlText w:val="•"/>
      <w:lvlJc w:val="left"/>
      <w:pPr>
        <w:ind w:left="3042" w:hanging="284"/>
      </w:pPr>
      <w:rPr>
        <w:rFonts w:hint="default"/>
      </w:rPr>
    </w:lvl>
    <w:lvl w:ilvl="4" w:tplc="5E52F6E0">
      <w:start w:val="1"/>
      <w:numFmt w:val="bullet"/>
      <w:lvlText w:val="•"/>
      <w:lvlJc w:val="left"/>
      <w:pPr>
        <w:ind w:left="3928" w:hanging="284"/>
      </w:pPr>
      <w:rPr>
        <w:rFonts w:hint="default"/>
      </w:rPr>
    </w:lvl>
    <w:lvl w:ilvl="5" w:tplc="B4A48BA4">
      <w:start w:val="1"/>
      <w:numFmt w:val="bullet"/>
      <w:lvlText w:val="•"/>
      <w:lvlJc w:val="left"/>
      <w:pPr>
        <w:ind w:left="4814" w:hanging="284"/>
      </w:pPr>
      <w:rPr>
        <w:rFonts w:hint="default"/>
      </w:rPr>
    </w:lvl>
    <w:lvl w:ilvl="6" w:tplc="8306ED2C">
      <w:start w:val="1"/>
      <w:numFmt w:val="bullet"/>
      <w:lvlText w:val="•"/>
      <w:lvlJc w:val="left"/>
      <w:pPr>
        <w:ind w:left="5701" w:hanging="284"/>
      </w:pPr>
      <w:rPr>
        <w:rFonts w:hint="default"/>
      </w:rPr>
    </w:lvl>
    <w:lvl w:ilvl="7" w:tplc="4356A326">
      <w:start w:val="1"/>
      <w:numFmt w:val="bullet"/>
      <w:lvlText w:val="•"/>
      <w:lvlJc w:val="left"/>
      <w:pPr>
        <w:ind w:left="6587" w:hanging="284"/>
      </w:pPr>
      <w:rPr>
        <w:rFonts w:hint="default"/>
      </w:rPr>
    </w:lvl>
    <w:lvl w:ilvl="8" w:tplc="820A2824">
      <w:start w:val="1"/>
      <w:numFmt w:val="bullet"/>
      <w:lvlText w:val="•"/>
      <w:lvlJc w:val="left"/>
      <w:pPr>
        <w:ind w:left="7473" w:hanging="284"/>
      </w:pPr>
      <w:rPr>
        <w:rFonts w:hint="default"/>
      </w:rPr>
    </w:lvl>
  </w:abstractNum>
  <w:abstractNum w:abstractNumId="5" w15:restartNumberingAfterBreak="0">
    <w:nsid w:val="0D426055"/>
    <w:multiLevelType w:val="multilevel"/>
    <w:tmpl w:val="0BA298AC"/>
    <w:lvl w:ilvl="0">
      <w:start w:val="1"/>
      <w:numFmt w:val="decimal"/>
      <w:lvlText w:val="%1."/>
      <w:lvlJc w:val="left"/>
      <w:pPr>
        <w:ind w:left="360" w:hanging="360"/>
      </w:pPr>
      <w:rPr>
        <w:rFonts w:hint="default"/>
        <w:b/>
        <w:bCs/>
        <w:spacing w:val="-1"/>
        <w:sz w:val="23"/>
        <w:szCs w:val="23"/>
      </w:rPr>
    </w:lvl>
    <w:lvl w:ilvl="1">
      <w:start w:val="1"/>
      <w:numFmt w:val="decimal"/>
      <w:lvlText w:val="%1.%2."/>
      <w:lvlJc w:val="left"/>
      <w:pPr>
        <w:ind w:left="792" w:hanging="432"/>
      </w:pPr>
      <w:rPr>
        <w:rFonts w:hint="default"/>
        <w:b w:val="0"/>
        <w:bCs w:val="0"/>
        <w:spacing w:val="-1"/>
        <w:sz w:val="23"/>
        <w:szCs w:val="23"/>
      </w:r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B22207"/>
    <w:multiLevelType w:val="multilevel"/>
    <w:tmpl w:val="8DAA21E4"/>
    <w:lvl w:ilvl="0">
      <w:start w:val="1"/>
      <w:numFmt w:val="decimal"/>
      <w:lvlText w:val="%1."/>
      <w:lvlJc w:val="left"/>
      <w:pPr>
        <w:ind w:left="0" w:firstLine="0"/>
      </w:pPr>
      <w:rPr>
        <w:rFonts w:hint="default"/>
        <w:b/>
        <w:i w:val="0"/>
        <w:iCs w:val="0"/>
        <w:caps w:val="0"/>
        <w:smallCaps w:val="0"/>
        <w:strike w:val="0"/>
        <w:dstrike w:val="0"/>
        <w:vanish w:val="0"/>
        <w:color w:val="auto"/>
        <w:spacing w:val="0"/>
        <w:kern w:val="0"/>
        <w:position w:val="0"/>
        <w:u w:val="none"/>
        <w:effect w:val="none"/>
        <w:vertAlign w:val="baseline"/>
        <w:em w:val="none"/>
      </w:rPr>
    </w:lvl>
    <w:lvl w:ilvl="1">
      <w:start w:val="8"/>
      <w:numFmt w:val="decimal"/>
      <w:lvlText w:val="%1.%2"/>
      <w:lvlJc w:val="left"/>
      <w:pPr>
        <w:ind w:left="576" w:hanging="576"/>
      </w:pPr>
      <w:rPr>
        <w:rFonts w:hint="default"/>
        <w:i w:val="0"/>
      </w:rPr>
    </w:lvl>
    <w:lvl w:ilvl="2">
      <w:start w:val="1"/>
      <w:numFmt w:val="decimal"/>
      <w:lvlText w:val="%1.%2.%3"/>
      <w:lvlJc w:val="left"/>
      <w:pPr>
        <w:ind w:left="1430" w:hanging="720"/>
      </w:pPr>
      <w:rPr>
        <w:rFonts w:ascii="Arial" w:hAnsi="Arial" w:cs="Arial" w:hint="default"/>
        <w:b w:val="0"/>
        <w:color w:val="auto"/>
      </w:rPr>
    </w:lvl>
    <w:lvl w:ilvl="3">
      <w:start w:val="1"/>
      <w:numFmt w:val="decimal"/>
      <w:lvlText w:val="%1.%2.%3.%4"/>
      <w:lvlJc w:val="left"/>
      <w:pPr>
        <w:ind w:left="2902" w:hanging="864"/>
      </w:pPr>
      <w:rPr>
        <w:rFonts w:hint="default"/>
      </w:rPr>
    </w:lvl>
    <w:lvl w:ilvl="4">
      <w:start w:val="1"/>
      <w:numFmt w:val="decimal"/>
      <w:lvlText w:val="%1.%2.%3.%4.%5"/>
      <w:lvlJc w:val="left"/>
      <w:pPr>
        <w:ind w:left="3046" w:hanging="1008"/>
      </w:pPr>
      <w:rPr>
        <w:rFonts w:hint="default"/>
      </w:rPr>
    </w:lvl>
    <w:lvl w:ilvl="5">
      <w:start w:val="1"/>
      <w:numFmt w:val="decimal"/>
      <w:lvlText w:val="%1.%2.%3.%4.%5.%6"/>
      <w:lvlJc w:val="left"/>
      <w:pPr>
        <w:ind w:left="3190" w:hanging="1152"/>
      </w:pPr>
      <w:rPr>
        <w:rFonts w:hint="default"/>
      </w:rPr>
    </w:lvl>
    <w:lvl w:ilvl="6">
      <w:start w:val="1"/>
      <w:numFmt w:val="decimal"/>
      <w:lvlText w:val="%1.%2.%3.%4.%5.%6.%7"/>
      <w:lvlJc w:val="left"/>
      <w:pPr>
        <w:ind w:left="3334" w:hanging="1296"/>
      </w:pPr>
      <w:rPr>
        <w:rFonts w:hint="default"/>
      </w:rPr>
    </w:lvl>
    <w:lvl w:ilvl="7">
      <w:start w:val="1"/>
      <w:numFmt w:val="decimal"/>
      <w:lvlText w:val="%1.%2.%3.%4.%5.%6.%7.%8"/>
      <w:lvlJc w:val="left"/>
      <w:pPr>
        <w:ind w:left="3478" w:hanging="1440"/>
      </w:pPr>
      <w:rPr>
        <w:rFonts w:hint="default"/>
      </w:rPr>
    </w:lvl>
    <w:lvl w:ilvl="8">
      <w:start w:val="1"/>
      <w:numFmt w:val="decimal"/>
      <w:lvlText w:val="%1.%2.%3.%4.%5.%6.%7.%8.%9"/>
      <w:lvlJc w:val="left"/>
      <w:pPr>
        <w:ind w:left="3622" w:hanging="1584"/>
      </w:pPr>
      <w:rPr>
        <w:rFonts w:hint="default"/>
      </w:rPr>
    </w:lvl>
  </w:abstractNum>
  <w:abstractNum w:abstractNumId="7" w15:restartNumberingAfterBreak="0">
    <w:nsid w:val="30B96B5B"/>
    <w:multiLevelType w:val="hybridMultilevel"/>
    <w:tmpl w:val="2CA0536C"/>
    <w:lvl w:ilvl="0" w:tplc="8B84DACA">
      <w:start w:val="1"/>
      <w:numFmt w:val="lowerRoman"/>
      <w:lvlText w:val="(%1)"/>
      <w:lvlJc w:val="left"/>
      <w:pPr>
        <w:ind w:left="1924" w:hanging="720"/>
      </w:pPr>
      <w:rPr>
        <w:rFonts w:hint="default"/>
      </w:rPr>
    </w:lvl>
    <w:lvl w:ilvl="1" w:tplc="1C090019" w:tentative="1">
      <w:start w:val="1"/>
      <w:numFmt w:val="lowerLetter"/>
      <w:lvlText w:val="%2."/>
      <w:lvlJc w:val="left"/>
      <w:pPr>
        <w:ind w:left="2284" w:hanging="360"/>
      </w:pPr>
    </w:lvl>
    <w:lvl w:ilvl="2" w:tplc="1C09001B" w:tentative="1">
      <w:start w:val="1"/>
      <w:numFmt w:val="lowerRoman"/>
      <w:lvlText w:val="%3."/>
      <w:lvlJc w:val="right"/>
      <w:pPr>
        <w:ind w:left="3004" w:hanging="180"/>
      </w:pPr>
    </w:lvl>
    <w:lvl w:ilvl="3" w:tplc="1C09000F" w:tentative="1">
      <w:start w:val="1"/>
      <w:numFmt w:val="decimal"/>
      <w:lvlText w:val="%4."/>
      <w:lvlJc w:val="left"/>
      <w:pPr>
        <w:ind w:left="3724" w:hanging="360"/>
      </w:pPr>
    </w:lvl>
    <w:lvl w:ilvl="4" w:tplc="1C090019" w:tentative="1">
      <w:start w:val="1"/>
      <w:numFmt w:val="lowerLetter"/>
      <w:lvlText w:val="%5."/>
      <w:lvlJc w:val="left"/>
      <w:pPr>
        <w:ind w:left="4444" w:hanging="360"/>
      </w:pPr>
    </w:lvl>
    <w:lvl w:ilvl="5" w:tplc="1C09001B" w:tentative="1">
      <w:start w:val="1"/>
      <w:numFmt w:val="lowerRoman"/>
      <w:lvlText w:val="%6."/>
      <w:lvlJc w:val="right"/>
      <w:pPr>
        <w:ind w:left="5164" w:hanging="180"/>
      </w:pPr>
    </w:lvl>
    <w:lvl w:ilvl="6" w:tplc="1C09000F" w:tentative="1">
      <w:start w:val="1"/>
      <w:numFmt w:val="decimal"/>
      <w:lvlText w:val="%7."/>
      <w:lvlJc w:val="left"/>
      <w:pPr>
        <w:ind w:left="5884" w:hanging="360"/>
      </w:pPr>
    </w:lvl>
    <w:lvl w:ilvl="7" w:tplc="1C090019" w:tentative="1">
      <w:start w:val="1"/>
      <w:numFmt w:val="lowerLetter"/>
      <w:lvlText w:val="%8."/>
      <w:lvlJc w:val="left"/>
      <w:pPr>
        <w:ind w:left="6604" w:hanging="360"/>
      </w:pPr>
    </w:lvl>
    <w:lvl w:ilvl="8" w:tplc="1C09001B" w:tentative="1">
      <w:start w:val="1"/>
      <w:numFmt w:val="lowerRoman"/>
      <w:lvlText w:val="%9."/>
      <w:lvlJc w:val="right"/>
      <w:pPr>
        <w:ind w:left="7324" w:hanging="180"/>
      </w:pPr>
    </w:lvl>
  </w:abstractNum>
  <w:abstractNum w:abstractNumId="8" w15:restartNumberingAfterBreak="0">
    <w:nsid w:val="36354968"/>
    <w:multiLevelType w:val="multilevel"/>
    <w:tmpl w:val="D948407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6D7053A"/>
    <w:multiLevelType w:val="hybridMultilevel"/>
    <w:tmpl w:val="5716453E"/>
    <w:lvl w:ilvl="0" w:tplc="4086E3F8">
      <w:start w:val="3"/>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FF2B3A"/>
    <w:multiLevelType w:val="hybridMultilevel"/>
    <w:tmpl w:val="A00C6D3A"/>
    <w:lvl w:ilvl="0" w:tplc="C2F0E766">
      <w:start w:val="1"/>
      <w:numFmt w:val="lowerRoman"/>
      <w:lvlText w:val="(%1)"/>
      <w:lvlJc w:val="left"/>
      <w:pPr>
        <w:ind w:left="1080" w:hanging="720"/>
      </w:pPr>
      <w:rPr>
        <w:rFonts w:hint="default"/>
        <w:b w:val="0"/>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4365DCD"/>
    <w:multiLevelType w:val="multilevel"/>
    <w:tmpl w:val="EF4A6842"/>
    <w:lvl w:ilvl="0">
      <w:start w:val="1"/>
      <w:numFmt w:val="decimal"/>
      <w:lvlText w:val="%1."/>
      <w:lvlJc w:val="left"/>
      <w:pPr>
        <w:ind w:left="360" w:hanging="360"/>
      </w:pPr>
      <w:rPr>
        <w:rFonts w:hint="default"/>
        <w:b/>
        <w:bCs/>
        <w:spacing w:val="-1"/>
        <w:sz w:val="23"/>
        <w:szCs w:val="23"/>
      </w:rPr>
    </w:lvl>
    <w:lvl w:ilvl="1">
      <w:start w:val="1"/>
      <w:numFmt w:val="decimal"/>
      <w:lvlText w:val="%1.%2."/>
      <w:lvlJc w:val="left"/>
      <w:pPr>
        <w:ind w:left="792" w:hanging="432"/>
      </w:pPr>
      <w:rPr>
        <w:rFonts w:hint="default"/>
        <w:spacing w:val="-1"/>
        <w:sz w:val="23"/>
        <w:szCs w:val="23"/>
      </w:rPr>
    </w:lvl>
    <w:lvl w:ilvl="2">
      <w:start w:val="1"/>
      <w:numFmt w:val="lowerLetter"/>
      <w:lvlText w:val="(%3)"/>
      <w:lvlJc w:val="left"/>
      <w:pPr>
        <w:ind w:left="1080" w:hanging="360"/>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4A5050"/>
    <w:multiLevelType w:val="multilevel"/>
    <w:tmpl w:val="455A0466"/>
    <w:lvl w:ilvl="0">
      <w:start w:val="1"/>
      <w:numFmt w:val="decimal"/>
      <w:lvlText w:val="%1."/>
      <w:lvlJc w:val="left"/>
      <w:pPr>
        <w:ind w:left="686" w:hanging="567"/>
      </w:pPr>
      <w:rPr>
        <w:rFonts w:ascii="Arial" w:eastAsia="Arial" w:hAnsi="Arial" w:hint="default"/>
        <w:b/>
        <w:bCs/>
        <w:spacing w:val="-1"/>
        <w:sz w:val="23"/>
        <w:szCs w:val="23"/>
      </w:rPr>
    </w:lvl>
    <w:lvl w:ilvl="1">
      <w:start w:val="1"/>
      <w:numFmt w:val="decimal"/>
      <w:lvlText w:val="%1.%2"/>
      <w:lvlJc w:val="left"/>
      <w:pPr>
        <w:ind w:left="685" w:hanging="567"/>
      </w:pPr>
      <w:rPr>
        <w:rFonts w:ascii="Arial" w:eastAsia="Arial" w:hAnsi="Arial" w:hint="default"/>
        <w:spacing w:val="-1"/>
        <w:sz w:val="23"/>
        <w:szCs w:val="23"/>
      </w:rPr>
    </w:lvl>
    <w:lvl w:ilvl="2">
      <w:start w:val="1"/>
      <w:numFmt w:val="lowerLetter"/>
      <w:lvlText w:val="(%3)"/>
      <w:lvlJc w:val="left"/>
      <w:pPr>
        <w:ind w:left="1113" w:hanging="428"/>
      </w:pPr>
      <w:rPr>
        <w:rFonts w:ascii="Arial" w:eastAsia="Arial" w:hAnsi="Arial" w:hint="default"/>
        <w:sz w:val="23"/>
        <w:szCs w:val="23"/>
      </w:rPr>
    </w:lvl>
    <w:lvl w:ilvl="3">
      <w:start w:val="1"/>
      <w:numFmt w:val="bullet"/>
      <w:lvlText w:val="•"/>
      <w:lvlJc w:val="left"/>
      <w:pPr>
        <w:ind w:left="686" w:hanging="428"/>
      </w:pPr>
      <w:rPr>
        <w:rFonts w:hint="default"/>
      </w:rPr>
    </w:lvl>
    <w:lvl w:ilvl="4">
      <w:start w:val="1"/>
      <w:numFmt w:val="bullet"/>
      <w:lvlText w:val="•"/>
      <w:lvlJc w:val="left"/>
      <w:pPr>
        <w:ind w:left="686" w:hanging="428"/>
      </w:pPr>
      <w:rPr>
        <w:rFonts w:hint="default"/>
      </w:rPr>
    </w:lvl>
    <w:lvl w:ilvl="5">
      <w:start w:val="1"/>
      <w:numFmt w:val="bullet"/>
      <w:lvlText w:val="•"/>
      <w:lvlJc w:val="left"/>
      <w:pPr>
        <w:ind w:left="686" w:hanging="428"/>
      </w:pPr>
      <w:rPr>
        <w:rFonts w:hint="default"/>
      </w:rPr>
    </w:lvl>
    <w:lvl w:ilvl="6">
      <w:start w:val="1"/>
      <w:numFmt w:val="bullet"/>
      <w:lvlText w:val="•"/>
      <w:lvlJc w:val="left"/>
      <w:pPr>
        <w:ind w:left="1113" w:hanging="428"/>
      </w:pPr>
      <w:rPr>
        <w:rFonts w:hint="default"/>
      </w:rPr>
    </w:lvl>
    <w:lvl w:ilvl="7">
      <w:start w:val="1"/>
      <w:numFmt w:val="bullet"/>
      <w:lvlText w:val="•"/>
      <w:lvlJc w:val="left"/>
      <w:pPr>
        <w:ind w:left="3146" w:hanging="428"/>
      </w:pPr>
      <w:rPr>
        <w:rFonts w:hint="default"/>
      </w:rPr>
    </w:lvl>
    <w:lvl w:ilvl="8">
      <w:start w:val="1"/>
      <w:numFmt w:val="bullet"/>
      <w:lvlText w:val="•"/>
      <w:lvlJc w:val="left"/>
      <w:pPr>
        <w:ind w:left="5180" w:hanging="428"/>
      </w:pPr>
      <w:rPr>
        <w:rFonts w:hint="default"/>
      </w:rPr>
    </w:lvl>
  </w:abstractNum>
  <w:abstractNum w:abstractNumId="13" w15:restartNumberingAfterBreak="0">
    <w:nsid w:val="67102568"/>
    <w:multiLevelType w:val="multilevel"/>
    <w:tmpl w:val="43A2FB10"/>
    <w:lvl w:ilvl="0">
      <w:start w:val="1"/>
      <w:numFmt w:val="decimal"/>
      <w:lvlText w:val="%1."/>
      <w:lvlJc w:val="left"/>
      <w:pPr>
        <w:ind w:left="360" w:hanging="360"/>
      </w:pPr>
      <w:rPr>
        <w:rFonts w:hint="default"/>
        <w:b/>
        <w:bCs/>
        <w:spacing w:val="-1"/>
        <w:sz w:val="23"/>
        <w:szCs w:val="23"/>
      </w:rPr>
    </w:lvl>
    <w:lvl w:ilvl="1">
      <w:start w:val="1"/>
      <w:numFmt w:val="lowerLetter"/>
      <w:lvlText w:val="(%2)"/>
      <w:lvlJc w:val="left"/>
      <w:pPr>
        <w:ind w:left="720" w:hanging="360"/>
      </w:pPr>
      <w:rPr>
        <w:rFonts w:hint="default"/>
        <w:b w:val="0"/>
        <w:bCs/>
      </w:r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7F2D82"/>
    <w:multiLevelType w:val="hybridMultilevel"/>
    <w:tmpl w:val="217A8AEA"/>
    <w:lvl w:ilvl="0" w:tplc="9A16ACA8">
      <w:start w:val="1"/>
      <w:numFmt w:val="bullet"/>
      <w:lvlText w:val=""/>
      <w:lvlJc w:val="left"/>
      <w:pPr>
        <w:ind w:left="971" w:hanging="286"/>
      </w:pPr>
      <w:rPr>
        <w:rFonts w:ascii="Symbol" w:eastAsia="Symbol" w:hAnsi="Symbol" w:hint="default"/>
        <w:sz w:val="23"/>
        <w:szCs w:val="23"/>
      </w:rPr>
    </w:lvl>
    <w:lvl w:ilvl="1" w:tplc="31A88A4C">
      <w:start w:val="1"/>
      <w:numFmt w:val="bullet"/>
      <w:lvlText w:val="•"/>
      <w:lvlJc w:val="left"/>
      <w:pPr>
        <w:ind w:left="1801" w:hanging="286"/>
      </w:pPr>
      <w:rPr>
        <w:rFonts w:hint="default"/>
      </w:rPr>
    </w:lvl>
    <w:lvl w:ilvl="2" w:tplc="ED44D8E0">
      <w:start w:val="1"/>
      <w:numFmt w:val="bullet"/>
      <w:lvlText w:val="•"/>
      <w:lvlJc w:val="left"/>
      <w:pPr>
        <w:ind w:left="2630" w:hanging="286"/>
      </w:pPr>
      <w:rPr>
        <w:rFonts w:hint="default"/>
      </w:rPr>
    </w:lvl>
    <w:lvl w:ilvl="3" w:tplc="95763E16">
      <w:start w:val="1"/>
      <w:numFmt w:val="bullet"/>
      <w:lvlText w:val="•"/>
      <w:lvlJc w:val="left"/>
      <w:pPr>
        <w:ind w:left="3460" w:hanging="286"/>
      </w:pPr>
      <w:rPr>
        <w:rFonts w:hint="default"/>
      </w:rPr>
    </w:lvl>
    <w:lvl w:ilvl="4" w:tplc="585C1C90">
      <w:start w:val="1"/>
      <w:numFmt w:val="bullet"/>
      <w:lvlText w:val="•"/>
      <w:lvlJc w:val="left"/>
      <w:pPr>
        <w:ind w:left="4289" w:hanging="286"/>
      </w:pPr>
      <w:rPr>
        <w:rFonts w:hint="default"/>
      </w:rPr>
    </w:lvl>
    <w:lvl w:ilvl="5" w:tplc="4554355E">
      <w:start w:val="1"/>
      <w:numFmt w:val="bullet"/>
      <w:lvlText w:val="•"/>
      <w:lvlJc w:val="left"/>
      <w:pPr>
        <w:ind w:left="5119" w:hanging="286"/>
      </w:pPr>
      <w:rPr>
        <w:rFonts w:hint="default"/>
      </w:rPr>
    </w:lvl>
    <w:lvl w:ilvl="6" w:tplc="9F4A4F7A">
      <w:start w:val="1"/>
      <w:numFmt w:val="bullet"/>
      <w:lvlText w:val="•"/>
      <w:lvlJc w:val="left"/>
      <w:pPr>
        <w:ind w:left="5948" w:hanging="286"/>
      </w:pPr>
      <w:rPr>
        <w:rFonts w:hint="default"/>
      </w:rPr>
    </w:lvl>
    <w:lvl w:ilvl="7" w:tplc="56BCBBFA">
      <w:start w:val="1"/>
      <w:numFmt w:val="bullet"/>
      <w:lvlText w:val="•"/>
      <w:lvlJc w:val="left"/>
      <w:pPr>
        <w:ind w:left="6778" w:hanging="286"/>
      </w:pPr>
      <w:rPr>
        <w:rFonts w:hint="default"/>
      </w:rPr>
    </w:lvl>
    <w:lvl w:ilvl="8" w:tplc="E9B0B5C6">
      <w:start w:val="1"/>
      <w:numFmt w:val="bullet"/>
      <w:lvlText w:val="•"/>
      <w:lvlJc w:val="left"/>
      <w:pPr>
        <w:ind w:left="7607" w:hanging="286"/>
      </w:pPr>
      <w:rPr>
        <w:rFonts w:hint="default"/>
      </w:rPr>
    </w:lvl>
  </w:abstractNum>
  <w:abstractNum w:abstractNumId="15" w15:restartNumberingAfterBreak="0">
    <w:nsid w:val="6B974B93"/>
    <w:multiLevelType w:val="hybridMultilevel"/>
    <w:tmpl w:val="9A3C978C"/>
    <w:lvl w:ilvl="0" w:tplc="C30E7D4E">
      <w:start w:val="3"/>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AB07E68"/>
    <w:multiLevelType w:val="multilevel"/>
    <w:tmpl w:val="307A22F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3495145">
    <w:abstractNumId w:val="14"/>
  </w:num>
  <w:num w:numId="2" w16cid:durableId="883979742">
    <w:abstractNumId w:val="1"/>
  </w:num>
  <w:num w:numId="3" w16cid:durableId="1749955817">
    <w:abstractNumId w:val="3"/>
  </w:num>
  <w:num w:numId="4" w16cid:durableId="243030175">
    <w:abstractNumId w:val="0"/>
  </w:num>
  <w:num w:numId="5" w16cid:durableId="879392326">
    <w:abstractNumId w:val="5"/>
  </w:num>
  <w:num w:numId="6" w16cid:durableId="1480731346">
    <w:abstractNumId w:val="4"/>
  </w:num>
  <w:num w:numId="7" w16cid:durableId="189912577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9711456">
    <w:abstractNumId w:val="6"/>
  </w:num>
  <w:num w:numId="9" w16cid:durableId="2065063984">
    <w:abstractNumId w:val="7"/>
  </w:num>
  <w:num w:numId="10" w16cid:durableId="160973846">
    <w:abstractNumId w:val="16"/>
  </w:num>
  <w:num w:numId="11" w16cid:durableId="811598043">
    <w:abstractNumId w:val="9"/>
  </w:num>
  <w:num w:numId="12" w16cid:durableId="331840528">
    <w:abstractNumId w:val="15"/>
  </w:num>
  <w:num w:numId="13" w16cid:durableId="1668509775">
    <w:abstractNumId w:val="12"/>
  </w:num>
  <w:num w:numId="14" w16cid:durableId="1589999461">
    <w:abstractNumId w:val="2"/>
  </w:num>
  <w:num w:numId="15" w16cid:durableId="342368270">
    <w:abstractNumId w:val="10"/>
  </w:num>
  <w:num w:numId="16" w16cid:durableId="7026285">
    <w:abstractNumId w:val="8"/>
  </w:num>
  <w:num w:numId="17" w16cid:durableId="1256859169">
    <w:abstractNumId w:val="13"/>
  </w:num>
  <w:num w:numId="18" w16cid:durableId="1433823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2tDS2sDQ2NTA3NbZU0lEKTi0uzszPAykwrAUA3PgsmywAAAA="/>
  </w:docVars>
  <w:rsids>
    <w:rsidRoot w:val="00A61CAE"/>
    <w:rsid w:val="0000430B"/>
    <w:rsid w:val="00004684"/>
    <w:rsid w:val="00006EA3"/>
    <w:rsid w:val="0000798A"/>
    <w:rsid w:val="00012F9A"/>
    <w:rsid w:val="000136D4"/>
    <w:rsid w:val="000223F8"/>
    <w:rsid w:val="00023CEB"/>
    <w:rsid w:val="00024788"/>
    <w:rsid w:val="000349C9"/>
    <w:rsid w:val="00035AB3"/>
    <w:rsid w:val="00040DF7"/>
    <w:rsid w:val="00042224"/>
    <w:rsid w:val="00044004"/>
    <w:rsid w:val="0004501D"/>
    <w:rsid w:val="0004710E"/>
    <w:rsid w:val="00060576"/>
    <w:rsid w:val="00061127"/>
    <w:rsid w:val="00061243"/>
    <w:rsid w:val="00063EAB"/>
    <w:rsid w:val="00064B50"/>
    <w:rsid w:val="00066066"/>
    <w:rsid w:val="00066658"/>
    <w:rsid w:val="00072094"/>
    <w:rsid w:val="00073618"/>
    <w:rsid w:val="00074A8D"/>
    <w:rsid w:val="00083003"/>
    <w:rsid w:val="0008512A"/>
    <w:rsid w:val="000853EB"/>
    <w:rsid w:val="00091418"/>
    <w:rsid w:val="00091592"/>
    <w:rsid w:val="00094037"/>
    <w:rsid w:val="000971EB"/>
    <w:rsid w:val="000A21A7"/>
    <w:rsid w:val="000A6066"/>
    <w:rsid w:val="000B0149"/>
    <w:rsid w:val="000B2382"/>
    <w:rsid w:val="000B316E"/>
    <w:rsid w:val="000B4D4A"/>
    <w:rsid w:val="000B5EA7"/>
    <w:rsid w:val="000D381A"/>
    <w:rsid w:val="000D6CFF"/>
    <w:rsid w:val="000D787D"/>
    <w:rsid w:val="000E4B65"/>
    <w:rsid w:val="000E7423"/>
    <w:rsid w:val="001009C5"/>
    <w:rsid w:val="0010218F"/>
    <w:rsid w:val="00104971"/>
    <w:rsid w:val="00104C1C"/>
    <w:rsid w:val="00105AAD"/>
    <w:rsid w:val="001060DC"/>
    <w:rsid w:val="0011261C"/>
    <w:rsid w:val="00114283"/>
    <w:rsid w:val="00114B84"/>
    <w:rsid w:val="00115E73"/>
    <w:rsid w:val="00116B61"/>
    <w:rsid w:val="00121075"/>
    <w:rsid w:val="00123B10"/>
    <w:rsid w:val="00125859"/>
    <w:rsid w:val="00134313"/>
    <w:rsid w:val="00135070"/>
    <w:rsid w:val="00137710"/>
    <w:rsid w:val="00142FBC"/>
    <w:rsid w:val="00144194"/>
    <w:rsid w:val="00144BC6"/>
    <w:rsid w:val="001503DF"/>
    <w:rsid w:val="00157705"/>
    <w:rsid w:val="001611B7"/>
    <w:rsid w:val="00161830"/>
    <w:rsid w:val="001658FC"/>
    <w:rsid w:val="00172D22"/>
    <w:rsid w:val="00181870"/>
    <w:rsid w:val="00184162"/>
    <w:rsid w:val="001859C9"/>
    <w:rsid w:val="00193542"/>
    <w:rsid w:val="00196D17"/>
    <w:rsid w:val="001A0AD3"/>
    <w:rsid w:val="001A0B2A"/>
    <w:rsid w:val="001A0D6D"/>
    <w:rsid w:val="001A1E30"/>
    <w:rsid w:val="001A305A"/>
    <w:rsid w:val="001A3D2E"/>
    <w:rsid w:val="001A55B0"/>
    <w:rsid w:val="001B1208"/>
    <w:rsid w:val="001B146F"/>
    <w:rsid w:val="001B18AF"/>
    <w:rsid w:val="001B5FC4"/>
    <w:rsid w:val="001C50E5"/>
    <w:rsid w:val="001C7245"/>
    <w:rsid w:val="001C7B41"/>
    <w:rsid w:val="001D10DB"/>
    <w:rsid w:val="001D1494"/>
    <w:rsid w:val="001D5E45"/>
    <w:rsid w:val="001D692E"/>
    <w:rsid w:val="001D7F22"/>
    <w:rsid w:val="001E12F2"/>
    <w:rsid w:val="001E69C9"/>
    <w:rsid w:val="001E6AEE"/>
    <w:rsid w:val="001E6C12"/>
    <w:rsid w:val="001F045B"/>
    <w:rsid w:val="001F13EE"/>
    <w:rsid w:val="001F1E4A"/>
    <w:rsid w:val="001F4153"/>
    <w:rsid w:val="001F43F8"/>
    <w:rsid w:val="001F675C"/>
    <w:rsid w:val="001F767D"/>
    <w:rsid w:val="00201099"/>
    <w:rsid w:val="00206CFC"/>
    <w:rsid w:val="002076C6"/>
    <w:rsid w:val="00207917"/>
    <w:rsid w:val="00212E61"/>
    <w:rsid w:val="0021541A"/>
    <w:rsid w:val="00217867"/>
    <w:rsid w:val="00223BF0"/>
    <w:rsid w:val="00224646"/>
    <w:rsid w:val="002265A0"/>
    <w:rsid w:val="00227C16"/>
    <w:rsid w:val="00230391"/>
    <w:rsid w:val="002315F5"/>
    <w:rsid w:val="002340BD"/>
    <w:rsid w:val="0023743F"/>
    <w:rsid w:val="002414E2"/>
    <w:rsid w:val="002441F0"/>
    <w:rsid w:val="002456E0"/>
    <w:rsid w:val="00245F08"/>
    <w:rsid w:val="00253AF9"/>
    <w:rsid w:val="00255391"/>
    <w:rsid w:val="002706D6"/>
    <w:rsid w:val="00270C65"/>
    <w:rsid w:val="00271186"/>
    <w:rsid w:val="00271C7F"/>
    <w:rsid w:val="0027416A"/>
    <w:rsid w:val="00274560"/>
    <w:rsid w:val="00274C09"/>
    <w:rsid w:val="0027650D"/>
    <w:rsid w:val="00276A7D"/>
    <w:rsid w:val="002779F8"/>
    <w:rsid w:val="00282116"/>
    <w:rsid w:val="00283518"/>
    <w:rsid w:val="002852EB"/>
    <w:rsid w:val="002919CF"/>
    <w:rsid w:val="00291A77"/>
    <w:rsid w:val="00295D2A"/>
    <w:rsid w:val="002A1AAA"/>
    <w:rsid w:val="002A3F2A"/>
    <w:rsid w:val="002B020D"/>
    <w:rsid w:val="002B27D8"/>
    <w:rsid w:val="002B2961"/>
    <w:rsid w:val="002B673D"/>
    <w:rsid w:val="002C1513"/>
    <w:rsid w:val="002C157E"/>
    <w:rsid w:val="002C369A"/>
    <w:rsid w:val="002C5135"/>
    <w:rsid w:val="002C56C2"/>
    <w:rsid w:val="002C68D3"/>
    <w:rsid w:val="002D1724"/>
    <w:rsid w:val="002D2580"/>
    <w:rsid w:val="002D33D3"/>
    <w:rsid w:val="002D626B"/>
    <w:rsid w:val="002D6CCF"/>
    <w:rsid w:val="002D7C85"/>
    <w:rsid w:val="002F1CC6"/>
    <w:rsid w:val="002F3450"/>
    <w:rsid w:val="002F535C"/>
    <w:rsid w:val="002F6C6C"/>
    <w:rsid w:val="00300B06"/>
    <w:rsid w:val="00303E5C"/>
    <w:rsid w:val="00313535"/>
    <w:rsid w:val="00315041"/>
    <w:rsid w:val="00315BA7"/>
    <w:rsid w:val="00320DEE"/>
    <w:rsid w:val="003210F2"/>
    <w:rsid w:val="00325789"/>
    <w:rsid w:val="00325D79"/>
    <w:rsid w:val="0032633F"/>
    <w:rsid w:val="0033142A"/>
    <w:rsid w:val="00346754"/>
    <w:rsid w:val="00350056"/>
    <w:rsid w:val="00352E2C"/>
    <w:rsid w:val="00357B36"/>
    <w:rsid w:val="00357F42"/>
    <w:rsid w:val="0036320A"/>
    <w:rsid w:val="00365837"/>
    <w:rsid w:val="00374CD7"/>
    <w:rsid w:val="00377A90"/>
    <w:rsid w:val="00380115"/>
    <w:rsid w:val="003857C8"/>
    <w:rsid w:val="00386FD5"/>
    <w:rsid w:val="003A0287"/>
    <w:rsid w:val="003A08C6"/>
    <w:rsid w:val="003A13CF"/>
    <w:rsid w:val="003A7ED6"/>
    <w:rsid w:val="003B0A52"/>
    <w:rsid w:val="003B4416"/>
    <w:rsid w:val="003B6744"/>
    <w:rsid w:val="003C1C72"/>
    <w:rsid w:val="003C2FC9"/>
    <w:rsid w:val="003C46D8"/>
    <w:rsid w:val="003C497F"/>
    <w:rsid w:val="003C7D26"/>
    <w:rsid w:val="003D22E1"/>
    <w:rsid w:val="003D5945"/>
    <w:rsid w:val="003F0B95"/>
    <w:rsid w:val="003F1912"/>
    <w:rsid w:val="003F1D41"/>
    <w:rsid w:val="003F1FCD"/>
    <w:rsid w:val="00400501"/>
    <w:rsid w:val="00400802"/>
    <w:rsid w:val="00403711"/>
    <w:rsid w:val="00403C1B"/>
    <w:rsid w:val="0040430A"/>
    <w:rsid w:val="00405B01"/>
    <w:rsid w:val="00415AB9"/>
    <w:rsid w:val="0042093B"/>
    <w:rsid w:val="00422B75"/>
    <w:rsid w:val="0042359A"/>
    <w:rsid w:val="004273F7"/>
    <w:rsid w:val="00427F26"/>
    <w:rsid w:val="00431F04"/>
    <w:rsid w:val="004330FE"/>
    <w:rsid w:val="00434D7C"/>
    <w:rsid w:val="00437C3B"/>
    <w:rsid w:val="00442A60"/>
    <w:rsid w:val="0044633A"/>
    <w:rsid w:val="00450589"/>
    <w:rsid w:val="00451F3C"/>
    <w:rsid w:val="00461897"/>
    <w:rsid w:val="0046209C"/>
    <w:rsid w:val="004644DB"/>
    <w:rsid w:val="00465660"/>
    <w:rsid w:val="00466EC8"/>
    <w:rsid w:val="00472A58"/>
    <w:rsid w:val="00472EBA"/>
    <w:rsid w:val="00476FFB"/>
    <w:rsid w:val="00480B69"/>
    <w:rsid w:val="004835DE"/>
    <w:rsid w:val="00486021"/>
    <w:rsid w:val="00486414"/>
    <w:rsid w:val="00487603"/>
    <w:rsid w:val="0048773A"/>
    <w:rsid w:val="00490946"/>
    <w:rsid w:val="004922F2"/>
    <w:rsid w:val="0049237B"/>
    <w:rsid w:val="004933B3"/>
    <w:rsid w:val="004A1E7B"/>
    <w:rsid w:val="004A23E5"/>
    <w:rsid w:val="004A248D"/>
    <w:rsid w:val="004B1665"/>
    <w:rsid w:val="004B37E6"/>
    <w:rsid w:val="004B4750"/>
    <w:rsid w:val="004B625F"/>
    <w:rsid w:val="004B65A1"/>
    <w:rsid w:val="004C2C96"/>
    <w:rsid w:val="004C4C18"/>
    <w:rsid w:val="004D61F0"/>
    <w:rsid w:val="004D7135"/>
    <w:rsid w:val="004D7ACE"/>
    <w:rsid w:val="004E5058"/>
    <w:rsid w:val="004F5007"/>
    <w:rsid w:val="004F600F"/>
    <w:rsid w:val="004F65B8"/>
    <w:rsid w:val="004F66DB"/>
    <w:rsid w:val="004F70E5"/>
    <w:rsid w:val="00501502"/>
    <w:rsid w:val="0050374A"/>
    <w:rsid w:val="005055B6"/>
    <w:rsid w:val="00506871"/>
    <w:rsid w:val="005076A8"/>
    <w:rsid w:val="00513C4C"/>
    <w:rsid w:val="00515925"/>
    <w:rsid w:val="00516AEC"/>
    <w:rsid w:val="005209B6"/>
    <w:rsid w:val="00523DCD"/>
    <w:rsid w:val="00525540"/>
    <w:rsid w:val="00527246"/>
    <w:rsid w:val="00532B1F"/>
    <w:rsid w:val="005368F2"/>
    <w:rsid w:val="0054138A"/>
    <w:rsid w:val="00541555"/>
    <w:rsid w:val="005416A3"/>
    <w:rsid w:val="0054208F"/>
    <w:rsid w:val="00546037"/>
    <w:rsid w:val="005469A6"/>
    <w:rsid w:val="00547205"/>
    <w:rsid w:val="0055769E"/>
    <w:rsid w:val="00560140"/>
    <w:rsid w:val="00560265"/>
    <w:rsid w:val="00560DA1"/>
    <w:rsid w:val="0056131E"/>
    <w:rsid w:val="0056799C"/>
    <w:rsid w:val="00567D16"/>
    <w:rsid w:val="005727EA"/>
    <w:rsid w:val="0057285F"/>
    <w:rsid w:val="0057476C"/>
    <w:rsid w:val="005754F1"/>
    <w:rsid w:val="005806B8"/>
    <w:rsid w:val="0058403A"/>
    <w:rsid w:val="00591330"/>
    <w:rsid w:val="00591D91"/>
    <w:rsid w:val="005923B7"/>
    <w:rsid w:val="00594E2C"/>
    <w:rsid w:val="00596342"/>
    <w:rsid w:val="005964CA"/>
    <w:rsid w:val="005A0EF0"/>
    <w:rsid w:val="005A2189"/>
    <w:rsid w:val="005A228A"/>
    <w:rsid w:val="005A431A"/>
    <w:rsid w:val="005A480B"/>
    <w:rsid w:val="005A4B30"/>
    <w:rsid w:val="005A71D4"/>
    <w:rsid w:val="005B0601"/>
    <w:rsid w:val="005B1627"/>
    <w:rsid w:val="005B1E0C"/>
    <w:rsid w:val="005B24E6"/>
    <w:rsid w:val="005B3B80"/>
    <w:rsid w:val="005B4C90"/>
    <w:rsid w:val="005C1C11"/>
    <w:rsid w:val="005D7B2E"/>
    <w:rsid w:val="005F196F"/>
    <w:rsid w:val="005F1F5B"/>
    <w:rsid w:val="005F2054"/>
    <w:rsid w:val="005F2FDC"/>
    <w:rsid w:val="005F544C"/>
    <w:rsid w:val="005F7344"/>
    <w:rsid w:val="005F7F09"/>
    <w:rsid w:val="006043D5"/>
    <w:rsid w:val="0060565B"/>
    <w:rsid w:val="00614203"/>
    <w:rsid w:val="0061496F"/>
    <w:rsid w:val="00621742"/>
    <w:rsid w:val="00625452"/>
    <w:rsid w:val="0063233E"/>
    <w:rsid w:val="00632FC0"/>
    <w:rsid w:val="006500A7"/>
    <w:rsid w:val="00650A6C"/>
    <w:rsid w:val="00651F99"/>
    <w:rsid w:val="00652391"/>
    <w:rsid w:val="0065273A"/>
    <w:rsid w:val="00652A2A"/>
    <w:rsid w:val="006625A0"/>
    <w:rsid w:val="00663CFC"/>
    <w:rsid w:val="00670B7B"/>
    <w:rsid w:val="00673CD0"/>
    <w:rsid w:val="00675707"/>
    <w:rsid w:val="00676128"/>
    <w:rsid w:val="006901B7"/>
    <w:rsid w:val="00692B7F"/>
    <w:rsid w:val="00693134"/>
    <w:rsid w:val="00693ACD"/>
    <w:rsid w:val="006A07F4"/>
    <w:rsid w:val="006A17F6"/>
    <w:rsid w:val="006A6613"/>
    <w:rsid w:val="006B5FE1"/>
    <w:rsid w:val="006C379B"/>
    <w:rsid w:val="006D70EE"/>
    <w:rsid w:val="006E2A86"/>
    <w:rsid w:val="006E2D0B"/>
    <w:rsid w:val="006E4D51"/>
    <w:rsid w:val="006E656D"/>
    <w:rsid w:val="006F3A67"/>
    <w:rsid w:val="006F5027"/>
    <w:rsid w:val="0070132E"/>
    <w:rsid w:val="00701B0D"/>
    <w:rsid w:val="00704C54"/>
    <w:rsid w:val="0070799E"/>
    <w:rsid w:val="00714F02"/>
    <w:rsid w:val="00716037"/>
    <w:rsid w:val="007212A4"/>
    <w:rsid w:val="0072263B"/>
    <w:rsid w:val="00723AC6"/>
    <w:rsid w:val="00726663"/>
    <w:rsid w:val="00727529"/>
    <w:rsid w:val="00730854"/>
    <w:rsid w:val="0073166D"/>
    <w:rsid w:val="00737696"/>
    <w:rsid w:val="00741AA2"/>
    <w:rsid w:val="00742C51"/>
    <w:rsid w:val="00743F5A"/>
    <w:rsid w:val="00750139"/>
    <w:rsid w:val="00750727"/>
    <w:rsid w:val="00751C4F"/>
    <w:rsid w:val="00752246"/>
    <w:rsid w:val="0075586E"/>
    <w:rsid w:val="007567EB"/>
    <w:rsid w:val="0075768D"/>
    <w:rsid w:val="00761B48"/>
    <w:rsid w:val="00761F6E"/>
    <w:rsid w:val="007646EA"/>
    <w:rsid w:val="007700BB"/>
    <w:rsid w:val="007734CC"/>
    <w:rsid w:val="0077383C"/>
    <w:rsid w:val="00773F80"/>
    <w:rsid w:val="00775EF2"/>
    <w:rsid w:val="007775F3"/>
    <w:rsid w:val="00784752"/>
    <w:rsid w:val="00790E34"/>
    <w:rsid w:val="00794943"/>
    <w:rsid w:val="0079661F"/>
    <w:rsid w:val="007A45C3"/>
    <w:rsid w:val="007B069C"/>
    <w:rsid w:val="007B26D6"/>
    <w:rsid w:val="007C035A"/>
    <w:rsid w:val="007C09ED"/>
    <w:rsid w:val="007C2BA3"/>
    <w:rsid w:val="007D06AE"/>
    <w:rsid w:val="007D160C"/>
    <w:rsid w:val="007D79AE"/>
    <w:rsid w:val="007E24E7"/>
    <w:rsid w:val="007E4B7B"/>
    <w:rsid w:val="007E7BB7"/>
    <w:rsid w:val="007E7C7F"/>
    <w:rsid w:val="007F0C43"/>
    <w:rsid w:val="007F28F8"/>
    <w:rsid w:val="007F2C1A"/>
    <w:rsid w:val="007F46BD"/>
    <w:rsid w:val="00802A48"/>
    <w:rsid w:val="00803A63"/>
    <w:rsid w:val="00805380"/>
    <w:rsid w:val="008056A5"/>
    <w:rsid w:val="00807B0A"/>
    <w:rsid w:val="00812556"/>
    <w:rsid w:val="008131CF"/>
    <w:rsid w:val="00813538"/>
    <w:rsid w:val="00813798"/>
    <w:rsid w:val="0081409F"/>
    <w:rsid w:val="00814ECA"/>
    <w:rsid w:val="008202AC"/>
    <w:rsid w:val="0082118F"/>
    <w:rsid w:val="008239B7"/>
    <w:rsid w:val="008255F2"/>
    <w:rsid w:val="00825C46"/>
    <w:rsid w:val="00826A32"/>
    <w:rsid w:val="008309EE"/>
    <w:rsid w:val="008369F0"/>
    <w:rsid w:val="008373D8"/>
    <w:rsid w:val="008374D3"/>
    <w:rsid w:val="008451E3"/>
    <w:rsid w:val="00845FBB"/>
    <w:rsid w:val="00846CD3"/>
    <w:rsid w:val="00850124"/>
    <w:rsid w:val="00853A29"/>
    <w:rsid w:val="00855CA3"/>
    <w:rsid w:val="00856416"/>
    <w:rsid w:val="00860BF0"/>
    <w:rsid w:val="00861D13"/>
    <w:rsid w:val="00865BD0"/>
    <w:rsid w:val="00866908"/>
    <w:rsid w:val="00873E07"/>
    <w:rsid w:val="008747E5"/>
    <w:rsid w:val="0089041C"/>
    <w:rsid w:val="00890C34"/>
    <w:rsid w:val="008921F6"/>
    <w:rsid w:val="00894388"/>
    <w:rsid w:val="00895F05"/>
    <w:rsid w:val="008972F4"/>
    <w:rsid w:val="008A32C4"/>
    <w:rsid w:val="008B4048"/>
    <w:rsid w:val="008B4F53"/>
    <w:rsid w:val="008B71D7"/>
    <w:rsid w:val="008C1E5B"/>
    <w:rsid w:val="008C26C3"/>
    <w:rsid w:val="008D1362"/>
    <w:rsid w:val="008D4FD7"/>
    <w:rsid w:val="008E1A4B"/>
    <w:rsid w:val="008E3CFB"/>
    <w:rsid w:val="008E7D94"/>
    <w:rsid w:val="008E7EFD"/>
    <w:rsid w:val="008F0328"/>
    <w:rsid w:val="008F0F9E"/>
    <w:rsid w:val="008F4D48"/>
    <w:rsid w:val="008F7894"/>
    <w:rsid w:val="00901102"/>
    <w:rsid w:val="00902391"/>
    <w:rsid w:val="009060F8"/>
    <w:rsid w:val="00912BD7"/>
    <w:rsid w:val="00915085"/>
    <w:rsid w:val="009151D7"/>
    <w:rsid w:val="00915B1E"/>
    <w:rsid w:val="00916BA0"/>
    <w:rsid w:val="0092191D"/>
    <w:rsid w:val="00925EAF"/>
    <w:rsid w:val="0092678F"/>
    <w:rsid w:val="009315B6"/>
    <w:rsid w:val="00932DE3"/>
    <w:rsid w:val="0093564F"/>
    <w:rsid w:val="00935816"/>
    <w:rsid w:val="00937877"/>
    <w:rsid w:val="00942F8F"/>
    <w:rsid w:val="00943EB6"/>
    <w:rsid w:val="00945533"/>
    <w:rsid w:val="00945B00"/>
    <w:rsid w:val="009465CD"/>
    <w:rsid w:val="00947BE2"/>
    <w:rsid w:val="00951022"/>
    <w:rsid w:val="009522DE"/>
    <w:rsid w:val="00955985"/>
    <w:rsid w:val="0096085E"/>
    <w:rsid w:val="00960AE1"/>
    <w:rsid w:val="0096366D"/>
    <w:rsid w:val="00963707"/>
    <w:rsid w:val="009639EE"/>
    <w:rsid w:val="00965B05"/>
    <w:rsid w:val="00965F89"/>
    <w:rsid w:val="00976002"/>
    <w:rsid w:val="00977B68"/>
    <w:rsid w:val="00984A95"/>
    <w:rsid w:val="00985428"/>
    <w:rsid w:val="00987023"/>
    <w:rsid w:val="00987046"/>
    <w:rsid w:val="009934BB"/>
    <w:rsid w:val="009A0204"/>
    <w:rsid w:val="009A30FC"/>
    <w:rsid w:val="009A35D4"/>
    <w:rsid w:val="009A404F"/>
    <w:rsid w:val="009A4893"/>
    <w:rsid w:val="009A5EF1"/>
    <w:rsid w:val="009B14C6"/>
    <w:rsid w:val="009B4055"/>
    <w:rsid w:val="009B4B01"/>
    <w:rsid w:val="009B5E5D"/>
    <w:rsid w:val="009C2BB9"/>
    <w:rsid w:val="009C4651"/>
    <w:rsid w:val="009D042A"/>
    <w:rsid w:val="009D149A"/>
    <w:rsid w:val="009E1AF8"/>
    <w:rsid w:val="009E55A9"/>
    <w:rsid w:val="009E70A9"/>
    <w:rsid w:val="009F13C6"/>
    <w:rsid w:val="009F2E7D"/>
    <w:rsid w:val="009F5F9B"/>
    <w:rsid w:val="00A03177"/>
    <w:rsid w:val="00A05DE2"/>
    <w:rsid w:val="00A06C24"/>
    <w:rsid w:val="00A079A9"/>
    <w:rsid w:val="00A10F6D"/>
    <w:rsid w:val="00A12229"/>
    <w:rsid w:val="00A300A9"/>
    <w:rsid w:val="00A3077D"/>
    <w:rsid w:val="00A30811"/>
    <w:rsid w:val="00A33607"/>
    <w:rsid w:val="00A33BAB"/>
    <w:rsid w:val="00A3730B"/>
    <w:rsid w:val="00A419D1"/>
    <w:rsid w:val="00A4214A"/>
    <w:rsid w:val="00A4217F"/>
    <w:rsid w:val="00A45DF9"/>
    <w:rsid w:val="00A46847"/>
    <w:rsid w:val="00A534C3"/>
    <w:rsid w:val="00A61CAE"/>
    <w:rsid w:val="00A66ED5"/>
    <w:rsid w:val="00A679C7"/>
    <w:rsid w:val="00A67B92"/>
    <w:rsid w:val="00A73081"/>
    <w:rsid w:val="00A73A74"/>
    <w:rsid w:val="00A74012"/>
    <w:rsid w:val="00A9039A"/>
    <w:rsid w:val="00A91316"/>
    <w:rsid w:val="00A9314E"/>
    <w:rsid w:val="00A942A7"/>
    <w:rsid w:val="00A96D7D"/>
    <w:rsid w:val="00A97A5F"/>
    <w:rsid w:val="00AA372F"/>
    <w:rsid w:val="00AA5F3E"/>
    <w:rsid w:val="00AA7767"/>
    <w:rsid w:val="00AB2871"/>
    <w:rsid w:val="00AB553F"/>
    <w:rsid w:val="00AC0856"/>
    <w:rsid w:val="00AC2334"/>
    <w:rsid w:val="00AC2B8B"/>
    <w:rsid w:val="00AC30C2"/>
    <w:rsid w:val="00AC5D5A"/>
    <w:rsid w:val="00AC6947"/>
    <w:rsid w:val="00AE0647"/>
    <w:rsid w:val="00AE145C"/>
    <w:rsid w:val="00AE1BF3"/>
    <w:rsid w:val="00AE1CCD"/>
    <w:rsid w:val="00AE2434"/>
    <w:rsid w:val="00AE32E2"/>
    <w:rsid w:val="00AE3E33"/>
    <w:rsid w:val="00AE4585"/>
    <w:rsid w:val="00AE4FFD"/>
    <w:rsid w:val="00AF0C62"/>
    <w:rsid w:val="00AF3059"/>
    <w:rsid w:val="00AF3320"/>
    <w:rsid w:val="00AF337A"/>
    <w:rsid w:val="00AF5541"/>
    <w:rsid w:val="00B00202"/>
    <w:rsid w:val="00B00809"/>
    <w:rsid w:val="00B03CD0"/>
    <w:rsid w:val="00B1172B"/>
    <w:rsid w:val="00B15AAD"/>
    <w:rsid w:val="00B2035F"/>
    <w:rsid w:val="00B20CA4"/>
    <w:rsid w:val="00B24C7E"/>
    <w:rsid w:val="00B25195"/>
    <w:rsid w:val="00B27A53"/>
    <w:rsid w:val="00B307A7"/>
    <w:rsid w:val="00B33AC5"/>
    <w:rsid w:val="00B34A43"/>
    <w:rsid w:val="00B34E0F"/>
    <w:rsid w:val="00B353D9"/>
    <w:rsid w:val="00B35D08"/>
    <w:rsid w:val="00B36E47"/>
    <w:rsid w:val="00B41A7F"/>
    <w:rsid w:val="00B4379E"/>
    <w:rsid w:val="00B469A5"/>
    <w:rsid w:val="00B47736"/>
    <w:rsid w:val="00B53E7C"/>
    <w:rsid w:val="00B53F6F"/>
    <w:rsid w:val="00B54A38"/>
    <w:rsid w:val="00B62186"/>
    <w:rsid w:val="00B7094C"/>
    <w:rsid w:val="00B713C9"/>
    <w:rsid w:val="00B7321E"/>
    <w:rsid w:val="00B73ECA"/>
    <w:rsid w:val="00B759D2"/>
    <w:rsid w:val="00B817AC"/>
    <w:rsid w:val="00B84B56"/>
    <w:rsid w:val="00B87920"/>
    <w:rsid w:val="00B93567"/>
    <w:rsid w:val="00B95760"/>
    <w:rsid w:val="00BA0268"/>
    <w:rsid w:val="00BA1BE2"/>
    <w:rsid w:val="00BA208A"/>
    <w:rsid w:val="00BA4196"/>
    <w:rsid w:val="00BB16BA"/>
    <w:rsid w:val="00BB19A0"/>
    <w:rsid w:val="00BB3250"/>
    <w:rsid w:val="00BB6A1E"/>
    <w:rsid w:val="00BC5BD8"/>
    <w:rsid w:val="00BC7A76"/>
    <w:rsid w:val="00BD0392"/>
    <w:rsid w:val="00BD2437"/>
    <w:rsid w:val="00BD293D"/>
    <w:rsid w:val="00BE0F14"/>
    <w:rsid w:val="00BE1E5F"/>
    <w:rsid w:val="00BF20E5"/>
    <w:rsid w:val="00BF7277"/>
    <w:rsid w:val="00C042E5"/>
    <w:rsid w:val="00C133D6"/>
    <w:rsid w:val="00C15B59"/>
    <w:rsid w:val="00C15DDB"/>
    <w:rsid w:val="00C16F98"/>
    <w:rsid w:val="00C17F9C"/>
    <w:rsid w:val="00C20113"/>
    <w:rsid w:val="00C209EB"/>
    <w:rsid w:val="00C22600"/>
    <w:rsid w:val="00C23F79"/>
    <w:rsid w:val="00C241F3"/>
    <w:rsid w:val="00C26A9B"/>
    <w:rsid w:val="00C26ED6"/>
    <w:rsid w:val="00C2760E"/>
    <w:rsid w:val="00C30665"/>
    <w:rsid w:val="00C32761"/>
    <w:rsid w:val="00C473A2"/>
    <w:rsid w:val="00C5155C"/>
    <w:rsid w:val="00C5250C"/>
    <w:rsid w:val="00C542DF"/>
    <w:rsid w:val="00C6199F"/>
    <w:rsid w:val="00C61C59"/>
    <w:rsid w:val="00C6518E"/>
    <w:rsid w:val="00C66B17"/>
    <w:rsid w:val="00C672BA"/>
    <w:rsid w:val="00C67F7F"/>
    <w:rsid w:val="00C725BE"/>
    <w:rsid w:val="00C75867"/>
    <w:rsid w:val="00C77985"/>
    <w:rsid w:val="00C8151F"/>
    <w:rsid w:val="00C85D43"/>
    <w:rsid w:val="00C86489"/>
    <w:rsid w:val="00C9207E"/>
    <w:rsid w:val="00C95C66"/>
    <w:rsid w:val="00C95DC0"/>
    <w:rsid w:val="00C977D6"/>
    <w:rsid w:val="00CA1CAE"/>
    <w:rsid w:val="00CA2F4C"/>
    <w:rsid w:val="00CA3C37"/>
    <w:rsid w:val="00CA3F5A"/>
    <w:rsid w:val="00CA7926"/>
    <w:rsid w:val="00CA79A3"/>
    <w:rsid w:val="00CB0CDE"/>
    <w:rsid w:val="00CB253E"/>
    <w:rsid w:val="00CB2853"/>
    <w:rsid w:val="00CB685E"/>
    <w:rsid w:val="00CB79D1"/>
    <w:rsid w:val="00CC0082"/>
    <w:rsid w:val="00CC4626"/>
    <w:rsid w:val="00CC493A"/>
    <w:rsid w:val="00CC4961"/>
    <w:rsid w:val="00CD1BE9"/>
    <w:rsid w:val="00CD6490"/>
    <w:rsid w:val="00CD71E4"/>
    <w:rsid w:val="00CE06C3"/>
    <w:rsid w:val="00CE0A43"/>
    <w:rsid w:val="00CE2019"/>
    <w:rsid w:val="00CE35E8"/>
    <w:rsid w:val="00CE36FE"/>
    <w:rsid w:val="00CE3C31"/>
    <w:rsid w:val="00CE60FA"/>
    <w:rsid w:val="00CE64A3"/>
    <w:rsid w:val="00CF0CC1"/>
    <w:rsid w:val="00CF513C"/>
    <w:rsid w:val="00CF6D8C"/>
    <w:rsid w:val="00D06524"/>
    <w:rsid w:val="00D111B7"/>
    <w:rsid w:val="00D113DC"/>
    <w:rsid w:val="00D12643"/>
    <w:rsid w:val="00D142BE"/>
    <w:rsid w:val="00D25473"/>
    <w:rsid w:val="00D25D65"/>
    <w:rsid w:val="00D26C64"/>
    <w:rsid w:val="00D30C9B"/>
    <w:rsid w:val="00D31499"/>
    <w:rsid w:val="00D347CB"/>
    <w:rsid w:val="00D35EB6"/>
    <w:rsid w:val="00D405E1"/>
    <w:rsid w:val="00D433D7"/>
    <w:rsid w:val="00D458F2"/>
    <w:rsid w:val="00D460C9"/>
    <w:rsid w:val="00D461B8"/>
    <w:rsid w:val="00D47C57"/>
    <w:rsid w:val="00D507F6"/>
    <w:rsid w:val="00D5744F"/>
    <w:rsid w:val="00D619A3"/>
    <w:rsid w:val="00D67CB1"/>
    <w:rsid w:val="00D71D7C"/>
    <w:rsid w:val="00D71DAF"/>
    <w:rsid w:val="00D81140"/>
    <w:rsid w:val="00D850DF"/>
    <w:rsid w:val="00D85578"/>
    <w:rsid w:val="00D92545"/>
    <w:rsid w:val="00D958F3"/>
    <w:rsid w:val="00D960F4"/>
    <w:rsid w:val="00D972A7"/>
    <w:rsid w:val="00DA036E"/>
    <w:rsid w:val="00DA2405"/>
    <w:rsid w:val="00DA2461"/>
    <w:rsid w:val="00DA7B0C"/>
    <w:rsid w:val="00DB1657"/>
    <w:rsid w:val="00DB27D0"/>
    <w:rsid w:val="00DB6226"/>
    <w:rsid w:val="00DB6D08"/>
    <w:rsid w:val="00DC0856"/>
    <w:rsid w:val="00DC7A49"/>
    <w:rsid w:val="00DD2DB7"/>
    <w:rsid w:val="00DD53F0"/>
    <w:rsid w:val="00DD5A43"/>
    <w:rsid w:val="00DE1D51"/>
    <w:rsid w:val="00DE23B7"/>
    <w:rsid w:val="00DE2652"/>
    <w:rsid w:val="00DE3BD8"/>
    <w:rsid w:val="00DE6189"/>
    <w:rsid w:val="00DF7112"/>
    <w:rsid w:val="00E053BF"/>
    <w:rsid w:val="00E053EE"/>
    <w:rsid w:val="00E054E5"/>
    <w:rsid w:val="00E100BD"/>
    <w:rsid w:val="00E1280F"/>
    <w:rsid w:val="00E15266"/>
    <w:rsid w:val="00E17151"/>
    <w:rsid w:val="00E21A94"/>
    <w:rsid w:val="00E23A69"/>
    <w:rsid w:val="00E32EE4"/>
    <w:rsid w:val="00E3458F"/>
    <w:rsid w:val="00E35401"/>
    <w:rsid w:val="00E36C74"/>
    <w:rsid w:val="00E41AF9"/>
    <w:rsid w:val="00E41E42"/>
    <w:rsid w:val="00E4653E"/>
    <w:rsid w:val="00E61A4A"/>
    <w:rsid w:val="00E61A4F"/>
    <w:rsid w:val="00E6252F"/>
    <w:rsid w:val="00E62E95"/>
    <w:rsid w:val="00E75338"/>
    <w:rsid w:val="00E7739D"/>
    <w:rsid w:val="00E8123B"/>
    <w:rsid w:val="00E81B79"/>
    <w:rsid w:val="00E8248D"/>
    <w:rsid w:val="00E85EC2"/>
    <w:rsid w:val="00E86833"/>
    <w:rsid w:val="00E87C07"/>
    <w:rsid w:val="00E913BA"/>
    <w:rsid w:val="00E92A9A"/>
    <w:rsid w:val="00E96467"/>
    <w:rsid w:val="00EA5558"/>
    <w:rsid w:val="00EA56D0"/>
    <w:rsid w:val="00EA6FCC"/>
    <w:rsid w:val="00EA7C33"/>
    <w:rsid w:val="00EB107D"/>
    <w:rsid w:val="00EB12CF"/>
    <w:rsid w:val="00EB2BB1"/>
    <w:rsid w:val="00EB540E"/>
    <w:rsid w:val="00EB7D0B"/>
    <w:rsid w:val="00EC067E"/>
    <w:rsid w:val="00EC12AC"/>
    <w:rsid w:val="00EC26A9"/>
    <w:rsid w:val="00EC336A"/>
    <w:rsid w:val="00EC6D33"/>
    <w:rsid w:val="00ED3547"/>
    <w:rsid w:val="00ED3A81"/>
    <w:rsid w:val="00EE148A"/>
    <w:rsid w:val="00EE4383"/>
    <w:rsid w:val="00EE7138"/>
    <w:rsid w:val="00EE723C"/>
    <w:rsid w:val="00EF4AB8"/>
    <w:rsid w:val="00EF4CA6"/>
    <w:rsid w:val="00EF65D3"/>
    <w:rsid w:val="00EF6C5E"/>
    <w:rsid w:val="00F020CD"/>
    <w:rsid w:val="00F071B1"/>
    <w:rsid w:val="00F07752"/>
    <w:rsid w:val="00F10995"/>
    <w:rsid w:val="00F175F9"/>
    <w:rsid w:val="00F234B0"/>
    <w:rsid w:val="00F320ED"/>
    <w:rsid w:val="00F325E5"/>
    <w:rsid w:val="00F3365F"/>
    <w:rsid w:val="00F36129"/>
    <w:rsid w:val="00F41A4A"/>
    <w:rsid w:val="00F42A44"/>
    <w:rsid w:val="00F437D5"/>
    <w:rsid w:val="00F439CA"/>
    <w:rsid w:val="00F44D1E"/>
    <w:rsid w:val="00F464CC"/>
    <w:rsid w:val="00F47DC4"/>
    <w:rsid w:val="00F52519"/>
    <w:rsid w:val="00F53EF1"/>
    <w:rsid w:val="00F62CB4"/>
    <w:rsid w:val="00F653B7"/>
    <w:rsid w:val="00F67946"/>
    <w:rsid w:val="00F7197D"/>
    <w:rsid w:val="00F74FF7"/>
    <w:rsid w:val="00F7795D"/>
    <w:rsid w:val="00F803EC"/>
    <w:rsid w:val="00F81FD9"/>
    <w:rsid w:val="00F834FF"/>
    <w:rsid w:val="00F84C46"/>
    <w:rsid w:val="00F90665"/>
    <w:rsid w:val="00F92FB5"/>
    <w:rsid w:val="00FA01A8"/>
    <w:rsid w:val="00FA1EDC"/>
    <w:rsid w:val="00FA21C7"/>
    <w:rsid w:val="00FA5472"/>
    <w:rsid w:val="00FB0B60"/>
    <w:rsid w:val="00FB1EAA"/>
    <w:rsid w:val="00FB3832"/>
    <w:rsid w:val="00FB4AD1"/>
    <w:rsid w:val="00FB79C5"/>
    <w:rsid w:val="00FC4EA2"/>
    <w:rsid w:val="00FD22FA"/>
    <w:rsid w:val="00FD34B8"/>
    <w:rsid w:val="00FD35EA"/>
    <w:rsid w:val="00FE130D"/>
    <w:rsid w:val="00FE1908"/>
    <w:rsid w:val="00FE6206"/>
    <w:rsid w:val="00FF07F6"/>
    <w:rsid w:val="00FF09C0"/>
    <w:rsid w:val="00FF47AA"/>
    <w:rsid w:val="00FF5235"/>
    <w:rsid w:val="00FF66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7206"/>
  <w15:docId w15:val="{64488580-AF30-4B83-87BB-2F069B85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qFormat/>
    <w:pPr>
      <w:spacing w:before="187"/>
      <w:ind w:left="100"/>
      <w:outlineLvl w:val="0"/>
    </w:pPr>
    <w:rPr>
      <w:rFonts w:ascii="Arial" w:eastAsia="Arial" w:hAnsi="Arial"/>
      <w:b/>
      <w:bCs/>
      <w:sz w:val="26"/>
      <w:szCs w:val="26"/>
    </w:rPr>
  </w:style>
  <w:style w:type="paragraph" w:styleId="Heading2">
    <w:name w:val="heading 2"/>
    <w:basedOn w:val="Normal"/>
    <w:link w:val="Heading2Char"/>
    <w:qFormat/>
    <w:pPr>
      <w:ind w:left="686" w:hanging="566"/>
      <w:outlineLvl w:val="1"/>
    </w:pPr>
    <w:rPr>
      <w:rFonts w:ascii="Arial" w:eastAsia="Arial" w:hAnsi="Arial"/>
      <w:b/>
      <w:bCs/>
      <w:sz w:val="23"/>
      <w:szCs w:val="23"/>
    </w:rPr>
  </w:style>
  <w:style w:type="paragraph" w:styleId="Heading3">
    <w:name w:val="heading 3"/>
    <w:basedOn w:val="Normal"/>
    <w:uiPriority w:val="1"/>
    <w:qFormat/>
    <w:pPr>
      <w:ind w:left="686"/>
      <w:outlineLvl w:val="2"/>
    </w:pPr>
    <w:rPr>
      <w:rFonts w:ascii="Arial" w:eastAsia="Arial" w:hAnsi="Arial"/>
      <w:b/>
      <w:bCs/>
      <w:i/>
      <w:sz w:val="23"/>
      <w:szCs w:val="23"/>
    </w:rPr>
  </w:style>
  <w:style w:type="paragraph" w:styleId="Heading4">
    <w:name w:val="heading 4"/>
    <w:basedOn w:val="Normal"/>
    <w:next w:val="Normal"/>
    <w:link w:val="Heading4Char"/>
    <w:uiPriority w:val="9"/>
    <w:unhideWhenUsed/>
    <w:qFormat/>
    <w:rsid w:val="00F020CD"/>
    <w:pPr>
      <w:keepNext/>
      <w:keepLines/>
      <w:widowControl/>
      <w:spacing w:before="40"/>
      <w:ind w:left="2902" w:hanging="864"/>
      <w:outlineLvl w:val="3"/>
    </w:pPr>
    <w:rPr>
      <w:rFonts w:asciiTheme="majorHAnsi" w:eastAsiaTheme="majorEastAsia" w:hAnsiTheme="majorHAnsi" w:cstheme="majorBidi"/>
      <w:i/>
      <w:iCs/>
      <w:color w:val="365F91" w:themeColor="accent1" w:themeShade="BF"/>
      <w:sz w:val="24"/>
      <w:szCs w:val="24"/>
      <w:lang w:val="en-AU"/>
    </w:rPr>
  </w:style>
  <w:style w:type="paragraph" w:styleId="Heading5">
    <w:name w:val="heading 5"/>
    <w:basedOn w:val="Normal"/>
    <w:next w:val="Normal"/>
    <w:link w:val="Heading5Char"/>
    <w:uiPriority w:val="9"/>
    <w:unhideWhenUsed/>
    <w:qFormat/>
    <w:rsid w:val="00F020CD"/>
    <w:pPr>
      <w:keepNext/>
      <w:keepLines/>
      <w:widowControl/>
      <w:spacing w:before="40"/>
      <w:ind w:left="3046" w:hanging="1008"/>
      <w:outlineLvl w:val="4"/>
    </w:pPr>
    <w:rPr>
      <w:rFonts w:asciiTheme="majorHAnsi" w:eastAsiaTheme="majorEastAsia" w:hAnsiTheme="majorHAnsi" w:cstheme="majorBidi"/>
      <w:color w:val="365F91" w:themeColor="accent1" w:themeShade="BF"/>
      <w:sz w:val="24"/>
      <w:szCs w:val="24"/>
      <w:lang w:val="en-AU"/>
    </w:rPr>
  </w:style>
  <w:style w:type="paragraph" w:styleId="Heading6">
    <w:name w:val="heading 6"/>
    <w:basedOn w:val="Normal"/>
    <w:next w:val="Normal"/>
    <w:link w:val="Heading6Char"/>
    <w:uiPriority w:val="9"/>
    <w:semiHidden/>
    <w:unhideWhenUsed/>
    <w:qFormat/>
    <w:rsid w:val="00F020CD"/>
    <w:pPr>
      <w:keepNext/>
      <w:keepLines/>
      <w:widowControl/>
      <w:spacing w:before="40"/>
      <w:ind w:left="3190" w:hanging="1152"/>
      <w:outlineLvl w:val="5"/>
    </w:pPr>
    <w:rPr>
      <w:rFonts w:asciiTheme="majorHAnsi" w:eastAsiaTheme="majorEastAsia" w:hAnsiTheme="majorHAnsi" w:cstheme="majorBidi"/>
      <w:color w:val="243F60" w:themeColor="accent1" w:themeShade="7F"/>
      <w:sz w:val="24"/>
      <w:szCs w:val="24"/>
      <w:lang w:val="en-AU"/>
    </w:rPr>
  </w:style>
  <w:style w:type="paragraph" w:styleId="Heading7">
    <w:name w:val="heading 7"/>
    <w:basedOn w:val="Normal"/>
    <w:next w:val="Normal"/>
    <w:link w:val="Heading7Char"/>
    <w:uiPriority w:val="9"/>
    <w:semiHidden/>
    <w:unhideWhenUsed/>
    <w:qFormat/>
    <w:rsid w:val="00F020CD"/>
    <w:pPr>
      <w:keepNext/>
      <w:keepLines/>
      <w:widowControl/>
      <w:spacing w:before="40"/>
      <w:ind w:left="3334" w:hanging="1296"/>
      <w:outlineLvl w:val="6"/>
    </w:pPr>
    <w:rPr>
      <w:rFonts w:asciiTheme="majorHAnsi" w:eastAsiaTheme="majorEastAsia" w:hAnsiTheme="majorHAnsi" w:cstheme="majorBidi"/>
      <w:i/>
      <w:iCs/>
      <w:color w:val="243F60" w:themeColor="accent1" w:themeShade="7F"/>
      <w:sz w:val="24"/>
      <w:szCs w:val="24"/>
      <w:lang w:val="en-AU"/>
    </w:rPr>
  </w:style>
  <w:style w:type="paragraph" w:styleId="Heading8">
    <w:name w:val="heading 8"/>
    <w:basedOn w:val="Normal"/>
    <w:next w:val="Normal"/>
    <w:link w:val="Heading8Char"/>
    <w:uiPriority w:val="9"/>
    <w:semiHidden/>
    <w:unhideWhenUsed/>
    <w:qFormat/>
    <w:rsid w:val="00F020CD"/>
    <w:pPr>
      <w:keepNext/>
      <w:keepLines/>
      <w:widowControl/>
      <w:spacing w:before="40"/>
      <w:ind w:left="3478" w:hanging="1440"/>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semiHidden/>
    <w:unhideWhenUsed/>
    <w:qFormat/>
    <w:rsid w:val="00F020CD"/>
    <w:pPr>
      <w:keepNext/>
      <w:keepLines/>
      <w:widowControl/>
      <w:spacing w:before="40"/>
      <w:ind w:left="3622" w:hanging="1584"/>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2"/>
      <w:ind w:left="383" w:hanging="283"/>
    </w:pPr>
    <w:rPr>
      <w:rFonts w:ascii="Arial" w:eastAsia="Arial" w:hAnsi="Arial"/>
      <w:b/>
      <w:bCs/>
      <w:sz w:val="23"/>
      <w:szCs w:val="23"/>
    </w:rPr>
  </w:style>
  <w:style w:type="paragraph" w:styleId="TOC2">
    <w:name w:val="toc 2"/>
    <w:basedOn w:val="Normal"/>
    <w:uiPriority w:val="39"/>
    <w:qFormat/>
    <w:pPr>
      <w:spacing w:before="232"/>
      <w:ind w:left="383"/>
    </w:pPr>
    <w:rPr>
      <w:rFonts w:ascii="Arial" w:eastAsia="Arial" w:hAnsi="Arial"/>
      <w:i/>
      <w:sz w:val="23"/>
      <w:szCs w:val="23"/>
    </w:rPr>
  </w:style>
  <w:style w:type="paragraph" w:styleId="BodyText">
    <w:name w:val="Body Text"/>
    <w:basedOn w:val="Normal"/>
    <w:uiPriority w:val="1"/>
    <w:qFormat/>
    <w:pPr>
      <w:ind w:left="686" w:hanging="566"/>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0139"/>
    <w:pPr>
      <w:tabs>
        <w:tab w:val="center" w:pos="4513"/>
        <w:tab w:val="right" w:pos="9026"/>
      </w:tabs>
    </w:pPr>
  </w:style>
  <w:style w:type="character" w:customStyle="1" w:styleId="HeaderChar">
    <w:name w:val="Header Char"/>
    <w:basedOn w:val="DefaultParagraphFont"/>
    <w:link w:val="Header"/>
    <w:uiPriority w:val="99"/>
    <w:rsid w:val="00750139"/>
  </w:style>
  <w:style w:type="paragraph" w:styleId="Footer">
    <w:name w:val="footer"/>
    <w:basedOn w:val="Normal"/>
    <w:link w:val="FooterChar"/>
    <w:uiPriority w:val="99"/>
    <w:unhideWhenUsed/>
    <w:rsid w:val="00750139"/>
    <w:pPr>
      <w:tabs>
        <w:tab w:val="center" w:pos="4513"/>
        <w:tab w:val="right" w:pos="9026"/>
      </w:tabs>
    </w:pPr>
  </w:style>
  <w:style w:type="character" w:customStyle="1" w:styleId="FooterChar">
    <w:name w:val="Footer Char"/>
    <w:basedOn w:val="DefaultParagraphFont"/>
    <w:link w:val="Footer"/>
    <w:uiPriority w:val="99"/>
    <w:rsid w:val="00750139"/>
  </w:style>
  <w:style w:type="paragraph" w:styleId="FootnoteText">
    <w:name w:val="footnote text"/>
    <w:basedOn w:val="Normal"/>
    <w:link w:val="FootnoteTextChar"/>
    <w:uiPriority w:val="99"/>
    <w:semiHidden/>
    <w:unhideWhenUsed/>
    <w:rsid w:val="00750139"/>
    <w:rPr>
      <w:sz w:val="20"/>
      <w:szCs w:val="20"/>
    </w:rPr>
  </w:style>
  <w:style w:type="character" w:customStyle="1" w:styleId="FootnoteTextChar">
    <w:name w:val="Footnote Text Char"/>
    <w:basedOn w:val="DefaultParagraphFont"/>
    <w:link w:val="FootnoteText"/>
    <w:uiPriority w:val="99"/>
    <w:semiHidden/>
    <w:rsid w:val="00750139"/>
    <w:rPr>
      <w:sz w:val="20"/>
      <w:szCs w:val="20"/>
    </w:rPr>
  </w:style>
  <w:style w:type="character" w:styleId="FootnoteReference">
    <w:name w:val="footnote reference"/>
    <w:basedOn w:val="DefaultParagraphFont"/>
    <w:uiPriority w:val="99"/>
    <w:unhideWhenUsed/>
    <w:rsid w:val="00750139"/>
    <w:rPr>
      <w:vertAlign w:val="superscript"/>
    </w:rPr>
  </w:style>
  <w:style w:type="paragraph" w:styleId="TOCHeading">
    <w:name w:val="TOC Heading"/>
    <w:basedOn w:val="Heading1"/>
    <w:next w:val="Normal"/>
    <w:uiPriority w:val="39"/>
    <w:unhideWhenUsed/>
    <w:qFormat/>
    <w:rsid w:val="00650A6C"/>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50A6C"/>
    <w:pPr>
      <w:spacing w:after="100"/>
      <w:ind w:left="440"/>
    </w:pPr>
  </w:style>
  <w:style w:type="character" w:styleId="Hyperlink">
    <w:name w:val="Hyperlink"/>
    <w:basedOn w:val="DefaultParagraphFont"/>
    <w:uiPriority w:val="99"/>
    <w:unhideWhenUsed/>
    <w:rsid w:val="00650A6C"/>
    <w:rPr>
      <w:color w:val="0000FF" w:themeColor="hyperlink"/>
      <w:u w:val="single"/>
    </w:rPr>
  </w:style>
  <w:style w:type="paragraph" w:styleId="Revision">
    <w:name w:val="Revision"/>
    <w:hidden/>
    <w:uiPriority w:val="99"/>
    <w:semiHidden/>
    <w:rsid w:val="00E6252F"/>
    <w:pPr>
      <w:widowControl/>
    </w:pPr>
  </w:style>
  <w:style w:type="character" w:styleId="CommentReference">
    <w:name w:val="annotation reference"/>
    <w:basedOn w:val="DefaultParagraphFont"/>
    <w:uiPriority w:val="99"/>
    <w:semiHidden/>
    <w:unhideWhenUsed/>
    <w:rsid w:val="00977B68"/>
    <w:rPr>
      <w:sz w:val="16"/>
      <w:szCs w:val="16"/>
    </w:rPr>
  </w:style>
  <w:style w:type="paragraph" w:styleId="CommentText">
    <w:name w:val="annotation text"/>
    <w:basedOn w:val="Normal"/>
    <w:link w:val="CommentTextChar"/>
    <w:uiPriority w:val="99"/>
    <w:unhideWhenUsed/>
    <w:rsid w:val="00977B68"/>
    <w:rPr>
      <w:sz w:val="20"/>
      <w:szCs w:val="20"/>
    </w:rPr>
  </w:style>
  <w:style w:type="character" w:customStyle="1" w:styleId="CommentTextChar">
    <w:name w:val="Comment Text Char"/>
    <w:basedOn w:val="DefaultParagraphFont"/>
    <w:link w:val="CommentText"/>
    <w:uiPriority w:val="99"/>
    <w:rsid w:val="00977B68"/>
    <w:rPr>
      <w:sz w:val="20"/>
      <w:szCs w:val="20"/>
    </w:rPr>
  </w:style>
  <w:style w:type="paragraph" w:styleId="CommentSubject">
    <w:name w:val="annotation subject"/>
    <w:basedOn w:val="CommentText"/>
    <w:next w:val="CommentText"/>
    <w:link w:val="CommentSubjectChar"/>
    <w:uiPriority w:val="99"/>
    <w:semiHidden/>
    <w:unhideWhenUsed/>
    <w:rsid w:val="00977B68"/>
    <w:rPr>
      <w:b/>
      <w:bCs/>
    </w:rPr>
  </w:style>
  <w:style w:type="character" w:customStyle="1" w:styleId="CommentSubjectChar">
    <w:name w:val="Comment Subject Char"/>
    <w:basedOn w:val="CommentTextChar"/>
    <w:link w:val="CommentSubject"/>
    <w:uiPriority w:val="99"/>
    <w:semiHidden/>
    <w:rsid w:val="00977B68"/>
    <w:rPr>
      <w:b/>
      <w:bCs/>
      <w:sz w:val="20"/>
      <w:szCs w:val="20"/>
    </w:rPr>
  </w:style>
  <w:style w:type="paragraph" w:styleId="NoSpacing">
    <w:name w:val="No Spacing"/>
    <w:uiPriority w:val="1"/>
    <w:qFormat/>
    <w:rsid w:val="00515925"/>
  </w:style>
  <w:style w:type="character" w:customStyle="1" w:styleId="Heading4Char">
    <w:name w:val="Heading 4 Char"/>
    <w:basedOn w:val="DefaultParagraphFont"/>
    <w:link w:val="Heading4"/>
    <w:uiPriority w:val="9"/>
    <w:rsid w:val="00F020CD"/>
    <w:rPr>
      <w:rFonts w:asciiTheme="majorHAnsi" w:eastAsiaTheme="majorEastAsia" w:hAnsiTheme="majorHAnsi" w:cstheme="majorBidi"/>
      <w:i/>
      <w:iCs/>
      <w:color w:val="365F91" w:themeColor="accent1" w:themeShade="BF"/>
      <w:sz w:val="24"/>
      <w:szCs w:val="24"/>
      <w:lang w:val="en-AU"/>
    </w:rPr>
  </w:style>
  <w:style w:type="character" w:customStyle="1" w:styleId="Heading5Char">
    <w:name w:val="Heading 5 Char"/>
    <w:basedOn w:val="DefaultParagraphFont"/>
    <w:link w:val="Heading5"/>
    <w:uiPriority w:val="9"/>
    <w:rsid w:val="00F020CD"/>
    <w:rPr>
      <w:rFonts w:asciiTheme="majorHAnsi" w:eastAsiaTheme="majorEastAsia" w:hAnsiTheme="majorHAnsi" w:cstheme="majorBidi"/>
      <w:color w:val="365F91" w:themeColor="accent1" w:themeShade="BF"/>
      <w:sz w:val="24"/>
      <w:szCs w:val="24"/>
      <w:lang w:val="en-AU"/>
    </w:rPr>
  </w:style>
  <w:style w:type="character" w:customStyle="1" w:styleId="Heading6Char">
    <w:name w:val="Heading 6 Char"/>
    <w:basedOn w:val="DefaultParagraphFont"/>
    <w:link w:val="Heading6"/>
    <w:uiPriority w:val="9"/>
    <w:semiHidden/>
    <w:rsid w:val="00F020CD"/>
    <w:rPr>
      <w:rFonts w:asciiTheme="majorHAnsi" w:eastAsiaTheme="majorEastAsia" w:hAnsiTheme="majorHAnsi" w:cstheme="majorBidi"/>
      <w:color w:val="243F60" w:themeColor="accent1" w:themeShade="7F"/>
      <w:sz w:val="24"/>
      <w:szCs w:val="24"/>
      <w:lang w:val="en-AU"/>
    </w:rPr>
  </w:style>
  <w:style w:type="character" w:customStyle="1" w:styleId="Heading7Char">
    <w:name w:val="Heading 7 Char"/>
    <w:basedOn w:val="DefaultParagraphFont"/>
    <w:link w:val="Heading7"/>
    <w:uiPriority w:val="9"/>
    <w:semiHidden/>
    <w:rsid w:val="00F020CD"/>
    <w:rPr>
      <w:rFonts w:asciiTheme="majorHAnsi" w:eastAsiaTheme="majorEastAsia" w:hAnsiTheme="majorHAnsi" w:cstheme="majorBidi"/>
      <w:i/>
      <w:iCs/>
      <w:color w:val="243F60" w:themeColor="accent1" w:themeShade="7F"/>
      <w:sz w:val="24"/>
      <w:szCs w:val="24"/>
      <w:lang w:val="en-AU"/>
    </w:rPr>
  </w:style>
  <w:style w:type="character" w:customStyle="1" w:styleId="Heading8Char">
    <w:name w:val="Heading 8 Char"/>
    <w:basedOn w:val="DefaultParagraphFont"/>
    <w:link w:val="Heading8"/>
    <w:uiPriority w:val="9"/>
    <w:semiHidden/>
    <w:rsid w:val="00F020CD"/>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F020CD"/>
    <w:rPr>
      <w:rFonts w:asciiTheme="majorHAnsi" w:eastAsiaTheme="majorEastAsia" w:hAnsiTheme="majorHAnsi" w:cstheme="majorBidi"/>
      <w:i/>
      <w:iCs/>
      <w:color w:val="272727" w:themeColor="text1" w:themeTint="D8"/>
      <w:sz w:val="21"/>
      <w:szCs w:val="21"/>
      <w:lang w:val="en-AU"/>
    </w:rPr>
  </w:style>
  <w:style w:type="character" w:customStyle="1" w:styleId="Heading2Char">
    <w:name w:val="Heading 2 Char"/>
    <w:basedOn w:val="DefaultParagraphFont"/>
    <w:link w:val="Heading2"/>
    <w:rsid w:val="000A6066"/>
    <w:rPr>
      <w:rFonts w:ascii="Arial" w:eastAsia="Arial" w:hAnsi="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A87E2C49C4D4C815A60E310B4D19E" ma:contentTypeVersion="11" ma:contentTypeDescription="Create a new document." ma:contentTypeScope="" ma:versionID="b3456429f14f78bc63772e709054d81f">
  <xsd:schema xmlns:xsd="http://www.w3.org/2001/XMLSchema" xmlns:xs="http://www.w3.org/2001/XMLSchema" xmlns:p="http://schemas.microsoft.com/office/2006/metadata/properties" xmlns:ns3="dd0c0cba-ffd1-4f77-af5f-d38a228d6343" xmlns:ns4="849628bc-4411-4336-9f43-b5c8b3458829" targetNamespace="http://schemas.microsoft.com/office/2006/metadata/properties" ma:root="true" ma:fieldsID="bfbbb7d8d5dad2f84e658d57a783e3f2" ns3:_="" ns4:_="">
    <xsd:import namespace="dd0c0cba-ffd1-4f77-af5f-d38a228d6343"/>
    <xsd:import namespace="849628bc-4411-4336-9f43-b5c8b3458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0cba-ffd1-4f77-af5f-d38a228d63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628bc-4411-4336-9f43-b5c8b3458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49628bc-4411-4336-9f43-b5c8b34588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E2869-D507-44EA-8B37-195F826A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c0cba-ffd1-4f77-af5f-d38a228d6343"/>
    <ds:schemaRef ds:uri="849628bc-4411-4336-9f43-b5c8b345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3BB19-ED36-4A28-A1DA-9D636C03E82E}">
  <ds:schemaRefs>
    <ds:schemaRef ds:uri="http://schemas.openxmlformats.org/officeDocument/2006/bibliography"/>
  </ds:schemaRefs>
</ds:datastoreItem>
</file>

<file path=customXml/itemProps3.xml><?xml version="1.0" encoding="utf-8"?>
<ds:datastoreItem xmlns:ds="http://schemas.openxmlformats.org/officeDocument/2006/customXml" ds:itemID="{9332FB6B-A7AA-4E60-B27D-1E0120C12BB2}">
  <ds:schemaRefs>
    <ds:schemaRef ds:uri="http://schemas.microsoft.com/office/2006/metadata/properties"/>
    <ds:schemaRef ds:uri="http://schemas.microsoft.com/office/infopath/2007/PartnerControls"/>
    <ds:schemaRef ds:uri="849628bc-4411-4336-9f43-b5c8b3458829"/>
  </ds:schemaRefs>
</ds:datastoreItem>
</file>

<file path=customXml/itemProps4.xml><?xml version="1.0" encoding="utf-8"?>
<ds:datastoreItem xmlns:ds="http://schemas.openxmlformats.org/officeDocument/2006/customXml" ds:itemID="{A05DB372-5C16-49C1-8D24-F0DD640976B2}">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Bobo</dc:creator>
  <cp:keywords/>
  <dc:description/>
  <cp:lastModifiedBy>Masenye Masemola</cp:lastModifiedBy>
  <cp:revision>2</cp:revision>
  <dcterms:created xsi:type="dcterms:W3CDTF">2023-03-02T09:35:00Z</dcterms:created>
  <dcterms:modified xsi:type="dcterms:W3CDTF">2023-03-02T09:35:00Z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2021-01-28T00:00:00Z</vt:filetime>
  </property>
  <property fmtid="{D5CDD505-2E9C-101B-9397-08002B2CF9AE}" pid="4" name="MSIP_Label_70c52299-74de-4dfd-b117-c9c408edfa50_Enabled">
    <vt:lpwstr>true</vt:lpwstr>
  </property>
  <property fmtid="{D5CDD505-2E9C-101B-9397-08002B2CF9AE}" pid="5" name="MSIP_Label_70c52299-74de-4dfd-b117-c9c408edfa50_SetDate">
    <vt:lpwstr>2021-11-10T13:24:40Z</vt:lpwstr>
  </property>
  <property fmtid="{D5CDD505-2E9C-101B-9397-08002B2CF9AE}" pid="6" name="MSIP_Label_70c52299-74de-4dfd-b117-c9c408edfa50_Method">
    <vt:lpwstr>Standard</vt:lpwstr>
  </property>
  <property fmtid="{D5CDD505-2E9C-101B-9397-08002B2CF9AE}" pid="7" name="MSIP_Label_70c52299-74de-4dfd-b117-c9c408edfa50_Name">
    <vt:lpwstr>Restricted</vt:lpwstr>
  </property>
  <property fmtid="{D5CDD505-2E9C-101B-9397-08002B2CF9AE}" pid="8" name="MSIP_Label_70c52299-74de-4dfd-b117-c9c408edfa50_SiteId">
    <vt:lpwstr>853cbaab-a620-4178-8933-88d76414184a</vt:lpwstr>
  </property>
  <property fmtid="{D5CDD505-2E9C-101B-9397-08002B2CF9AE}" pid="9" name="MSIP_Label_70c52299-74de-4dfd-b117-c9c408edfa50_ActionId">
    <vt:lpwstr>f00de3d0-2730-492b-ac77-bd53e0c8836e</vt:lpwstr>
  </property>
  <property fmtid="{D5CDD505-2E9C-101B-9397-08002B2CF9AE}" pid="10" name="MSIP_Label_70c52299-74de-4dfd-b117-c9c408edfa50_ContentBits">
    <vt:lpwstr>0</vt:lpwstr>
  </property>
  <property fmtid="{D5CDD505-2E9C-101B-9397-08002B2CF9AE}" pid="11" name="GrammarlyDocumentId">
    <vt:lpwstr>93f9e155baacba9534827ee686497cbecc1184f0fb87836244c59a4474b2acf1</vt:lpwstr>
  </property>
  <property fmtid="{D5CDD505-2E9C-101B-9397-08002B2CF9AE}" pid="12" name="ContentTypeId">
    <vt:lpwstr>0x01010074FA87E2C49C4D4C815A60E310B4D19E</vt:lpwstr>
  </property>
</Properties>
</file>