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CCEF" w14:textId="24800064" w:rsidR="004A58D8" w:rsidRPr="00F475F7" w:rsidRDefault="004A58D8" w:rsidP="00F475F7">
      <w:pPr>
        <w:pStyle w:val="HeadingAtt1"/>
        <w:keepNext w:val="0"/>
        <w:keepLines w:val="0"/>
        <w:pageBreakBefore w:val="0"/>
        <w:widowControl w:val="0"/>
        <w:tabs>
          <w:tab w:val="right" w:leader="dot" w:pos="9356"/>
        </w:tabs>
        <w:spacing w:after="0"/>
        <w:ind w:left="0" w:firstLine="0"/>
        <w:rPr>
          <w:rFonts w:ascii="Arial" w:hAnsi="Arial" w:cs="Arial"/>
          <w:sz w:val="24"/>
          <w:szCs w:val="24"/>
        </w:rPr>
      </w:pPr>
      <w:bookmarkStart w:id="0" w:name="_Toc48902499"/>
      <w:bookmarkStart w:id="1" w:name="_Toc50494309"/>
      <w:r w:rsidRPr="00CC3E68">
        <w:rPr>
          <w:rFonts w:ascii="Arial" w:hAnsi="Arial" w:cs="Arial"/>
          <w:sz w:val="24"/>
          <w:szCs w:val="24"/>
        </w:rPr>
        <w:t>Financial Sector</w:t>
      </w:r>
      <w:r w:rsidRPr="00F475F7">
        <w:rPr>
          <w:rFonts w:ascii="Arial" w:hAnsi="Arial" w:cs="Arial"/>
          <w:sz w:val="24"/>
          <w:szCs w:val="24"/>
        </w:rPr>
        <w:t xml:space="preserve"> Regulation</w:t>
      </w:r>
      <w:r w:rsidR="00CD3037">
        <w:rPr>
          <w:rFonts w:ascii="Arial" w:hAnsi="Arial" w:cs="Arial"/>
          <w:sz w:val="24"/>
          <w:szCs w:val="24"/>
        </w:rPr>
        <w:t xml:space="preserve"> Act</w:t>
      </w:r>
      <w:r w:rsidR="00701073">
        <w:rPr>
          <w:rFonts w:ascii="Arial" w:hAnsi="Arial" w:cs="Arial"/>
          <w:sz w:val="24"/>
          <w:szCs w:val="24"/>
        </w:rPr>
        <w:t>, 2017</w:t>
      </w:r>
      <w:r w:rsidR="00CC3E68">
        <w:rPr>
          <w:rFonts w:ascii="Arial" w:hAnsi="Arial" w:cs="Arial"/>
          <w:sz w:val="24"/>
          <w:szCs w:val="24"/>
        </w:rPr>
        <w:t xml:space="preserve"> </w:t>
      </w:r>
      <w:r w:rsidR="00793166">
        <w:rPr>
          <w:rFonts w:ascii="Arial" w:hAnsi="Arial" w:cs="Arial"/>
          <w:sz w:val="24"/>
          <w:szCs w:val="24"/>
        </w:rPr>
        <w:t>(Act No.9 of 2017</w:t>
      </w:r>
      <w:r w:rsidR="00CC3E68">
        <w:rPr>
          <w:rFonts w:ascii="Arial" w:hAnsi="Arial" w:cs="Arial"/>
          <w:sz w:val="24"/>
          <w:szCs w:val="24"/>
        </w:rPr>
        <w:t>)</w:t>
      </w:r>
      <w:r w:rsidRPr="00F475F7">
        <w:rPr>
          <w:rFonts w:ascii="Arial" w:hAnsi="Arial" w:cs="Arial"/>
          <w:sz w:val="24"/>
          <w:szCs w:val="24"/>
        </w:rPr>
        <w:t xml:space="preserve"> </w:t>
      </w:r>
    </w:p>
    <w:p w14:paraId="6BB2598E" w14:textId="77777777" w:rsidR="00F475F7" w:rsidRPr="00F475F7" w:rsidRDefault="00F475F7" w:rsidP="00F475F7">
      <w:pPr>
        <w:pStyle w:val="HeadingAtt1"/>
        <w:keepNext w:val="0"/>
        <w:keepLines w:val="0"/>
        <w:pageBreakBefore w:val="0"/>
        <w:widowControl w:val="0"/>
        <w:tabs>
          <w:tab w:val="right" w:leader="dot" w:pos="9356"/>
        </w:tabs>
        <w:spacing w:after="0"/>
        <w:ind w:left="0" w:firstLine="0"/>
        <w:rPr>
          <w:rFonts w:ascii="Arial" w:hAnsi="Arial" w:cs="Arial"/>
          <w:sz w:val="24"/>
          <w:szCs w:val="24"/>
        </w:rPr>
      </w:pPr>
    </w:p>
    <w:p w14:paraId="053B828D" w14:textId="1FF8B1D3" w:rsidR="00F726F0" w:rsidRPr="00F475F7" w:rsidRDefault="00F726F0" w:rsidP="00F475F7">
      <w:pPr>
        <w:pStyle w:val="HeadingAtt1"/>
        <w:keepNext w:val="0"/>
        <w:keepLines w:val="0"/>
        <w:pageBreakBefore w:val="0"/>
        <w:widowControl w:val="0"/>
        <w:tabs>
          <w:tab w:val="right" w:leader="dot" w:pos="9356"/>
        </w:tabs>
        <w:spacing w:after="0"/>
        <w:ind w:left="0" w:firstLine="0"/>
        <w:rPr>
          <w:rFonts w:ascii="Arial" w:hAnsi="Arial" w:cs="Arial"/>
          <w:sz w:val="24"/>
          <w:szCs w:val="24"/>
        </w:rPr>
      </w:pPr>
      <w:r w:rsidRPr="00F475F7">
        <w:rPr>
          <w:rFonts w:ascii="Arial" w:hAnsi="Arial" w:cs="Arial"/>
          <w:sz w:val="24"/>
          <w:szCs w:val="24"/>
        </w:rPr>
        <w:t xml:space="preserve">Guidance Notice </w:t>
      </w:r>
      <w:r w:rsidR="0082155E">
        <w:rPr>
          <w:rFonts w:ascii="Arial" w:hAnsi="Arial" w:cs="Arial"/>
          <w:sz w:val="24"/>
          <w:szCs w:val="24"/>
        </w:rPr>
        <w:t>[</w:t>
      </w:r>
      <w:r w:rsidR="00B06284">
        <w:rPr>
          <w:rFonts w:ascii="Arial" w:hAnsi="Arial" w:cs="Arial"/>
          <w:sz w:val="24"/>
          <w:szCs w:val="24"/>
        </w:rPr>
        <w:t>-</w:t>
      </w:r>
      <w:r w:rsidR="0082155E">
        <w:rPr>
          <w:rFonts w:ascii="Arial" w:hAnsi="Arial" w:cs="Arial"/>
          <w:sz w:val="24"/>
          <w:szCs w:val="24"/>
        </w:rPr>
        <w:t>]</w:t>
      </w:r>
      <w:r w:rsidRPr="00A91FBA">
        <w:rPr>
          <w:rFonts w:ascii="Arial" w:hAnsi="Arial" w:cs="Arial"/>
          <w:sz w:val="24"/>
          <w:szCs w:val="24"/>
        </w:rPr>
        <w:t xml:space="preserve"> of</w:t>
      </w:r>
      <w:r w:rsidR="0082155E">
        <w:rPr>
          <w:rFonts w:ascii="Arial" w:hAnsi="Arial" w:cs="Arial"/>
          <w:sz w:val="24"/>
          <w:szCs w:val="24"/>
        </w:rPr>
        <w:t xml:space="preserve"> [</w:t>
      </w:r>
      <w:r w:rsidRPr="00A91FBA">
        <w:rPr>
          <w:rFonts w:ascii="Arial" w:hAnsi="Arial" w:cs="Arial"/>
          <w:sz w:val="24"/>
          <w:szCs w:val="24"/>
        </w:rPr>
        <w:t xml:space="preserve"> 202</w:t>
      </w:r>
      <w:r w:rsidR="00BA1273">
        <w:rPr>
          <w:rFonts w:ascii="Arial" w:hAnsi="Arial" w:cs="Arial"/>
          <w:sz w:val="24"/>
          <w:szCs w:val="24"/>
        </w:rPr>
        <w:t>-</w:t>
      </w:r>
      <w:r w:rsidR="0082155E">
        <w:rPr>
          <w:rFonts w:ascii="Arial" w:hAnsi="Arial" w:cs="Arial"/>
          <w:sz w:val="24"/>
          <w:szCs w:val="24"/>
        </w:rPr>
        <w:t>]</w:t>
      </w:r>
    </w:p>
    <w:p w14:paraId="3422985E" w14:textId="77777777" w:rsidR="00F475F7" w:rsidRPr="00F475F7" w:rsidRDefault="00F475F7" w:rsidP="00F475F7">
      <w:pPr>
        <w:pStyle w:val="HeadingAtt1"/>
        <w:keepNext w:val="0"/>
        <w:keepLines w:val="0"/>
        <w:pageBreakBefore w:val="0"/>
        <w:widowControl w:val="0"/>
        <w:tabs>
          <w:tab w:val="right" w:leader="dot" w:pos="9356"/>
        </w:tabs>
        <w:spacing w:after="0"/>
        <w:ind w:left="0" w:firstLine="0"/>
        <w:rPr>
          <w:rFonts w:ascii="Arial" w:hAnsi="Arial" w:cs="Arial"/>
          <w:sz w:val="24"/>
          <w:szCs w:val="24"/>
        </w:rPr>
      </w:pPr>
    </w:p>
    <w:bookmarkEnd w:id="0"/>
    <w:bookmarkEnd w:id="1"/>
    <w:p w14:paraId="21391A1D" w14:textId="7E971392" w:rsidR="00D76E3E" w:rsidRPr="00BD6DCF" w:rsidRDefault="00D643A5" w:rsidP="00F475F7">
      <w:pPr>
        <w:pStyle w:val="HeadingAtt1"/>
        <w:keepNext w:val="0"/>
        <w:keepLines w:val="0"/>
        <w:pageBreakBefore w:val="0"/>
        <w:widowControl w:val="0"/>
        <w:tabs>
          <w:tab w:val="right" w:leader="dot" w:pos="9356"/>
        </w:tabs>
        <w:spacing w:after="0"/>
        <w:ind w:left="0" w:firstLine="0"/>
        <w:jc w:val="both"/>
        <w:rPr>
          <w:rFonts w:ascii="Arial" w:hAnsi="Arial" w:cs="Arial"/>
          <w:b w:val="0"/>
          <w:bCs/>
          <w:sz w:val="24"/>
          <w:szCs w:val="24"/>
        </w:rPr>
      </w:pPr>
      <w:r w:rsidRPr="00BD6DCF">
        <w:rPr>
          <w:rFonts w:ascii="Arial" w:hAnsi="Arial" w:cs="Arial"/>
          <w:b w:val="0"/>
          <w:bCs/>
          <w:sz w:val="24"/>
          <w:szCs w:val="24"/>
        </w:rPr>
        <w:t xml:space="preserve">Guidance on </w:t>
      </w:r>
      <w:r w:rsidR="00DF2B12" w:rsidRPr="00BD6DCF">
        <w:rPr>
          <w:rFonts w:ascii="Arial" w:hAnsi="Arial" w:cs="Arial"/>
          <w:b w:val="0"/>
          <w:bCs/>
          <w:sz w:val="24"/>
          <w:szCs w:val="24"/>
        </w:rPr>
        <w:t>P</w:t>
      </w:r>
      <w:r w:rsidRPr="00BD6DCF">
        <w:rPr>
          <w:rFonts w:ascii="Arial" w:hAnsi="Arial" w:cs="Arial"/>
          <w:b w:val="0"/>
          <w:bCs/>
          <w:sz w:val="24"/>
          <w:szCs w:val="24"/>
        </w:rPr>
        <w:t xml:space="preserve">ublic </w:t>
      </w:r>
      <w:r w:rsidR="00DF2B12" w:rsidRPr="00BD6DCF">
        <w:rPr>
          <w:rFonts w:ascii="Arial" w:hAnsi="Arial" w:cs="Arial"/>
          <w:b w:val="0"/>
          <w:bCs/>
          <w:sz w:val="24"/>
          <w:szCs w:val="24"/>
        </w:rPr>
        <w:t>D</w:t>
      </w:r>
      <w:r w:rsidRPr="00BD6DCF">
        <w:rPr>
          <w:rFonts w:ascii="Arial" w:hAnsi="Arial" w:cs="Arial"/>
          <w:b w:val="0"/>
          <w:bCs/>
          <w:sz w:val="24"/>
          <w:szCs w:val="24"/>
        </w:rPr>
        <w:t xml:space="preserve">isclosures for </w:t>
      </w:r>
      <w:r w:rsidR="00DF2B12" w:rsidRPr="00BD6DCF">
        <w:rPr>
          <w:rFonts w:ascii="Arial" w:hAnsi="Arial" w:cs="Arial"/>
          <w:b w:val="0"/>
          <w:bCs/>
          <w:sz w:val="24"/>
          <w:szCs w:val="24"/>
        </w:rPr>
        <w:t>I</w:t>
      </w:r>
      <w:r w:rsidRPr="00BD6DCF">
        <w:rPr>
          <w:rFonts w:ascii="Arial" w:hAnsi="Arial" w:cs="Arial"/>
          <w:b w:val="0"/>
          <w:bCs/>
          <w:sz w:val="24"/>
          <w:szCs w:val="24"/>
        </w:rPr>
        <w:t xml:space="preserve">nsurers </w:t>
      </w:r>
    </w:p>
    <w:p w14:paraId="1F56C934" w14:textId="63F49556" w:rsidR="004A7D51"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r>
        <w:rPr>
          <w:rFonts w:ascii="Arial" w:hAnsi="Arial" w:cs="Arial"/>
          <w:noProof/>
          <w:color w:val="2B579A"/>
          <w:sz w:val="24"/>
          <w:szCs w:val="24"/>
          <w:shd w:val="clear" w:color="auto" w:fill="E6E6E6"/>
        </w:rPr>
        <mc:AlternateContent>
          <mc:Choice Requires="wps">
            <w:drawing>
              <wp:anchor distT="0" distB="0" distL="114300" distR="114300" simplePos="0" relativeHeight="251658240" behindDoc="0" locked="0" layoutInCell="1" allowOverlap="1" wp14:anchorId="1530C057" wp14:editId="630E86E4">
                <wp:simplePos x="0" y="0"/>
                <wp:positionH relativeFrom="column">
                  <wp:posOffset>22032</wp:posOffset>
                </wp:positionH>
                <wp:positionV relativeFrom="paragraph">
                  <wp:posOffset>141163</wp:posOffset>
                </wp:positionV>
                <wp:extent cx="6210300" cy="1583635"/>
                <wp:effectExtent l="0" t="0" r="19050" b="17145"/>
                <wp:wrapNone/>
                <wp:docPr id="4" name="Text Box 4"/>
                <wp:cNvGraphicFramePr/>
                <a:graphic xmlns:a="http://schemas.openxmlformats.org/drawingml/2006/main">
                  <a:graphicData uri="http://schemas.microsoft.com/office/word/2010/wordprocessingShape">
                    <wps:wsp>
                      <wps:cNvSpPr txBox="1"/>
                      <wps:spPr>
                        <a:xfrm>
                          <a:off x="0" y="0"/>
                          <a:ext cx="6210300" cy="1583635"/>
                        </a:xfrm>
                        <a:prstGeom prst="rect">
                          <a:avLst/>
                        </a:prstGeom>
                        <a:solidFill>
                          <a:schemeClr val="lt1"/>
                        </a:solidFill>
                        <a:ln w="6350">
                          <a:solidFill>
                            <a:prstClr val="black"/>
                          </a:solidFill>
                        </a:ln>
                      </wps:spPr>
                      <wps:txbx>
                        <w:txbxContent>
                          <w:p w14:paraId="483FA606" w14:textId="12637543" w:rsidR="006A5A9F" w:rsidRDefault="006A5A9F" w:rsidP="00DF4E2F">
                            <w:pPr>
                              <w:spacing w:line="276" w:lineRule="auto"/>
                              <w:rPr>
                                <w:b/>
                                <w:bCs/>
                                <w:i/>
                                <w:iCs/>
                              </w:rPr>
                            </w:pPr>
                            <w:r w:rsidRPr="00DE5051">
                              <w:rPr>
                                <w:b/>
                                <w:bCs/>
                                <w:i/>
                                <w:iCs/>
                              </w:rPr>
                              <w:t>Objectives of this Guidance Notice</w:t>
                            </w:r>
                          </w:p>
                          <w:p w14:paraId="0C964D0E" w14:textId="77777777" w:rsidR="006A5A9F" w:rsidRPr="00DE5051" w:rsidRDefault="006A5A9F" w:rsidP="00DE5051">
                            <w:pPr>
                              <w:spacing w:line="276" w:lineRule="auto"/>
                              <w:rPr>
                                <w:b/>
                                <w:bCs/>
                                <w:i/>
                                <w:iCs/>
                              </w:rPr>
                            </w:pPr>
                          </w:p>
                          <w:p w14:paraId="551F88FB" w14:textId="530BDD91" w:rsidR="006A5A9F" w:rsidRDefault="006A5A9F" w:rsidP="006C7607">
                            <w:pPr>
                              <w:spacing w:line="276" w:lineRule="auto"/>
                              <w:jc w:val="both"/>
                              <w:rPr>
                                <w:i/>
                                <w:iCs/>
                              </w:rPr>
                            </w:pPr>
                            <w:r w:rsidRPr="00DE5051">
                              <w:rPr>
                                <w:i/>
                                <w:iCs/>
                              </w:rPr>
                              <w:t>Th</w:t>
                            </w:r>
                            <w:r>
                              <w:rPr>
                                <w:i/>
                                <w:iCs/>
                              </w:rPr>
                              <w:t>is</w:t>
                            </w:r>
                            <w:r w:rsidRPr="00DE5051">
                              <w:rPr>
                                <w:i/>
                                <w:iCs/>
                              </w:rPr>
                              <w:t xml:space="preserve"> Guidance Notice</w:t>
                            </w:r>
                            <w:r w:rsidR="00A827BF">
                              <w:rPr>
                                <w:i/>
                                <w:iCs/>
                              </w:rPr>
                              <w:t>,</w:t>
                            </w:r>
                            <w:r w:rsidRPr="00DE5051">
                              <w:rPr>
                                <w:i/>
                                <w:iCs/>
                              </w:rPr>
                              <w:t xml:space="preserve"> </w:t>
                            </w:r>
                            <w:r w:rsidR="00D9250E">
                              <w:rPr>
                                <w:i/>
                                <w:iCs/>
                              </w:rPr>
                              <w:t>issue</w:t>
                            </w:r>
                            <w:r w:rsidR="00E23942">
                              <w:rPr>
                                <w:i/>
                                <w:iCs/>
                              </w:rPr>
                              <w:t>d</w:t>
                            </w:r>
                            <w:r w:rsidR="00D9250E">
                              <w:rPr>
                                <w:i/>
                                <w:iCs/>
                              </w:rPr>
                              <w:t xml:space="preserve"> in terms of section 14</w:t>
                            </w:r>
                            <w:r w:rsidR="007644C3">
                              <w:rPr>
                                <w:i/>
                                <w:iCs/>
                              </w:rPr>
                              <w:t>1</w:t>
                            </w:r>
                            <w:r w:rsidR="00D9250E">
                              <w:rPr>
                                <w:i/>
                                <w:iCs/>
                              </w:rPr>
                              <w:t xml:space="preserve"> of the</w:t>
                            </w:r>
                            <w:r w:rsidR="007644C3">
                              <w:rPr>
                                <w:i/>
                                <w:iCs/>
                              </w:rPr>
                              <w:t xml:space="preserve"> Financial Sector Regulation Act, </w:t>
                            </w:r>
                            <w:r w:rsidR="006C225A">
                              <w:rPr>
                                <w:i/>
                                <w:iCs/>
                              </w:rPr>
                              <w:t>2017 (Act No.9 of 2017)</w:t>
                            </w:r>
                            <w:r w:rsidR="00456412">
                              <w:rPr>
                                <w:i/>
                                <w:iCs/>
                              </w:rPr>
                              <w:t>,</w:t>
                            </w:r>
                            <w:r w:rsidR="00D9250E">
                              <w:rPr>
                                <w:i/>
                                <w:iCs/>
                              </w:rPr>
                              <w:t xml:space="preserve"> </w:t>
                            </w:r>
                            <w:r w:rsidRPr="00DE5051">
                              <w:rPr>
                                <w:i/>
                                <w:iCs/>
                              </w:rPr>
                              <w:t>aim</w:t>
                            </w:r>
                            <w:r>
                              <w:rPr>
                                <w:i/>
                                <w:iCs/>
                              </w:rPr>
                              <w:t>s</w:t>
                            </w:r>
                            <w:r w:rsidRPr="00DE5051">
                              <w:rPr>
                                <w:i/>
                                <w:iCs/>
                              </w:rPr>
                              <w:t xml:space="preserve"> </w:t>
                            </w:r>
                            <w:r>
                              <w:rPr>
                                <w:i/>
                                <w:iCs/>
                              </w:rPr>
                              <w:t xml:space="preserve">to </w:t>
                            </w:r>
                            <w:r w:rsidRPr="00DE5051">
                              <w:rPr>
                                <w:i/>
                                <w:iCs/>
                              </w:rPr>
                              <w:t xml:space="preserve">assist insurers in complying with the </w:t>
                            </w:r>
                            <w:r w:rsidR="00DB2147">
                              <w:rPr>
                                <w:i/>
                                <w:iCs/>
                              </w:rPr>
                              <w:t>prescribed</w:t>
                            </w:r>
                            <w:r w:rsidR="00034368">
                              <w:rPr>
                                <w:i/>
                                <w:iCs/>
                              </w:rPr>
                              <w:t xml:space="preserve"> qualitative and quantitative </w:t>
                            </w:r>
                            <w:r w:rsidRPr="00DE5051">
                              <w:rPr>
                                <w:i/>
                                <w:iCs/>
                              </w:rPr>
                              <w:t xml:space="preserve">disclosure requirements </w:t>
                            </w:r>
                            <w:r>
                              <w:rPr>
                                <w:i/>
                                <w:iCs/>
                              </w:rPr>
                              <w:t>outlined</w:t>
                            </w:r>
                            <w:r w:rsidRPr="00DE5051">
                              <w:rPr>
                                <w:i/>
                                <w:iCs/>
                              </w:rPr>
                              <w:t xml:space="preserve"> in the Prudential Standard</w:t>
                            </w:r>
                            <w:r>
                              <w:rPr>
                                <w:i/>
                                <w:iCs/>
                              </w:rPr>
                              <w:t>:</w:t>
                            </w:r>
                            <w:r w:rsidRPr="00DE5051">
                              <w:rPr>
                                <w:i/>
                                <w:iCs/>
                              </w:rPr>
                              <w:t xml:space="preserve"> Public </w:t>
                            </w:r>
                            <w:r>
                              <w:rPr>
                                <w:i/>
                                <w:iCs/>
                              </w:rPr>
                              <w:t>D</w:t>
                            </w:r>
                            <w:r w:rsidRPr="00DE5051">
                              <w:rPr>
                                <w:i/>
                                <w:iCs/>
                              </w:rPr>
                              <w:t xml:space="preserve">isclosures for </w:t>
                            </w:r>
                            <w:r>
                              <w:rPr>
                                <w:i/>
                                <w:iCs/>
                              </w:rPr>
                              <w:t>I</w:t>
                            </w:r>
                            <w:r w:rsidRPr="00DE5051">
                              <w:rPr>
                                <w:i/>
                                <w:iCs/>
                              </w:rPr>
                              <w:t>nsurers</w:t>
                            </w:r>
                            <w:r>
                              <w:rPr>
                                <w:i/>
                                <w:iCs/>
                              </w:rPr>
                              <w:t xml:space="preserve"> (Prudential Standard), as applicable.</w:t>
                            </w:r>
                          </w:p>
                          <w:p w14:paraId="056FCD39" w14:textId="22B1DFAB" w:rsidR="006A5A9F" w:rsidRPr="00DE5051" w:rsidRDefault="006A5A9F" w:rsidP="006C7607">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0C057" id="_x0000_t202" coordsize="21600,21600" o:spt="202" path="m,l,21600r21600,l21600,xe">
                <v:stroke joinstyle="miter"/>
                <v:path gradientshapeok="t" o:connecttype="rect"/>
              </v:shapetype>
              <v:shape id="Text Box 4" o:spid="_x0000_s1026" type="#_x0000_t202" style="position:absolute;left:0;text-align:left;margin-left:1.75pt;margin-top:11.1pt;width:489pt;height:1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SZNwIAAH0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" fillcolor="white [3201]" strokeweight=".5pt">
                <v:textbox>
                  <w:txbxContent>
                    <w:p w14:paraId="483FA606" w14:textId="12637543" w:rsidR="006A5A9F" w:rsidRDefault="006A5A9F" w:rsidP="00DF4E2F">
                      <w:pPr>
                        <w:spacing w:line="276" w:lineRule="auto"/>
                        <w:rPr>
                          <w:b/>
                          <w:bCs/>
                          <w:i/>
                          <w:iCs/>
                        </w:rPr>
                      </w:pPr>
                      <w:r w:rsidRPr="00DE5051">
                        <w:rPr>
                          <w:b/>
                          <w:bCs/>
                          <w:i/>
                          <w:iCs/>
                        </w:rPr>
                        <w:t>Objectives of this Guidance Notice</w:t>
                      </w:r>
                    </w:p>
                    <w:p w14:paraId="0C964D0E" w14:textId="77777777" w:rsidR="006A5A9F" w:rsidRPr="00DE5051" w:rsidRDefault="006A5A9F" w:rsidP="00DE5051">
                      <w:pPr>
                        <w:spacing w:line="276" w:lineRule="auto"/>
                        <w:rPr>
                          <w:b/>
                          <w:bCs/>
                          <w:i/>
                          <w:iCs/>
                        </w:rPr>
                      </w:pPr>
                    </w:p>
                    <w:p w14:paraId="551F88FB" w14:textId="530BDD91" w:rsidR="006A5A9F" w:rsidRDefault="006A5A9F" w:rsidP="006C7607">
                      <w:pPr>
                        <w:spacing w:line="276" w:lineRule="auto"/>
                        <w:jc w:val="both"/>
                        <w:rPr>
                          <w:i/>
                          <w:iCs/>
                        </w:rPr>
                      </w:pPr>
                      <w:r w:rsidRPr="00DE5051">
                        <w:rPr>
                          <w:i/>
                          <w:iCs/>
                        </w:rPr>
                        <w:t>Th</w:t>
                      </w:r>
                      <w:r>
                        <w:rPr>
                          <w:i/>
                          <w:iCs/>
                        </w:rPr>
                        <w:t>is</w:t>
                      </w:r>
                      <w:r w:rsidRPr="00DE5051">
                        <w:rPr>
                          <w:i/>
                          <w:iCs/>
                        </w:rPr>
                        <w:t xml:space="preserve"> Guidance Notice</w:t>
                      </w:r>
                      <w:r w:rsidR="00A827BF">
                        <w:rPr>
                          <w:i/>
                          <w:iCs/>
                        </w:rPr>
                        <w:t>,</w:t>
                      </w:r>
                      <w:r w:rsidRPr="00DE5051">
                        <w:rPr>
                          <w:i/>
                          <w:iCs/>
                        </w:rPr>
                        <w:t xml:space="preserve"> </w:t>
                      </w:r>
                      <w:r w:rsidR="00D9250E">
                        <w:rPr>
                          <w:i/>
                          <w:iCs/>
                        </w:rPr>
                        <w:t>issue</w:t>
                      </w:r>
                      <w:r w:rsidR="00E23942">
                        <w:rPr>
                          <w:i/>
                          <w:iCs/>
                        </w:rPr>
                        <w:t>d</w:t>
                      </w:r>
                      <w:r w:rsidR="00D9250E">
                        <w:rPr>
                          <w:i/>
                          <w:iCs/>
                        </w:rPr>
                        <w:t xml:space="preserve"> in terms of section 14</w:t>
                      </w:r>
                      <w:r w:rsidR="007644C3">
                        <w:rPr>
                          <w:i/>
                          <w:iCs/>
                        </w:rPr>
                        <w:t>1</w:t>
                      </w:r>
                      <w:r w:rsidR="00D9250E">
                        <w:rPr>
                          <w:i/>
                          <w:iCs/>
                        </w:rPr>
                        <w:t xml:space="preserve"> of the</w:t>
                      </w:r>
                      <w:r w:rsidR="007644C3">
                        <w:rPr>
                          <w:i/>
                          <w:iCs/>
                        </w:rPr>
                        <w:t xml:space="preserve"> Financial Sector Regulation Act, </w:t>
                      </w:r>
                      <w:r w:rsidR="006C225A">
                        <w:rPr>
                          <w:i/>
                          <w:iCs/>
                        </w:rPr>
                        <w:t>2017 (Act No.9 of 2017)</w:t>
                      </w:r>
                      <w:r w:rsidR="00456412">
                        <w:rPr>
                          <w:i/>
                          <w:iCs/>
                        </w:rPr>
                        <w:t>,</w:t>
                      </w:r>
                      <w:r w:rsidR="00D9250E">
                        <w:rPr>
                          <w:i/>
                          <w:iCs/>
                        </w:rPr>
                        <w:t xml:space="preserve"> </w:t>
                      </w:r>
                      <w:r w:rsidRPr="00DE5051">
                        <w:rPr>
                          <w:i/>
                          <w:iCs/>
                        </w:rPr>
                        <w:t>aim</w:t>
                      </w:r>
                      <w:r>
                        <w:rPr>
                          <w:i/>
                          <w:iCs/>
                        </w:rPr>
                        <w:t>s</w:t>
                      </w:r>
                      <w:r w:rsidRPr="00DE5051">
                        <w:rPr>
                          <w:i/>
                          <w:iCs/>
                        </w:rPr>
                        <w:t xml:space="preserve"> </w:t>
                      </w:r>
                      <w:r>
                        <w:rPr>
                          <w:i/>
                          <w:iCs/>
                        </w:rPr>
                        <w:t xml:space="preserve">to </w:t>
                      </w:r>
                      <w:r w:rsidRPr="00DE5051">
                        <w:rPr>
                          <w:i/>
                          <w:iCs/>
                        </w:rPr>
                        <w:t xml:space="preserve">assist insurers in complying with the </w:t>
                      </w:r>
                      <w:r w:rsidR="00DB2147">
                        <w:rPr>
                          <w:i/>
                          <w:iCs/>
                        </w:rPr>
                        <w:t>prescribed</w:t>
                      </w:r>
                      <w:r w:rsidR="00034368">
                        <w:rPr>
                          <w:i/>
                          <w:iCs/>
                        </w:rPr>
                        <w:t xml:space="preserve"> qualitative and quantitative </w:t>
                      </w:r>
                      <w:r w:rsidRPr="00DE5051">
                        <w:rPr>
                          <w:i/>
                          <w:iCs/>
                        </w:rPr>
                        <w:t xml:space="preserve">disclosure requirements </w:t>
                      </w:r>
                      <w:r>
                        <w:rPr>
                          <w:i/>
                          <w:iCs/>
                        </w:rPr>
                        <w:t>outlined</w:t>
                      </w:r>
                      <w:r w:rsidRPr="00DE5051">
                        <w:rPr>
                          <w:i/>
                          <w:iCs/>
                        </w:rPr>
                        <w:t xml:space="preserve"> in the Prudential Standard</w:t>
                      </w:r>
                      <w:r>
                        <w:rPr>
                          <w:i/>
                          <w:iCs/>
                        </w:rPr>
                        <w:t>:</w:t>
                      </w:r>
                      <w:r w:rsidRPr="00DE5051">
                        <w:rPr>
                          <w:i/>
                          <w:iCs/>
                        </w:rPr>
                        <w:t xml:space="preserve"> Public </w:t>
                      </w:r>
                      <w:r>
                        <w:rPr>
                          <w:i/>
                          <w:iCs/>
                        </w:rPr>
                        <w:t>D</w:t>
                      </w:r>
                      <w:r w:rsidRPr="00DE5051">
                        <w:rPr>
                          <w:i/>
                          <w:iCs/>
                        </w:rPr>
                        <w:t xml:space="preserve">isclosures for </w:t>
                      </w:r>
                      <w:r>
                        <w:rPr>
                          <w:i/>
                          <w:iCs/>
                        </w:rPr>
                        <w:t>I</w:t>
                      </w:r>
                      <w:r w:rsidRPr="00DE5051">
                        <w:rPr>
                          <w:i/>
                          <w:iCs/>
                        </w:rPr>
                        <w:t>nsurers</w:t>
                      </w:r>
                      <w:r>
                        <w:rPr>
                          <w:i/>
                          <w:iCs/>
                        </w:rPr>
                        <w:t xml:space="preserve"> (Prudential Standard), as applicable.</w:t>
                      </w:r>
                    </w:p>
                    <w:p w14:paraId="056FCD39" w14:textId="22B1DFAB" w:rsidR="006A5A9F" w:rsidRPr="00DE5051" w:rsidRDefault="006A5A9F" w:rsidP="006C7607">
                      <w:pPr>
                        <w:jc w:val="both"/>
                        <w:rPr>
                          <w:i/>
                          <w:iCs/>
                        </w:rPr>
                      </w:pPr>
                    </w:p>
                  </w:txbxContent>
                </v:textbox>
              </v:shape>
            </w:pict>
          </mc:Fallback>
        </mc:AlternateContent>
      </w:r>
    </w:p>
    <w:p w14:paraId="25052E11" w14:textId="4148842A" w:rsidR="004A7D51" w:rsidRDefault="004A7D51"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5C6822C1" w14:textId="1ED13926" w:rsidR="004A7D51" w:rsidRDefault="004A7D51"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5B8A35C7" w14:textId="58D28F8B"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20D9A54F" w14:textId="0B861C16"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32F02147" w14:textId="5D8CF4CF"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03987E9F" w14:textId="292A0DBF"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4D5E1EF8" w14:textId="30CA0A9D"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5205F95C" w14:textId="42805A31"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5110E8F6" w14:textId="21C1AF6B"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1E734E3A" w14:textId="6D558158" w:rsidR="00DF4E2F" w:rsidRDefault="00DF4E2F" w:rsidP="00F475F7">
      <w:pPr>
        <w:pStyle w:val="HeadingAtt1"/>
        <w:keepNext w:val="0"/>
        <w:keepLines w:val="0"/>
        <w:pageBreakBefore w:val="0"/>
        <w:widowControl w:val="0"/>
        <w:tabs>
          <w:tab w:val="right" w:leader="dot" w:pos="9356"/>
        </w:tabs>
        <w:spacing w:after="0"/>
        <w:ind w:left="0" w:firstLine="0"/>
        <w:jc w:val="both"/>
        <w:rPr>
          <w:rFonts w:ascii="Arial" w:hAnsi="Arial" w:cs="Arial"/>
          <w:sz w:val="24"/>
          <w:szCs w:val="24"/>
        </w:rPr>
      </w:pPr>
    </w:p>
    <w:p w14:paraId="5B6D6969" w14:textId="77777777" w:rsidR="00DF2B12" w:rsidRPr="0026256E" w:rsidRDefault="00DF2B12" w:rsidP="0026256E">
      <w:pPr>
        <w:widowControl w:val="0"/>
        <w:jc w:val="both"/>
        <w:rPr>
          <w:rFonts w:cs="Arial"/>
          <w:b/>
          <w:szCs w:val="24"/>
        </w:rPr>
      </w:pPr>
      <w:bookmarkStart w:id="2" w:name="_Hlk111800938"/>
    </w:p>
    <w:p w14:paraId="6541A5D6" w14:textId="75FD67F8" w:rsidR="00F475F7" w:rsidRPr="00DE5051" w:rsidRDefault="00CD202E" w:rsidP="00972AC6">
      <w:pPr>
        <w:pStyle w:val="ListParagraph"/>
        <w:widowControl w:val="0"/>
        <w:numPr>
          <w:ilvl w:val="0"/>
          <w:numId w:val="2"/>
        </w:numPr>
        <w:ind w:left="851" w:hanging="851"/>
        <w:jc w:val="both"/>
        <w:rPr>
          <w:rFonts w:cs="Arial"/>
          <w:b/>
          <w:szCs w:val="24"/>
        </w:rPr>
      </w:pPr>
      <w:r>
        <w:rPr>
          <w:rFonts w:cs="Arial"/>
          <w:b/>
          <w:szCs w:val="24"/>
        </w:rPr>
        <w:t>Introduction</w:t>
      </w:r>
    </w:p>
    <w:bookmarkEnd w:id="2"/>
    <w:p w14:paraId="3E39E6C9" w14:textId="77777777" w:rsidR="005A36E2" w:rsidRPr="005F0D0A" w:rsidRDefault="005A36E2" w:rsidP="002A119C">
      <w:pPr>
        <w:pStyle w:val="ListParagraph"/>
        <w:ind w:left="851" w:hanging="851"/>
        <w:jc w:val="both"/>
        <w:rPr>
          <w:rFonts w:cs="Arial"/>
          <w:b/>
          <w:szCs w:val="24"/>
        </w:rPr>
      </w:pPr>
    </w:p>
    <w:p w14:paraId="19C82595" w14:textId="1D4C4114" w:rsidR="33F116DB" w:rsidRPr="00C27153" w:rsidRDefault="003A3896" w:rsidP="00C27153">
      <w:pPr>
        <w:pStyle w:val="ListParagraph"/>
        <w:numPr>
          <w:ilvl w:val="1"/>
          <w:numId w:val="4"/>
        </w:numPr>
        <w:ind w:left="851" w:hanging="851"/>
        <w:jc w:val="both"/>
        <w:rPr>
          <w:rFonts w:cs="Arial"/>
          <w:lang w:val="en-US"/>
        </w:rPr>
      </w:pPr>
      <w:bookmarkStart w:id="3" w:name="_Hlk127867913"/>
      <w:r w:rsidRPr="0FE87FB9">
        <w:rPr>
          <w:rFonts w:cs="Arial"/>
          <w:lang w:val="en-US"/>
        </w:rPr>
        <w:t xml:space="preserve">The purpose of this </w:t>
      </w:r>
      <w:r w:rsidR="00701073" w:rsidRPr="0FE87FB9">
        <w:rPr>
          <w:rFonts w:cs="Arial"/>
          <w:lang w:val="en-US"/>
        </w:rPr>
        <w:t xml:space="preserve">Guidance </w:t>
      </w:r>
      <w:r w:rsidR="00DF2B12" w:rsidRPr="0FE87FB9">
        <w:rPr>
          <w:rFonts w:cs="Arial"/>
          <w:lang w:val="en-US"/>
        </w:rPr>
        <w:t>N</w:t>
      </w:r>
      <w:r w:rsidRPr="0FE87FB9">
        <w:rPr>
          <w:rFonts w:cs="Arial"/>
          <w:lang w:val="en-US"/>
        </w:rPr>
        <w:t>otice is to guid</w:t>
      </w:r>
      <w:r w:rsidR="0053697E" w:rsidRPr="0FE87FB9">
        <w:rPr>
          <w:rFonts w:cs="Arial"/>
          <w:lang w:val="en-US"/>
        </w:rPr>
        <w:t xml:space="preserve">e insurers on the various elements of the requirements prescribed in the </w:t>
      </w:r>
      <w:r w:rsidR="003E1339" w:rsidRPr="0FE87FB9">
        <w:rPr>
          <w:rFonts w:cs="Arial"/>
          <w:lang w:val="en-US"/>
        </w:rPr>
        <w:t xml:space="preserve">Prudential </w:t>
      </w:r>
      <w:r w:rsidR="0053697E" w:rsidRPr="0FE87FB9">
        <w:rPr>
          <w:rFonts w:cs="Arial"/>
          <w:lang w:val="en-US"/>
        </w:rPr>
        <w:t>Standard</w:t>
      </w:r>
      <w:r w:rsidR="002E027E" w:rsidRPr="0FE87FB9">
        <w:rPr>
          <w:rFonts w:cs="Arial"/>
          <w:lang w:val="en-US"/>
        </w:rPr>
        <w:t>. It references</w:t>
      </w:r>
      <w:r w:rsidR="0053697E" w:rsidRPr="0FE87FB9">
        <w:rPr>
          <w:rFonts w:cs="Arial"/>
          <w:lang w:val="en-US"/>
        </w:rPr>
        <w:t xml:space="preserve"> </w:t>
      </w:r>
      <w:r w:rsidR="0091710B" w:rsidRPr="0FE87FB9">
        <w:rPr>
          <w:rFonts w:cs="Arial"/>
          <w:lang w:val="en-US"/>
        </w:rPr>
        <w:t>some of</w:t>
      </w:r>
      <w:r w:rsidR="003E1339" w:rsidRPr="0FE87FB9">
        <w:rPr>
          <w:rFonts w:cs="Arial"/>
          <w:lang w:val="en-US"/>
        </w:rPr>
        <w:t xml:space="preserve"> </w:t>
      </w:r>
      <w:r w:rsidR="00FF4F30">
        <w:rPr>
          <w:rFonts w:cs="Arial"/>
          <w:lang w:val="en-US"/>
        </w:rPr>
        <w:t xml:space="preserve">the </w:t>
      </w:r>
      <w:r w:rsidR="0091710B" w:rsidRPr="0FE87FB9">
        <w:rPr>
          <w:rFonts w:cs="Arial"/>
          <w:lang w:val="en-US"/>
        </w:rPr>
        <w:t xml:space="preserve">Quantitative </w:t>
      </w:r>
      <w:r w:rsidR="00BD5396">
        <w:rPr>
          <w:rFonts w:cs="Arial"/>
          <w:lang w:val="en-US"/>
        </w:rPr>
        <w:t>Reporting Templates</w:t>
      </w:r>
      <w:r w:rsidR="0091710B" w:rsidRPr="0FE87FB9">
        <w:rPr>
          <w:rFonts w:cs="Arial"/>
          <w:lang w:val="en-US"/>
        </w:rPr>
        <w:t xml:space="preserve"> (</w:t>
      </w:r>
      <w:r w:rsidR="0053697E" w:rsidRPr="0FE87FB9">
        <w:rPr>
          <w:rFonts w:cs="Arial"/>
          <w:lang w:val="en-US"/>
        </w:rPr>
        <w:t>QRTs</w:t>
      </w:r>
      <w:r w:rsidR="0091710B" w:rsidRPr="0FE87FB9">
        <w:rPr>
          <w:rFonts w:cs="Arial"/>
          <w:lang w:val="en-US"/>
        </w:rPr>
        <w:t>)</w:t>
      </w:r>
      <w:r w:rsidR="0053697E" w:rsidRPr="0FE87FB9">
        <w:rPr>
          <w:rFonts w:cs="Arial"/>
          <w:lang w:val="en-US"/>
        </w:rPr>
        <w:t xml:space="preserve"> and Q</w:t>
      </w:r>
      <w:r w:rsidR="0091710B" w:rsidRPr="0FE87FB9">
        <w:rPr>
          <w:rFonts w:cs="Arial"/>
          <w:lang w:val="en-US"/>
        </w:rPr>
        <w:t xml:space="preserve">ualitative </w:t>
      </w:r>
      <w:r w:rsidR="007D13F5">
        <w:rPr>
          <w:rFonts w:cs="Arial"/>
          <w:lang w:val="en-US"/>
        </w:rPr>
        <w:t>R</w:t>
      </w:r>
      <w:r w:rsidR="003A5FF0">
        <w:rPr>
          <w:rFonts w:cs="Arial"/>
          <w:lang w:val="en-US"/>
        </w:rPr>
        <w:t>egulatory</w:t>
      </w:r>
      <w:r w:rsidR="006D6C04">
        <w:rPr>
          <w:rFonts w:cs="Arial"/>
          <w:lang w:val="en-US"/>
        </w:rPr>
        <w:t xml:space="preserve"> </w:t>
      </w:r>
      <w:r w:rsidR="0053697E" w:rsidRPr="0FE87FB9">
        <w:rPr>
          <w:rFonts w:cs="Arial"/>
          <w:lang w:val="en-US"/>
        </w:rPr>
        <w:t>R</w:t>
      </w:r>
      <w:r w:rsidR="0091710B" w:rsidRPr="0FE87FB9">
        <w:rPr>
          <w:rFonts w:cs="Arial"/>
          <w:lang w:val="en-US"/>
        </w:rPr>
        <w:t>eturns (QRR</w:t>
      </w:r>
      <w:r w:rsidR="0053697E" w:rsidRPr="0FE87FB9">
        <w:rPr>
          <w:rFonts w:cs="Arial"/>
          <w:lang w:val="en-US"/>
        </w:rPr>
        <w:t>s</w:t>
      </w:r>
      <w:r w:rsidR="0091710B" w:rsidRPr="0FE87FB9">
        <w:rPr>
          <w:rFonts w:cs="Arial"/>
          <w:lang w:val="en-US"/>
        </w:rPr>
        <w:t>)</w:t>
      </w:r>
      <w:r w:rsidR="0053697E" w:rsidRPr="0FE87FB9">
        <w:rPr>
          <w:rFonts w:cs="Arial"/>
          <w:lang w:val="en-US"/>
        </w:rPr>
        <w:t xml:space="preserve"> that map the </w:t>
      </w:r>
      <w:r w:rsidR="0091710B" w:rsidRPr="0FE87FB9">
        <w:rPr>
          <w:rFonts w:cs="Arial"/>
          <w:lang w:val="en-US"/>
        </w:rPr>
        <w:t xml:space="preserve">prescribed </w:t>
      </w:r>
      <w:r w:rsidR="0053697E" w:rsidRPr="0FE87FB9">
        <w:rPr>
          <w:rFonts w:cs="Arial"/>
          <w:lang w:val="en-US"/>
        </w:rPr>
        <w:t xml:space="preserve">disclosure requirements contained in the </w:t>
      </w:r>
      <w:r w:rsidR="003E1339" w:rsidRPr="0FE87FB9">
        <w:rPr>
          <w:rFonts w:cs="Arial"/>
          <w:lang w:val="en-US"/>
        </w:rPr>
        <w:t xml:space="preserve">Prudential </w:t>
      </w:r>
      <w:r w:rsidR="0053697E" w:rsidRPr="0FE87FB9">
        <w:rPr>
          <w:rFonts w:cs="Arial"/>
          <w:lang w:val="en-US"/>
        </w:rPr>
        <w:t xml:space="preserve">Standard, which must be </w:t>
      </w:r>
      <w:r w:rsidR="00C27153" w:rsidRPr="0FE87FB9">
        <w:rPr>
          <w:rFonts w:cs="Arial"/>
          <w:lang w:val="en-US"/>
        </w:rPr>
        <w:t>disclosed</w:t>
      </w:r>
      <w:r w:rsidR="0053697E" w:rsidRPr="0FE87FB9">
        <w:rPr>
          <w:rFonts w:cs="Arial"/>
          <w:lang w:val="en-US"/>
        </w:rPr>
        <w:t xml:space="preserve"> as a minimum. </w:t>
      </w:r>
    </w:p>
    <w:p w14:paraId="2E86B965" w14:textId="086F508B" w:rsidR="00D340DD" w:rsidRPr="00A55E31" w:rsidRDefault="00D340DD" w:rsidP="000525B3">
      <w:pPr>
        <w:widowControl w:val="0"/>
        <w:jc w:val="both"/>
        <w:rPr>
          <w:rFonts w:eastAsia="Calibri" w:hAnsi="Calibri"/>
          <w:b/>
          <w:spacing w:val="-1"/>
          <w:szCs w:val="22"/>
          <w:lang w:val="en-US"/>
        </w:rPr>
      </w:pPr>
      <w:bookmarkStart w:id="4" w:name="4._Annual_public_disclosure_requirements"/>
      <w:bookmarkStart w:id="5" w:name="_bookmark3"/>
      <w:bookmarkEnd w:id="3"/>
      <w:bookmarkEnd w:id="4"/>
      <w:bookmarkEnd w:id="5"/>
    </w:p>
    <w:p w14:paraId="607E9F8F" w14:textId="1573AEEF" w:rsidR="00726F9B" w:rsidRPr="002A119C" w:rsidRDefault="00C27153" w:rsidP="007D7777">
      <w:pPr>
        <w:pStyle w:val="ListParagraph"/>
        <w:numPr>
          <w:ilvl w:val="0"/>
          <w:numId w:val="3"/>
        </w:numPr>
        <w:ind w:left="851" w:hanging="851"/>
        <w:jc w:val="both"/>
        <w:rPr>
          <w:b/>
          <w:spacing w:val="-1"/>
        </w:rPr>
      </w:pPr>
      <w:r>
        <w:rPr>
          <w:b/>
          <w:spacing w:val="-1"/>
        </w:rPr>
        <w:t xml:space="preserve">General </w:t>
      </w:r>
      <w:r w:rsidRPr="002A119C">
        <w:rPr>
          <w:b/>
        </w:rPr>
        <w:t>public</w:t>
      </w:r>
      <w:r w:rsidR="00726F9B" w:rsidRPr="002A119C">
        <w:rPr>
          <w:b/>
          <w:spacing w:val="1"/>
        </w:rPr>
        <w:t xml:space="preserve"> </w:t>
      </w:r>
      <w:r w:rsidR="00726F9B" w:rsidRPr="002A119C">
        <w:rPr>
          <w:b/>
          <w:spacing w:val="-1"/>
        </w:rPr>
        <w:t>disclosure</w:t>
      </w:r>
      <w:r w:rsidR="00726F9B" w:rsidRPr="002A119C">
        <w:rPr>
          <w:b/>
          <w:spacing w:val="1"/>
        </w:rPr>
        <w:t xml:space="preserve"> </w:t>
      </w:r>
      <w:r w:rsidR="00726F9B" w:rsidRPr="002A119C">
        <w:rPr>
          <w:b/>
          <w:spacing w:val="-1"/>
        </w:rPr>
        <w:t>requirements</w:t>
      </w:r>
    </w:p>
    <w:p w14:paraId="05C77E17" w14:textId="77777777" w:rsidR="00BE0EF4" w:rsidRPr="00BE0EF4" w:rsidRDefault="00BE0EF4" w:rsidP="002A119C">
      <w:pPr>
        <w:pStyle w:val="ListParagraph"/>
        <w:spacing w:before="201"/>
        <w:ind w:left="851" w:hanging="851"/>
        <w:jc w:val="both"/>
        <w:rPr>
          <w:b/>
          <w:spacing w:val="-1"/>
        </w:rPr>
      </w:pPr>
    </w:p>
    <w:p w14:paraId="520AE404" w14:textId="0693340F" w:rsidR="007D13F5" w:rsidRPr="007D13F5" w:rsidRDefault="006A1A9A" w:rsidP="007D13F5">
      <w:pPr>
        <w:pStyle w:val="Heading2"/>
        <w:keepNext w:val="0"/>
        <w:numPr>
          <w:ilvl w:val="1"/>
          <w:numId w:val="5"/>
        </w:numPr>
        <w:ind w:left="851" w:hanging="851"/>
        <w:jc w:val="both"/>
        <w:rPr>
          <w:rFonts w:cs="Arial"/>
          <w:u w:val="none"/>
          <w:lang w:val="en-US"/>
        </w:rPr>
      </w:pPr>
      <w:r w:rsidRPr="10B05773">
        <w:rPr>
          <w:rFonts w:cs="Arial"/>
          <w:u w:val="none"/>
          <w:lang w:val="en-US"/>
        </w:rPr>
        <w:t>I</w:t>
      </w:r>
      <w:r w:rsidR="007C5503" w:rsidRPr="10B05773">
        <w:rPr>
          <w:rFonts w:cs="Arial"/>
          <w:u w:val="none"/>
          <w:lang w:val="en-US"/>
        </w:rPr>
        <w:t>nsurers</w:t>
      </w:r>
      <w:r w:rsidR="00260714" w:rsidRPr="10B05773">
        <w:rPr>
          <w:rFonts w:cs="Arial"/>
          <w:u w:val="none"/>
          <w:lang w:val="en-US"/>
        </w:rPr>
        <w:t xml:space="preserve"> are re</w:t>
      </w:r>
      <w:r w:rsidR="00956E17" w:rsidRPr="10B05773">
        <w:rPr>
          <w:rFonts w:cs="Arial"/>
          <w:u w:val="none"/>
          <w:lang w:val="en-US"/>
        </w:rPr>
        <w:t xml:space="preserve">quired to disclose information </w:t>
      </w:r>
      <w:r w:rsidR="00305CB8" w:rsidRPr="10B05773">
        <w:rPr>
          <w:rFonts w:cs="Arial"/>
          <w:u w:val="none"/>
          <w:lang w:val="en-US"/>
        </w:rPr>
        <w:t xml:space="preserve">specified in the </w:t>
      </w:r>
      <w:bookmarkStart w:id="6" w:name="_Hlk193188378"/>
      <w:r w:rsidR="00DF2B12" w:rsidRPr="10B05773">
        <w:rPr>
          <w:rFonts w:cs="Arial"/>
          <w:u w:val="none"/>
          <w:lang w:val="en-US"/>
        </w:rPr>
        <w:t>Prudential</w:t>
      </w:r>
      <w:bookmarkEnd w:id="6"/>
      <w:r w:rsidR="00DF2B12" w:rsidRPr="10B05773">
        <w:rPr>
          <w:rFonts w:cs="Arial"/>
          <w:u w:val="none"/>
          <w:lang w:val="en-US"/>
        </w:rPr>
        <w:t xml:space="preserve"> Standard</w:t>
      </w:r>
      <w:r w:rsidR="00193D9B" w:rsidRPr="10B05773">
        <w:rPr>
          <w:rFonts w:cs="Arial"/>
          <w:u w:val="none"/>
          <w:lang w:val="en-US"/>
        </w:rPr>
        <w:t>.</w:t>
      </w:r>
      <w:r w:rsidR="007C5503" w:rsidRPr="10B05773">
        <w:rPr>
          <w:rFonts w:cs="Arial"/>
          <w:u w:val="none"/>
          <w:lang w:val="en-US"/>
        </w:rPr>
        <w:t xml:space="preserve"> </w:t>
      </w:r>
      <w:r w:rsidR="00B473C7" w:rsidRPr="10B05773">
        <w:rPr>
          <w:rFonts w:cs="Arial"/>
          <w:u w:val="none"/>
          <w:lang w:val="en-US"/>
        </w:rPr>
        <w:t>I</w:t>
      </w:r>
      <w:r w:rsidR="005236C6" w:rsidRPr="10B05773">
        <w:rPr>
          <w:rFonts w:cs="Arial"/>
          <w:u w:val="none"/>
          <w:lang w:val="en-US"/>
        </w:rPr>
        <w:t>nsurer</w:t>
      </w:r>
      <w:r w:rsidR="00B473C7" w:rsidRPr="10B05773">
        <w:rPr>
          <w:rFonts w:cs="Arial"/>
          <w:u w:val="none"/>
          <w:lang w:val="en-US"/>
        </w:rPr>
        <w:t>s</w:t>
      </w:r>
      <w:r w:rsidR="005236C6" w:rsidRPr="10B05773">
        <w:rPr>
          <w:rFonts w:cs="Arial"/>
          <w:u w:val="none"/>
          <w:lang w:val="en-US"/>
        </w:rPr>
        <w:t xml:space="preserve"> </w:t>
      </w:r>
      <w:r w:rsidR="00A827BF">
        <w:rPr>
          <w:rFonts w:cs="Arial"/>
          <w:u w:val="none"/>
          <w:lang w:val="en-US"/>
        </w:rPr>
        <w:t>may</w:t>
      </w:r>
      <w:r w:rsidR="00225BB1">
        <w:rPr>
          <w:rFonts w:cs="Arial"/>
          <w:u w:val="none"/>
          <w:lang w:val="en-US"/>
        </w:rPr>
        <w:t xml:space="preserve"> </w:t>
      </w:r>
      <w:r w:rsidR="00E87220">
        <w:rPr>
          <w:rFonts w:cs="Arial"/>
          <w:u w:val="none"/>
          <w:lang w:val="en-US"/>
        </w:rPr>
        <w:t>extract</w:t>
      </w:r>
      <w:r w:rsidR="00BB1147">
        <w:rPr>
          <w:rFonts w:cs="Arial"/>
          <w:u w:val="none"/>
          <w:lang w:val="en-US"/>
        </w:rPr>
        <w:t xml:space="preserve"> </w:t>
      </w:r>
      <w:r w:rsidR="005236C6" w:rsidRPr="10B05773">
        <w:rPr>
          <w:rFonts w:cs="Arial"/>
          <w:u w:val="none"/>
          <w:lang w:val="en-US"/>
        </w:rPr>
        <w:t xml:space="preserve">the </w:t>
      </w:r>
      <w:r w:rsidR="00A21E1A" w:rsidRPr="10B05773">
        <w:rPr>
          <w:rFonts w:cs="Arial"/>
          <w:u w:val="none"/>
          <w:lang w:val="en-US"/>
        </w:rPr>
        <w:t>specified</w:t>
      </w:r>
      <w:r w:rsidR="00CB3761">
        <w:rPr>
          <w:rFonts w:cs="Arial"/>
          <w:u w:val="none"/>
          <w:lang w:val="en-US"/>
        </w:rPr>
        <w:t xml:space="preserve"> qualitative</w:t>
      </w:r>
      <w:r w:rsidR="005236C6" w:rsidRPr="10B05773">
        <w:rPr>
          <w:rFonts w:cs="Arial"/>
          <w:u w:val="none"/>
          <w:lang w:val="en-US"/>
        </w:rPr>
        <w:t xml:space="preserve"> information from the QRRs and </w:t>
      </w:r>
      <w:r w:rsidR="00E87220">
        <w:rPr>
          <w:rFonts w:cs="Arial"/>
          <w:u w:val="none"/>
          <w:lang w:val="en-US"/>
        </w:rPr>
        <w:t>quantitative</w:t>
      </w:r>
      <w:r w:rsidR="00202C8D">
        <w:rPr>
          <w:rFonts w:cs="Arial"/>
          <w:u w:val="none"/>
          <w:lang w:val="en-US"/>
        </w:rPr>
        <w:t xml:space="preserve"> information </w:t>
      </w:r>
      <w:r w:rsidR="00552313">
        <w:rPr>
          <w:rFonts w:cs="Arial"/>
          <w:u w:val="none"/>
          <w:lang w:val="en-US"/>
        </w:rPr>
        <w:t>from the</w:t>
      </w:r>
      <w:r w:rsidR="00BE67D2">
        <w:rPr>
          <w:rFonts w:cs="Arial"/>
          <w:u w:val="none"/>
          <w:lang w:val="en-US"/>
        </w:rPr>
        <w:t xml:space="preserve"> </w:t>
      </w:r>
      <w:r w:rsidR="005236C6" w:rsidRPr="10B05773">
        <w:rPr>
          <w:rFonts w:cs="Arial"/>
          <w:u w:val="none"/>
          <w:lang w:val="en-US"/>
        </w:rPr>
        <w:t>QRTs</w:t>
      </w:r>
      <w:r w:rsidR="00CE14FF" w:rsidRPr="10B05773">
        <w:rPr>
          <w:rFonts w:cs="Arial"/>
          <w:u w:val="none"/>
          <w:lang w:val="en-US"/>
        </w:rPr>
        <w:t xml:space="preserve"> and </w:t>
      </w:r>
      <w:r w:rsidR="005236C6" w:rsidRPr="10B05773">
        <w:rPr>
          <w:rFonts w:cs="Arial"/>
          <w:u w:val="none"/>
          <w:lang w:val="en-US"/>
        </w:rPr>
        <w:t>publish</w:t>
      </w:r>
      <w:r w:rsidR="00CE14FF" w:rsidRPr="10B05773">
        <w:rPr>
          <w:rFonts w:cs="Arial"/>
          <w:u w:val="none"/>
          <w:lang w:val="en-US"/>
        </w:rPr>
        <w:t xml:space="preserve"> such information</w:t>
      </w:r>
      <w:r w:rsidR="0003253C" w:rsidRPr="10B05773">
        <w:rPr>
          <w:rFonts w:cs="Arial"/>
          <w:u w:val="none"/>
          <w:lang w:val="en-US"/>
        </w:rPr>
        <w:t xml:space="preserve"> as is</w:t>
      </w:r>
      <w:r w:rsidR="005236C6" w:rsidRPr="10B05773">
        <w:rPr>
          <w:rFonts w:cs="Arial"/>
          <w:u w:val="none"/>
          <w:lang w:val="en-US"/>
        </w:rPr>
        <w:t xml:space="preserve"> applicable</w:t>
      </w:r>
      <w:r w:rsidR="0003253C" w:rsidRPr="10B05773">
        <w:rPr>
          <w:rFonts w:cs="Arial"/>
          <w:u w:val="none"/>
          <w:lang w:val="en-US"/>
        </w:rPr>
        <w:t>.</w:t>
      </w:r>
    </w:p>
    <w:p w14:paraId="2EB0E4BB" w14:textId="7F0CC12C" w:rsidR="10B05773" w:rsidRDefault="10B05773" w:rsidP="10B05773">
      <w:pPr>
        <w:rPr>
          <w:lang w:val="en-US"/>
        </w:rPr>
      </w:pPr>
    </w:p>
    <w:p w14:paraId="15DF8DE0" w14:textId="49D671D9" w:rsidR="497C59A9" w:rsidRPr="00BD6DCF" w:rsidRDefault="00C267FD" w:rsidP="00972AC6">
      <w:pPr>
        <w:pStyle w:val="Heading2"/>
        <w:keepNext w:val="0"/>
        <w:numPr>
          <w:ilvl w:val="1"/>
          <w:numId w:val="5"/>
        </w:numPr>
        <w:ind w:left="851" w:hanging="851"/>
        <w:jc w:val="both"/>
        <w:rPr>
          <w:rFonts w:eastAsia="Arial" w:cs="Arial"/>
          <w:strike/>
          <w:szCs w:val="24"/>
          <w:u w:val="none"/>
        </w:rPr>
      </w:pPr>
      <w:r w:rsidRPr="000D059B">
        <w:rPr>
          <w:rFonts w:eastAsia="Arial" w:cs="Arial"/>
          <w:color w:val="000000" w:themeColor="text1"/>
          <w:szCs w:val="24"/>
          <w:u w:val="none"/>
        </w:rPr>
        <w:t>I</w:t>
      </w:r>
      <w:r w:rsidR="6DDAF405" w:rsidRPr="000D059B">
        <w:rPr>
          <w:rFonts w:eastAsia="Arial" w:cs="Arial"/>
          <w:color w:val="000000" w:themeColor="text1"/>
          <w:szCs w:val="24"/>
          <w:u w:val="none"/>
        </w:rPr>
        <w:t>nsurer</w:t>
      </w:r>
      <w:r w:rsidRPr="000D059B">
        <w:rPr>
          <w:rFonts w:eastAsia="Arial" w:cs="Arial"/>
          <w:color w:val="000000" w:themeColor="text1"/>
          <w:szCs w:val="24"/>
          <w:u w:val="none"/>
        </w:rPr>
        <w:t>s</w:t>
      </w:r>
      <w:r w:rsidR="6DDAF405" w:rsidRPr="000D059B">
        <w:rPr>
          <w:rFonts w:eastAsia="Arial" w:cs="Arial"/>
          <w:color w:val="000000" w:themeColor="text1"/>
          <w:szCs w:val="24"/>
          <w:u w:val="none"/>
        </w:rPr>
        <w:t xml:space="preserve"> </w:t>
      </w:r>
      <w:r w:rsidRPr="000D059B">
        <w:rPr>
          <w:rFonts w:eastAsia="Arial" w:cs="Arial"/>
          <w:color w:val="000000" w:themeColor="text1"/>
          <w:szCs w:val="24"/>
          <w:u w:val="none"/>
        </w:rPr>
        <w:t>are</w:t>
      </w:r>
      <w:r w:rsidR="6DDAF405" w:rsidRPr="000D059B">
        <w:rPr>
          <w:rFonts w:eastAsia="Arial" w:cs="Arial"/>
          <w:color w:val="000000" w:themeColor="text1"/>
          <w:szCs w:val="24"/>
          <w:u w:val="none"/>
        </w:rPr>
        <w:t xml:space="preserve"> permitted to cross-reference the </w:t>
      </w:r>
      <w:r w:rsidR="00837BE4">
        <w:rPr>
          <w:rFonts w:eastAsia="Arial" w:cs="Arial"/>
          <w:color w:val="000000" w:themeColor="text1"/>
          <w:szCs w:val="24"/>
          <w:u w:val="none"/>
        </w:rPr>
        <w:t xml:space="preserve">prescribed </w:t>
      </w:r>
      <w:r w:rsidR="6DDAF405" w:rsidRPr="000D059B">
        <w:rPr>
          <w:rFonts w:eastAsia="Arial" w:cs="Arial"/>
          <w:color w:val="000000" w:themeColor="text1"/>
          <w:szCs w:val="24"/>
          <w:u w:val="none"/>
        </w:rPr>
        <w:t>information required in th</w:t>
      </w:r>
      <w:r w:rsidRPr="000D059B">
        <w:rPr>
          <w:rFonts w:eastAsia="Arial" w:cs="Arial"/>
          <w:color w:val="000000" w:themeColor="text1"/>
          <w:szCs w:val="24"/>
          <w:u w:val="none"/>
        </w:rPr>
        <w:t xml:space="preserve">e </w:t>
      </w:r>
      <w:r w:rsidR="003E1339" w:rsidRPr="000D059B">
        <w:rPr>
          <w:rFonts w:eastAsia="Arial" w:cs="Arial"/>
          <w:color w:val="000000" w:themeColor="text1"/>
          <w:szCs w:val="24"/>
          <w:u w:val="none"/>
        </w:rPr>
        <w:t>P</w:t>
      </w:r>
      <w:r w:rsidR="003E1339">
        <w:rPr>
          <w:rFonts w:eastAsia="Arial" w:cs="Arial"/>
          <w:color w:val="000000" w:themeColor="text1"/>
          <w:szCs w:val="24"/>
          <w:u w:val="none"/>
        </w:rPr>
        <w:t>rudential</w:t>
      </w:r>
      <w:r w:rsidR="003E1339" w:rsidRPr="000D059B">
        <w:rPr>
          <w:rFonts w:eastAsia="Arial" w:cs="Arial"/>
          <w:color w:val="000000" w:themeColor="text1"/>
          <w:szCs w:val="24"/>
          <w:u w:val="none"/>
        </w:rPr>
        <w:t xml:space="preserve"> </w:t>
      </w:r>
      <w:r w:rsidR="6DDAF405" w:rsidRPr="000D059B">
        <w:rPr>
          <w:rFonts w:eastAsia="Arial" w:cs="Arial"/>
          <w:color w:val="000000" w:themeColor="text1"/>
          <w:szCs w:val="24"/>
          <w:u w:val="none"/>
        </w:rPr>
        <w:t>Standard to</w:t>
      </w:r>
      <w:r w:rsidR="00837BE4">
        <w:rPr>
          <w:rFonts w:eastAsia="Arial" w:cs="Arial"/>
          <w:color w:val="000000" w:themeColor="text1"/>
          <w:szCs w:val="24"/>
          <w:u w:val="none"/>
        </w:rPr>
        <w:t xml:space="preserve"> other</w:t>
      </w:r>
      <w:r w:rsidR="6DDAF405" w:rsidRPr="000D059B">
        <w:rPr>
          <w:rFonts w:eastAsia="Arial" w:cs="Arial"/>
          <w:color w:val="000000" w:themeColor="text1"/>
          <w:szCs w:val="24"/>
          <w:u w:val="none"/>
        </w:rPr>
        <w:t xml:space="preserve"> publicly disclosed reports of a similar nature</w:t>
      </w:r>
      <w:r w:rsidR="00A23DAD">
        <w:rPr>
          <w:rFonts w:eastAsia="Arial" w:cs="Arial"/>
          <w:color w:val="000000" w:themeColor="text1"/>
          <w:szCs w:val="24"/>
          <w:u w:val="none"/>
        </w:rPr>
        <w:t>.</w:t>
      </w:r>
      <w:r w:rsidR="6DDAF405" w:rsidRPr="000D059B">
        <w:rPr>
          <w:rFonts w:eastAsia="Arial" w:cs="Arial"/>
          <w:color w:val="000000" w:themeColor="text1"/>
          <w:szCs w:val="24"/>
          <w:u w:val="none"/>
        </w:rPr>
        <w:t xml:space="preserve"> </w:t>
      </w:r>
    </w:p>
    <w:p w14:paraId="4F0BE502" w14:textId="7B4CD1CE" w:rsidR="001A7AFA" w:rsidRPr="00A55E31" w:rsidRDefault="001A7AFA" w:rsidP="007D7777">
      <w:pPr>
        <w:ind w:left="851" w:hanging="851"/>
        <w:jc w:val="both"/>
        <w:rPr>
          <w:b/>
          <w:spacing w:val="-1"/>
        </w:rPr>
      </w:pPr>
    </w:p>
    <w:p w14:paraId="39EB6DB2" w14:textId="0158ECFA" w:rsidR="002F1348" w:rsidRPr="000C3D00" w:rsidRDefault="001B3EB7" w:rsidP="03ECD34C">
      <w:pPr>
        <w:pStyle w:val="ListParagraph"/>
        <w:numPr>
          <w:ilvl w:val="1"/>
          <w:numId w:val="5"/>
        </w:numPr>
        <w:ind w:left="851" w:hanging="851"/>
        <w:jc w:val="both"/>
        <w:rPr>
          <w:rFonts w:eastAsia="Arial" w:cs="Arial"/>
          <w:lang w:val="en-US"/>
        </w:rPr>
      </w:pPr>
      <w:r w:rsidRPr="03ECD34C">
        <w:rPr>
          <w:rFonts w:eastAsia="Arial" w:cs="Arial"/>
          <w:lang w:val="en-US"/>
        </w:rPr>
        <w:t>I</w:t>
      </w:r>
      <w:r w:rsidR="00364C2F" w:rsidRPr="03ECD34C">
        <w:rPr>
          <w:rFonts w:eastAsia="Arial" w:cs="Arial"/>
          <w:lang w:val="en-US"/>
        </w:rPr>
        <w:t>nsurers are not required to disclose</w:t>
      </w:r>
      <w:r w:rsidR="00632B36" w:rsidRPr="03ECD34C">
        <w:rPr>
          <w:rFonts w:eastAsia="Arial" w:cs="Arial"/>
          <w:lang w:val="en-US"/>
        </w:rPr>
        <w:t xml:space="preserve"> information from</w:t>
      </w:r>
      <w:r w:rsidR="00364C2F" w:rsidRPr="03ECD34C">
        <w:rPr>
          <w:rFonts w:eastAsia="Arial" w:cs="Arial"/>
          <w:lang w:val="en-US"/>
        </w:rPr>
        <w:t xml:space="preserve"> the</w:t>
      </w:r>
      <w:r w:rsidR="00632B36" w:rsidRPr="03ECD34C">
        <w:rPr>
          <w:rFonts w:eastAsia="Arial" w:cs="Arial"/>
          <w:lang w:val="en-US"/>
        </w:rPr>
        <w:t xml:space="preserve"> year</w:t>
      </w:r>
      <w:r w:rsidR="00694774" w:rsidRPr="03ECD34C">
        <w:rPr>
          <w:rFonts w:eastAsia="Arial" w:cs="Arial"/>
          <w:lang w:val="en-US"/>
        </w:rPr>
        <w:t xml:space="preserve"> </w:t>
      </w:r>
      <w:r w:rsidR="00AA78A0">
        <w:rPr>
          <w:rFonts w:eastAsia="Arial" w:cs="Arial"/>
          <w:lang w:val="en-US"/>
        </w:rPr>
        <w:t>prior to</w:t>
      </w:r>
      <w:r w:rsidR="00364C2F" w:rsidRPr="03ECD34C">
        <w:rPr>
          <w:rFonts w:eastAsia="Arial" w:cs="Arial"/>
          <w:lang w:val="en-US"/>
        </w:rPr>
        <w:t xml:space="preserve"> the initial year of implementation</w:t>
      </w:r>
      <w:r w:rsidR="00632B36" w:rsidRPr="03ECD34C">
        <w:rPr>
          <w:rFonts w:eastAsia="Arial" w:cs="Arial"/>
          <w:lang w:val="en-US"/>
        </w:rPr>
        <w:t xml:space="preserve"> of the </w:t>
      </w:r>
      <w:r w:rsidR="003E1339" w:rsidRPr="03ECD34C">
        <w:rPr>
          <w:rFonts w:eastAsia="Arial" w:cs="Arial"/>
          <w:lang w:val="en-US"/>
        </w:rPr>
        <w:t xml:space="preserve">Prudential </w:t>
      </w:r>
      <w:r w:rsidR="00632B36" w:rsidRPr="03ECD34C">
        <w:rPr>
          <w:rFonts w:eastAsia="Arial" w:cs="Arial"/>
          <w:lang w:val="en-US"/>
        </w:rPr>
        <w:t>Standard</w:t>
      </w:r>
      <w:r w:rsidR="00364C2F" w:rsidRPr="03ECD34C">
        <w:rPr>
          <w:rFonts w:eastAsia="Arial" w:cs="Arial"/>
          <w:lang w:val="en-US"/>
        </w:rPr>
        <w:t xml:space="preserve"> where comparative </w:t>
      </w:r>
      <w:r w:rsidR="006918D9" w:rsidRPr="03ECD34C">
        <w:rPr>
          <w:rFonts w:eastAsia="Arial" w:cs="Arial"/>
          <w:lang w:val="en-US"/>
        </w:rPr>
        <w:t xml:space="preserve">quantitative </w:t>
      </w:r>
      <w:r w:rsidR="00364C2F" w:rsidRPr="03ECD34C">
        <w:rPr>
          <w:rFonts w:eastAsia="Arial" w:cs="Arial"/>
          <w:lang w:val="en-US"/>
        </w:rPr>
        <w:t xml:space="preserve">disclosures are </w:t>
      </w:r>
      <w:r w:rsidR="006918D9" w:rsidRPr="03ECD34C">
        <w:rPr>
          <w:rFonts w:eastAsia="Arial" w:cs="Arial"/>
          <w:lang w:val="en-US"/>
        </w:rPr>
        <w:t>required</w:t>
      </w:r>
      <w:r w:rsidR="00C267FD" w:rsidRPr="03ECD34C">
        <w:rPr>
          <w:rFonts w:eastAsia="Arial" w:cs="Arial"/>
          <w:lang w:val="en-US"/>
        </w:rPr>
        <w:t>.</w:t>
      </w:r>
      <w:r w:rsidR="00745621" w:rsidRPr="03ECD34C">
        <w:rPr>
          <w:rFonts w:eastAsia="Arial" w:cs="Arial"/>
          <w:lang w:val="en-US"/>
        </w:rPr>
        <w:t xml:space="preserve"> Therefore, the </w:t>
      </w:r>
      <w:r w:rsidR="00197AF6" w:rsidRPr="03ECD34C">
        <w:rPr>
          <w:rFonts w:eastAsia="Arial" w:cs="Arial"/>
          <w:lang w:val="en-US"/>
        </w:rPr>
        <w:t xml:space="preserve">public </w:t>
      </w:r>
      <w:r w:rsidR="00670C46" w:rsidRPr="03ECD34C">
        <w:rPr>
          <w:rFonts w:eastAsia="Arial" w:cs="Arial"/>
          <w:lang w:val="en-US"/>
        </w:rPr>
        <w:t>disclosure</w:t>
      </w:r>
      <w:r w:rsidR="00D10817" w:rsidRPr="03ECD34C">
        <w:rPr>
          <w:rFonts w:eastAsia="Arial" w:cs="Arial"/>
          <w:lang w:val="en-US"/>
        </w:rPr>
        <w:t xml:space="preserve"> of prescribed information is not retrospective</w:t>
      </w:r>
      <w:r w:rsidR="66E1DABD" w:rsidRPr="03ECD34C">
        <w:rPr>
          <w:rFonts w:eastAsia="Arial" w:cs="Arial"/>
          <w:lang w:val="en-US"/>
        </w:rPr>
        <w:t xml:space="preserve"> for the initial year of implementation</w:t>
      </w:r>
      <w:r w:rsidR="00D10817" w:rsidRPr="03ECD34C">
        <w:rPr>
          <w:rFonts w:eastAsia="Arial" w:cs="Arial"/>
          <w:lang w:val="en-US"/>
        </w:rPr>
        <w:t>.</w:t>
      </w:r>
      <w:r w:rsidR="00745621" w:rsidRPr="03ECD34C">
        <w:rPr>
          <w:rFonts w:eastAsia="Arial" w:cs="Arial"/>
          <w:lang w:val="en-US"/>
        </w:rPr>
        <w:t xml:space="preserve"> </w:t>
      </w:r>
    </w:p>
    <w:p w14:paraId="63239D4E" w14:textId="2D50C9DB" w:rsidR="00726F9B" w:rsidRPr="00476A19" w:rsidRDefault="00726F9B" w:rsidP="002A119C">
      <w:pPr>
        <w:pStyle w:val="ListParagraph"/>
        <w:ind w:left="851"/>
        <w:jc w:val="both"/>
        <w:rPr>
          <w:rFonts w:eastAsia="Arial" w:cs="Arial"/>
          <w:szCs w:val="24"/>
        </w:rPr>
      </w:pPr>
    </w:p>
    <w:p w14:paraId="05FE4A57" w14:textId="6C5D8FFE" w:rsidR="006429E6" w:rsidRPr="00A25ED8" w:rsidRDefault="006918D9" w:rsidP="00A25ED8">
      <w:pPr>
        <w:pStyle w:val="ListParagraph"/>
        <w:numPr>
          <w:ilvl w:val="1"/>
          <w:numId w:val="5"/>
        </w:numPr>
        <w:ind w:left="851" w:hanging="851"/>
        <w:jc w:val="both"/>
        <w:rPr>
          <w:rFonts w:eastAsia="Arial" w:cs="Arial"/>
          <w:szCs w:val="24"/>
          <w:lang w:val="en-US"/>
        </w:rPr>
      </w:pPr>
      <w:r>
        <w:rPr>
          <w:rFonts w:eastAsia="Arial"/>
        </w:rPr>
        <w:t>Where insurers apply to the</w:t>
      </w:r>
      <w:r w:rsidR="00A23DAD">
        <w:rPr>
          <w:rFonts w:eastAsia="Arial"/>
        </w:rPr>
        <w:t xml:space="preserve"> Authority</w:t>
      </w:r>
      <w:r>
        <w:rPr>
          <w:rFonts w:eastAsia="Arial"/>
        </w:rPr>
        <w:t xml:space="preserve"> for non-disclosure in terms of </w:t>
      </w:r>
      <w:r w:rsidR="006A5A9F">
        <w:rPr>
          <w:rFonts w:eastAsia="Arial"/>
        </w:rPr>
        <w:t>s</w:t>
      </w:r>
      <w:r w:rsidR="006A5A9F" w:rsidRPr="006918D9">
        <w:rPr>
          <w:rFonts w:eastAsia="Arial"/>
        </w:rPr>
        <w:t xml:space="preserve">ection </w:t>
      </w:r>
      <w:r w:rsidRPr="006918D9">
        <w:rPr>
          <w:rFonts w:eastAsia="Arial"/>
        </w:rPr>
        <w:t>45(2)(a) of the Insurance Act</w:t>
      </w:r>
      <w:r w:rsidR="003E1339">
        <w:rPr>
          <w:rFonts w:eastAsia="Arial"/>
        </w:rPr>
        <w:t>, 2017 (Act No.</w:t>
      </w:r>
      <w:r w:rsidRPr="006918D9">
        <w:rPr>
          <w:rFonts w:eastAsia="Arial"/>
        </w:rPr>
        <w:t xml:space="preserve"> 18 of 2017</w:t>
      </w:r>
      <w:r w:rsidR="003E1339">
        <w:rPr>
          <w:rFonts w:eastAsia="Arial"/>
        </w:rPr>
        <w:t>) (</w:t>
      </w:r>
      <w:r w:rsidR="000A7CD5">
        <w:rPr>
          <w:rFonts w:eastAsia="Arial"/>
        </w:rPr>
        <w:t>the</w:t>
      </w:r>
      <w:r w:rsidR="003E1339">
        <w:rPr>
          <w:rFonts w:eastAsia="Arial"/>
        </w:rPr>
        <w:t xml:space="preserve"> Act)</w:t>
      </w:r>
      <w:r>
        <w:rPr>
          <w:rFonts w:eastAsia="Arial"/>
        </w:rPr>
        <w:t>, these a</w:t>
      </w:r>
      <w:r w:rsidR="004E58EC" w:rsidRPr="10B05773">
        <w:rPr>
          <w:rFonts w:eastAsia="Arial"/>
        </w:rPr>
        <w:t>pplications</w:t>
      </w:r>
      <w:r>
        <w:rPr>
          <w:rFonts w:eastAsia="Arial"/>
        </w:rPr>
        <w:t xml:space="preserve"> may</w:t>
      </w:r>
      <w:r w:rsidR="004E58EC" w:rsidRPr="10B05773">
        <w:rPr>
          <w:rFonts w:eastAsia="Arial"/>
        </w:rPr>
        <w:t xml:space="preserve"> </w:t>
      </w:r>
      <w:r w:rsidR="00486A17" w:rsidRPr="10B05773">
        <w:rPr>
          <w:rFonts w:eastAsia="Arial"/>
        </w:rPr>
        <w:t xml:space="preserve">be </w:t>
      </w:r>
      <w:r w:rsidR="007B5A2B">
        <w:rPr>
          <w:rFonts w:eastAsia="Arial"/>
        </w:rPr>
        <w:t xml:space="preserve">within four months </w:t>
      </w:r>
      <w:r w:rsidR="002820DD">
        <w:rPr>
          <w:rFonts w:eastAsia="Arial"/>
        </w:rPr>
        <w:t xml:space="preserve">after the end of the insurer’s financial year and </w:t>
      </w:r>
      <w:r w:rsidR="007B5A2B">
        <w:rPr>
          <w:rFonts w:eastAsia="Arial"/>
        </w:rPr>
        <w:t>before the disclosure period</w:t>
      </w:r>
      <w:r w:rsidR="007931BA">
        <w:rPr>
          <w:rFonts w:eastAsia="Arial"/>
        </w:rPr>
        <w:t xml:space="preserve">, </w:t>
      </w:r>
      <w:r w:rsidR="007931BA" w:rsidRPr="007931BA">
        <w:rPr>
          <w:rFonts w:eastAsia="Arial"/>
        </w:rPr>
        <w:t>in a form and manner prescribed by the Authority</w:t>
      </w:r>
      <w:r w:rsidR="007B5A2B">
        <w:rPr>
          <w:rFonts w:eastAsia="Arial"/>
        </w:rPr>
        <w:t>.</w:t>
      </w:r>
    </w:p>
    <w:p w14:paraId="77F8FFBC" w14:textId="093FC03E" w:rsidR="006429E6" w:rsidRPr="002A119C" w:rsidRDefault="006429E6" w:rsidP="002A119C">
      <w:pPr>
        <w:pStyle w:val="ListParagraph"/>
        <w:ind w:left="851" w:hanging="851"/>
        <w:jc w:val="both"/>
        <w:rPr>
          <w:rFonts w:eastAsia="Arial" w:cs="Arial"/>
          <w:szCs w:val="24"/>
          <w:lang w:val="en-US"/>
        </w:rPr>
      </w:pPr>
    </w:p>
    <w:p w14:paraId="1B39F604" w14:textId="3F5C1ED4" w:rsidR="00E5725D" w:rsidRPr="00E5725D" w:rsidRDefault="00B915A6" w:rsidP="00E5725D">
      <w:pPr>
        <w:pStyle w:val="ListParagraph"/>
        <w:numPr>
          <w:ilvl w:val="1"/>
          <w:numId w:val="5"/>
        </w:numPr>
        <w:ind w:left="709" w:hanging="851"/>
        <w:jc w:val="both"/>
        <w:rPr>
          <w:rFonts w:eastAsia="Arial" w:cs="Arial"/>
          <w:szCs w:val="24"/>
          <w:lang w:val="en-US"/>
        </w:rPr>
      </w:pPr>
      <w:r w:rsidRPr="00B915A6">
        <w:rPr>
          <w:rFonts w:eastAsia="Arial" w:cs="Arial"/>
          <w:lang w:val="en-US"/>
        </w:rPr>
        <w:lastRenderedPageBreak/>
        <w:t xml:space="preserve">Where the </w:t>
      </w:r>
      <w:r w:rsidR="00A247F7">
        <w:rPr>
          <w:rFonts w:eastAsia="Arial" w:cs="Arial"/>
          <w:lang w:val="en-US"/>
        </w:rPr>
        <w:t>Authority</w:t>
      </w:r>
      <w:r w:rsidRPr="00B915A6">
        <w:rPr>
          <w:rFonts w:eastAsia="Arial" w:cs="Arial"/>
          <w:lang w:val="en-US"/>
        </w:rPr>
        <w:t xml:space="preserve"> directs an insurer to include a statement under section 45(2)(b)</w:t>
      </w:r>
      <w:r w:rsidR="004645D0">
        <w:rPr>
          <w:rFonts w:eastAsia="Arial" w:cs="Arial"/>
          <w:lang w:val="en-US"/>
        </w:rPr>
        <w:t xml:space="preserve"> </w:t>
      </w:r>
      <w:r w:rsidR="0042333B">
        <w:rPr>
          <w:rFonts w:eastAsia="Arial" w:cs="Arial"/>
          <w:lang w:val="en-US"/>
        </w:rPr>
        <w:t xml:space="preserve">of the Act </w:t>
      </w:r>
      <w:r w:rsidR="004645D0">
        <w:rPr>
          <w:rFonts w:eastAsia="Arial" w:cs="Arial"/>
          <w:lang w:val="en-US"/>
        </w:rPr>
        <w:t>in its disclosures</w:t>
      </w:r>
      <w:r w:rsidR="004919EF">
        <w:rPr>
          <w:rFonts w:eastAsia="Arial" w:cs="Arial"/>
          <w:lang w:val="en-US"/>
        </w:rPr>
        <w:t>,</w:t>
      </w:r>
      <w:r w:rsidRPr="00B915A6">
        <w:rPr>
          <w:rFonts w:eastAsia="Arial" w:cs="Arial"/>
          <w:lang w:val="en-US"/>
        </w:rPr>
        <w:t xml:space="preserve"> </w:t>
      </w:r>
      <w:r w:rsidR="00645BE2">
        <w:rPr>
          <w:rFonts w:eastAsia="Arial" w:cs="Arial"/>
          <w:lang w:val="en-US"/>
        </w:rPr>
        <w:t xml:space="preserve">the insurer may include in such statement </w:t>
      </w:r>
      <w:r w:rsidR="008F1998">
        <w:rPr>
          <w:rFonts w:eastAsia="Arial" w:cs="Arial"/>
          <w:lang w:val="en-US"/>
        </w:rPr>
        <w:t xml:space="preserve">that </w:t>
      </w:r>
      <w:r w:rsidR="004645D0">
        <w:rPr>
          <w:rFonts w:eastAsia="Arial" w:cs="Arial"/>
          <w:lang w:val="en-US"/>
        </w:rPr>
        <w:t xml:space="preserve">the </w:t>
      </w:r>
      <w:r w:rsidR="008F1998">
        <w:rPr>
          <w:rFonts w:eastAsia="Arial" w:cs="Arial"/>
          <w:lang w:val="en-US"/>
        </w:rPr>
        <w:t>prescribed information has been withheld with the Authority’s approval</w:t>
      </w:r>
      <w:r w:rsidR="004645D0">
        <w:rPr>
          <w:rFonts w:eastAsia="Arial" w:cs="Arial"/>
          <w:lang w:val="en-US"/>
        </w:rPr>
        <w:t xml:space="preserve">, including </w:t>
      </w:r>
      <w:r w:rsidR="008B50C8">
        <w:rPr>
          <w:rFonts w:eastAsia="Arial" w:cs="Arial"/>
          <w:lang w:val="en-US"/>
        </w:rPr>
        <w:t>other</w:t>
      </w:r>
      <w:r w:rsidR="008F1998">
        <w:rPr>
          <w:rFonts w:eastAsia="Arial" w:cs="Arial"/>
          <w:lang w:val="en-US"/>
        </w:rPr>
        <w:t xml:space="preserve"> </w:t>
      </w:r>
      <w:r w:rsidR="00B45961" w:rsidRPr="00DC7DD7">
        <w:rPr>
          <w:rFonts w:eastAsia="Arial" w:cs="Arial"/>
          <w:lang w:val="en-US"/>
        </w:rPr>
        <w:t>general reasons for the non</w:t>
      </w:r>
      <w:r w:rsidR="00B45961" w:rsidRPr="00DC7DD7">
        <w:rPr>
          <w:rFonts w:ascii="Cambria Math" w:eastAsia="Arial" w:hAnsi="Cambria Math" w:cs="Cambria Math"/>
          <w:lang w:val="en-US"/>
        </w:rPr>
        <w:t>‑</w:t>
      </w:r>
      <w:r w:rsidR="00B45961" w:rsidRPr="00DC7DD7">
        <w:rPr>
          <w:rFonts w:eastAsia="Arial" w:cs="Arial"/>
          <w:lang w:val="en-US"/>
        </w:rPr>
        <w:t xml:space="preserve">disclosure </w:t>
      </w:r>
      <w:r w:rsidR="008A20DF">
        <w:rPr>
          <w:rFonts w:eastAsia="Arial" w:cs="Arial"/>
          <w:lang w:val="en-US"/>
        </w:rPr>
        <w:t xml:space="preserve">which </w:t>
      </w:r>
      <w:r w:rsidR="008B50C8">
        <w:rPr>
          <w:rFonts w:eastAsia="Arial" w:cs="Arial"/>
          <w:lang w:val="en-US"/>
        </w:rPr>
        <w:t xml:space="preserve">may be </w:t>
      </w:r>
      <w:r w:rsidR="00B45961" w:rsidRPr="00DC7DD7">
        <w:rPr>
          <w:rFonts w:eastAsia="Arial" w:cs="Arial"/>
          <w:lang w:val="en-US"/>
        </w:rPr>
        <w:t xml:space="preserve">aligned </w:t>
      </w:r>
      <w:r w:rsidR="008B50C8">
        <w:rPr>
          <w:rFonts w:eastAsia="Arial" w:cs="Arial"/>
          <w:lang w:val="en-US"/>
        </w:rPr>
        <w:t>to</w:t>
      </w:r>
      <w:r w:rsidR="00B45961" w:rsidRPr="00DC7DD7">
        <w:rPr>
          <w:rFonts w:eastAsia="Arial" w:cs="Arial"/>
          <w:lang w:val="en-US"/>
        </w:rPr>
        <w:t xml:space="preserve"> section 45(2)(a)</w:t>
      </w:r>
      <w:r w:rsidR="0042333B">
        <w:rPr>
          <w:rFonts w:eastAsia="Arial" w:cs="Arial"/>
          <w:lang w:val="en-US"/>
        </w:rPr>
        <w:t xml:space="preserve"> of the Act on</w:t>
      </w:r>
      <w:r w:rsidR="00B45961" w:rsidRPr="00DC7DD7">
        <w:rPr>
          <w:rFonts w:eastAsia="Arial" w:cs="Arial"/>
          <w:lang w:val="en-US"/>
        </w:rPr>
        <w:t xml:space="preserve"> grounds such as competitive harm, confidentiality obligations or prudential sensitivity.</w:t>
      </w:r>
    </w:p>
    <w:p w14:paraId="25740380" w14:textId="77777777" w:rsidR="00E5725D" w:rsidRPr="00E5725D" w:rsidRDefault="00E5725D" w:rsidP="00BD6DCF">
      <w:pPr>
        <w:pStyle w:val="ListParagraph"/>
        <w:ind w:left="709"/>
        <w:jc w:val="both"/>
        <w:rPr>
          <w:rFonts w:eastAsia="Arial" w:cs="Arial"/>
          <w:szCs w:val="24"/>
          <w:lang w:val="en-US"/>
        </w:rPr>
      </w:pPr>
    </w:p>
    <w:p w14:paraId="5076D235" w14:textId="1966242F" w:rsidR="0039097D" w:rsidRPr="00E5725D" w:rsidRDefault="00EE08CF" w:rsidP="00BD6DCF">
      <w:pPr>
        <w:pStyle w:val="ListParagraph"/>
        <w:numPr>
          <w:ilvl w:val="1"/>
          <w:numId w:val="5"/>
        </w:numPr>
        <w:ind w:left="709" w:hanging="851"/>
        <w:jc w:val="both"/>
        <w:rPr>
          <w:rFonts w:eastAsia="Arial" w:cs="Arial"/>
          <w:szCs w:val="24"/>
          <w:lang w:val="en-US"/>
        </w:rPr>
      </w:pPr>
      <w:r w:rsidRPr="00E5725D">
        <w:rPr>
          <w:rFonts w:eastAsia="Arial" w:cs="Arial"/>
          <w:lang w:val="en-US"/>
        </w:rPr>
        <w:t>T</w:t>
      </w:r>
      <w:r w:rsidR="002F7E66" w:rsidRPr="00E5725D">
        <w:rPr>
          <w:rFonts w:eastAsia="Arial" w:cs="Arial"/>
          <w:lang w:val="en-US"/>
        </w:rPr>
        <w:t xml:space="preserve">he insurer </w:t>
      </w:r>
      <w:r w:rsidR="00964A9B" w:rsidRPr="00E5725D">
        <w:rPr>
          <w:rFonts w:eastAsia="Arial" w:cs="Arial"/>
          <w:lang w:val="en-US"/>
        </w:rPr>
        <w:t xml:space="preserve">is required to </w:t>
      </w:r>
      <w:r w:rsidR="00721843" w:rsidRPr="00E5725D">
        <w:rPr>
          <w:rFonts w:eastAsia="Arial" w:cs="Arial"/>
          <w:lang w:val="en-US"/>
        </w:rPr>
        <w:t xml:space="preserve">notify the </w:t>
      </w:r>
      <w:r w:rsidR="00E37BC2" w:rsidRPr="00E5725D">
        <w:rPr>
          <w:rFonts w:eastAsia="Arial" w:cs="Arial"/>
          <w:lang w:val="en-US"/>
        </w:rPr>
        <w:t>Authority</w:t>
      </w:r>
      <w:r w:rsidR="003E1339" w:rsidRPr="00E5725D">
        <w:rPr>
          <w:rFonts w:eastAsia="Arial" w:cs="Arial"/>
          <w:lang w:val="en-US"/>
        </w:rPr>
        <w:t xml:space="preserve"> </w:t>
      </w:r>
      <w:r w:rsidR="00EB09CE" w:rsidRPr="00E5725D">
        <w:rPr>
          <w:rFonts w:eastAsia="Arial" w:cs="Arial"/>
          <w:lang w:val="en-US"/>
        </w:rPr>
        <w:t>in writing</w:t>
      </w:r>
      <w:r w:rsidR="00BC4156" w:rsidRPr="00E5725D">
        <w:rPr>
          <w:rFonts w:eastAsia="Arial" w:cs="Arial"/>
          <w:lang w:val="en-US"/>
        </w:rPr>
        <w:t xml:space="preserve"> </w:t>
      </w:r>
      <w:r w:rsidR="00E168A7" w:rsidRPr="00E5725D">
        <w:rPr>
          <w:rFonts w:eastAsia="Arial" w:cs="Arial"/>
          <w:lang w:val="en-US"/>
        </w:rPr>
        <w:t>and</w:t>
      </w:r>
      <w:r w:rsidR="589F38A7" w:rsidRPr="00E5725D">
        <w:rPr>
          <w:rFonts w:eastAsia="Arial" w:cs="Arial"/>
          <w:lang w:val="en-US"/>
        </w:rPr>
        <w:t xml:space="preserve"> with</w:t>
      </w:r>
      <w:r w:rsidR="00E168A7" w:rsidRPr="00E5725D">
        <w:rPr>
          <w:rFonts w:eastAsia="Arial" w:cs="Arial"/>
          <w:lang w:val="en-US"/>
        </w:rPr>
        <w:t>out delay</w:t>
      </w:r>
      <w:r w:rsidR="000D05C9" w:rsidRPr="00E5725D">
        <w:rPr>
          <w:rFonts w:eastAsia="Arial" w:cs="Arial"/>
          <w:lang w:val="en-US"/>
        </w:rPr>
        <w:t xml:space="preserve"> </w:t>
      </w:r>
      <w:r w:rsidR="00E168A7" w:rsidRPr="00E5725D">
        <w:rPr>
          <w:rFonts w:eastAsia="Arial" w:cs="Arial"/>
          <w:lang w:val="en-US"/>
        </w:rPr>
        <w:t>of</w:t>
      </w:r>
      <w:r w:rsidR="000D05C9" w:rsidRPr="00E5725D">
        <w:rPr>
          <w:rFonts w:eastAsia="Arial" w:cs="Arial"/>
          <w:lang w:val="en-US"/>
        </w:rPr>
        <w:t xml:space="preserve"> changes </w:t>
      </w:r>
      <w:r w:rsidR="00647866" w:rsidRPr="00E5725D">
        <w:rPr>
          <w:rFonts w:eastAsia="Arial" w:cs="Arial"/>
          <w:lang w:val="en-US"/>
        </w:rPr>
        <w:t>to</w:t>
      </w:r>
      <w:r w:rsidR="002F0164" w:rsidRPr="00E5725D">
        <w:rPr>
          <w:rFonts w:eastAsia="Arial" w:cs="Arial"/>
          <w:lang w:val="en-US"/>
        </w:rPr>
        <w:t xml:space="preserve"> any</w:t>
      </w:r>
      <w:r w:rsidR="003443C4" w:rsidRPr="00E5725D">
        <w:rPr>
          <w:rFonts w:eastAsia="Arial" w:cs="Arial"/>
          <w:lang w:val="en-US"/>
        </w:rPr>
        <w:t xml:space="preserve"> of</w:t>
      </w:r>
      <w:r w:rsidR="00647866" w:rsidRPr="00E5725D">
        <w:rPr>
          <w:rFonts w:eastAsia="Arial" w:cs="Arial"/>
          <w:lang w:val="en-US"/>
        </w:rPr>
        <w:t xml:space="preserve"> the conditions</w:t>
      </w:r>
      <w:r w:rsidR="00295FFB" w:rsidRPr="00E5725D">
        <w:rPr>
          <w:rFonts w:eastAsia="Arial" w:cs="Arial"/>
          <w:lang w:val="en-US"/>
        </w:rPr>
        <w:t xml:space="preserve"> or reason</w:t>
      </w:r>
      <w:r w:rsidR="00DE7EF9" w:rsidRPr="00E5725D">
        <w:rPr>
          <w:rFonts w:eastAsia="Arial" w:cs="Arial"/>
          <w:lang w:val="en-US"/>
        </w:rPr>
        <w:t xml:space="preserve">s </w:t>
      </w:r>
      <w:r w:rsidR="00E168A7" w:rsidRPr="00E5725D">
        <w:rPr>
          <w:rFonts w:eastAsia="Arial" w:cs="Arial"/>
          <w:lang w:val="en-US"/>
        </w:rPr>
        <w:t xml:space="preserve">provided on the approval for the </w:t>
      </w:r>
      <w:r w:rsidR="379F8F40" w:rsidRPr="00E5725D">
        <w:rPr>
          <w:rFonts w:eastAsia="Arial" w:cs="Arial"/>
          <w:lang w:val="en-US"/>
        </w:rPr>
        <w:t>appli</w:t>
      </w:r>
      <w:r w:rsidR="00E168A7" w:rsidRPr="00E5725D">
        <w:rPr>
          <w:rFonts w:eastAsia="Arial" w:cs="Arial"/>
          <w:lang w:val="en-US"/>
        </w:rPr>
        <w:t xml:space="preserve">cation </w:t>
      </w:r>
      <w:r w:rsidR="00DE7EF9" w:rsidRPr="00E5725D">
        <w:rPr>
          <w:rFonts w:eastAsia="Arial" w:cs="Arial"/>
          <w:lang w:val="en-US"/>
        </w:rPr>
        <w:t>for non</w:t>
      </w:r>
      <w:r w:rsidR="00FE54F9" w:rsidRPr="00E5725D">
        <w:rPr>
          <w:rFonts w:eastAsia="Arial" w:cs="Arial"/>
          <w:lang w:val="en-US"/>
        </w:rPr>
        <w:t>-</w:t>
      </w:r>
      <w:r w:rsidR="00DE7EF9" w:rsidRPr="00E5725D">
        <w:rPr>
          <w:rFonts w:eastAsia="Arial" w:cs="Arial"/>
          <w:lang w:val="en-US"/>
        </w:rPr>
        <w:t>disclosure</w:t>
      </w:r>
      <w:r w:rsidR="00E168A7" w:rsidRPr="00E5725D">
        <w:rPr>
          <w:rFonts w:eastAsia="Arial" w:cs="Arial"/>
          <w:lang w:val="en-US"/>
        </w:rPr>
        <w:t>.</w:t>
      </w:r>
    </w:p>
    <w:p w14:paraId="796B0BB9" w14:textId="77777777" w:rsidR="0039097D" w:rsidRPr="0039097D" w:rsidRDefault="0039097D" w:rsidP="00BE7920">
      <w:pPr>
        <w:pStyle w:val="ListParagraph"/>
        <w:rPr>
          <w:rFonts w:eastAsia="Arial" w:cs="Arial"/>
          <w:lang w:val="en-US"/>
        </w:rPr>
      </w:pPr>
    </w:p>
    <w:p w14:paraId="18F0AC9E" w14:textId="5C69EA60" w:rsidR="0039097D" w:rsidRDefault="00BF3213" w:rsidP="00BD6DCF">
      <w:pPr>
        <w:pStyle w:val="ListParagraph"/>
        <w:numPr>
          <w:ilvl w:val="1"/>
          <w:numId w:val="5"/>
        </w:numPr>
        <w:ind w:left="709" w:hanging="851"/>
        <w:jc w:val="both"/>
        <w:rPr>
          <w:rFonts w:eastAsia="Arial" w:cs="Arial"/>
          <w:lang w:val="en-US"/>
        </w:rPr>
      </w:pPr>
      <w:r w:rsidRPr="00BF3213">
        <w:rPr>
          <w:rFonts w:eastAsia="Arial" w:cs="Arial"/>
          <w:lang w:val="en-US"/>
        </w:rPr>
        <w:t>Insurers are encouraged to assess the relevance of climate</w:t>
      </w:r>
      <w:r w:rsidRPr="00BF3213">
        <w:rPr>
          <w:rFonts w:ascii="Cambria Math" w:eastAsia="Arial" w:hAnsi="Cambria Math" w:cs="Cambria Math"/>
          <w:lang w:val="en-US"/>
        </w:rPr>
        <w:t>‑</w:t>
      </w:r>
      <w:r w:rsidRPr="00BF3213">
        <w:rPr>
          <w:rFonts w:eastAsia="Arial" w:cs="Arial"/>
          <w:lang w:val="en-US"/>
        </w:rPr>
        <w:t>related risks to their business activities, financial condition, performance and overall risk profile and, where appropriate, to reflect such matters in their public disclosures. In forming their approach, insurers may consider any guidance or communications issued by the Authority in relation to climate</w:t>
      </w:r>
      <w:r w:rsidRPr="00BF3213">
        <w:rPr>
          <w:rFonts w:ascii="Cambria Math" w:eastAsia="Arial" w:hAnsi="Cambria Math" w:cs="Cambria Math"/>
          <w:lang w:val="en-US"/>
        </w:rPr>
        <w:t>‑</w:t>
      </w:r>
      <w:r w:rsidRPr="00BF3213">
        <w:rPr>
          <w:rFonts w:eastAsia="Arial" w:cs="Arial"/>
          <w:lang w:val="en-US"/>
        </w:rPr>
        <w:t>related risk management and disclosure practices. Providing this information, to the extent considered relevant, can assist stakeholders in understanding how material climate</w:t>
      </w:r>
      <w:r w:rsidRPr="00BF3213">
        <w:rPr>
          <w:rFonts w:ascii="Cambria Math" w:eastAsia="Arial" w:hAnsi="Cambria Math" w:cs="Cambria Math"/>
          <w:lang w:val="en-US"/>
        </w:rPr>
        <w:t>‑</w:t>
      </w:r>
      <w:r w:rsidRPr="00BF3213">
        <w:rPr>
          <w:rFonts w:eastAsia="Arial" w:cs="Arial"/>
          <w:lang w:val="en-US"/>
        </w:rPr>
        <w:t xml:space="preserve">related risks are identified and managed and, where applicable, how such risks could influence an insurer’s operations and </w:t>
      </w:r>
      <w:r w:rsidRPr="003E3456">
        <w:rPr>
          <w:rFonts w:eastAsia="Arial" w:cs="Arial"/>
          <w:lang w:val="en-US"/>
        </w:rPr>
        <w:t xml:space="preserve">financial </w:t>
      </w:r>
      <w:r w:rsidR="00A308BC">
        <w:rPr>
          <w:rFonts w:eastAsia="Arial" w:cs="Arial"/>
          <w:lang w:val="en-US"/>
        </w:rPr>
        <w:t>soundnes</w:t>
      </w:r>
      <w:r w:rsidR="00BF007B">
        <w:rPr>
          <w:rFonts w:eastAsia="Arial" w:cs="Arial"/>
          <w:lang w:val="en-US"/>
        </w:rPr>
        <w:t>s</w:t>
      </w:r>
      <w:r w:rsidRPr="00BF3213">
        <w:rPr>
          <w:rFonts w:eastAsia="Arial" w:cs="Arial"/>
          <w:lang w:val="en-US"/>
        </w:rPr>
        <w:t>.</w:t>
      </w:r>
    </w:p>
    <w:p w14:paraId="13006E9D" w14:textId="77777777" w:rsidR="00BE7920" w:rsidRPr="00BE7920" w:rsidRDefault="00BE7920" w:rsidP="00BE7920">
      <w:pPr>
        <w:pStyle w:val="ListParagraph"/>
        <w:rPr>
          <w:rFonts w:eastAsia="Arial" w:cs="Arial"/>
          <w:lang w:val="en-US"/>
        </w:rPr>
      </w:pPr>
    </w:p>
    <w:p w14:paraId="061F7B8D" w14:textId="688D7529" w:rsidR="00551EBD" w:rsidRPr="007A3F28" w:rsidRDefault="00F22DE9" w:rsidP="00F22DE9">
      <w:pPr>
        <w:pStyle w:val="ListParagraph"/>
        <w:numPr>
          <w:ilvl w:val="1"/>
          <w:numId w:val="5"/>
        </w:numPr>
        <w:ind w:left="709" w:hanging="851"/>
        <w:jc w:val="both"/>
        <w:rPr>
          <w:rFonts w:eastAsia="Arial" w:cs="Arial"/>
          <w:lang w:val="en-US"/>
        </w:rPr>
      </w:pPr>
      <w:r w:rsidRPr="007A3F28">
        <w:rPr>
          <w:rFonts w:eastAsia="Arial" w:cs="Arial"/>
          <w:lang w:val="en-US"/>
        </w:rPr>
        <w:t>Some of</w:t>
      </w:r>
      <w:r w:rsidR="00137217" w:rsidRPr="007A3F28">
        <w:rPr>
          <w:rFonts w:eastAsia="Arial" w:cs="Arial"/>
          <w:lang w:val="en-US"/>
        </w:rPr>
        <w:t xml:space="preserve"> </w:t>
      </w:r>
      <w:r w:rsidR="00E029C5" w:rsidRPr="007A3F28">
        <w:rPr>
          <w:rFonts w:eastAsia="Arial" w:cs="Arial"/>
          <w:lang w:val="en-US"/>
        </w:rPr>
        <w:t xml:space="preserve">the requirements in </w:t>
      </w:r>
      <w:r w:rsidR="00137217" w:rsidRPr="007A3F28">
        <w:rPr>
          <w:rFonts w:eastAsia="Arial" w:cs="Arial"/>
          <w:lang w:val="en-US"/>
        </w:rPr>
        <w:t xml:space="preserve">paragraph </w:t>
      </w:r>
      <w:r w:rsidR="00A05404">
        <w:rPr>
          <w:rFonts w:eastAsia="Arial" w:cs="Arial"/>
          <w:lang w:val="en-US"/>
        </w:rPr>
        <w:t>7</w:t>
      </w:r>
      <w:r w:rsidR="00137217" w:rsidRPr="007A3F28">
        <w:rPr>
          <w:rFonts w:eastAsia="Arial" w:cs="Arial"/>
          <w:lang w:val="en-US"/>
        </w:rPr>
        <w:t xml:space="preserve"> of the </w:t>
      </w:r>
      <w:r w:rsidR="003E1339" w:rsidRPr="007A3F28">
        <w:rPr>
          <w:rFonts w:eastAsia="Arial" w:cs="Arial"/>
          <w:lang w:val="en-US"/>
        </w:rPr>
        <w:t xml:space="preserve">Prudential </w:t>
      </w:r>
      <w:r w:rsidR="00137217" w:rsidRPr="007A3F28">
        <w:rPr>
          <w:rFonts w:eastAsia="Arial" w:cs="Arial"/>
          <w:lang w:val="en-US"/>
        </w:rPr>
        <w:t>Standard</w:t>
      </w:r>
      <w:r w:rsidRPr="007A3F28">
        <w:rPr>
          <w:rFonts w:eastAsia="Arial" w:cs="Arial"/>
          <w:lang w:val="en-US"/>
        </w:rPr>
        <w:t xml:space="preserve"> may</w:t>
      </w:r>
      <w:r w:rsidR="00E029C5" w:rsidRPr="007A3F28">
        <w:rPr>
          <w:rFonts w:eastAsia="Arial" w:cs="Arial"/>
          <w:lang w:val="en-US"/>
        </w:rPr>
        <w:t xml:space="preserve"> </w:t>
      </w:r>
      <w:r w:rsidRPr="007A3F28">
        <w:rPr>
          <w:rFonts w:eastAsia="Arial" w:cs="Arial"/>
          <w:lang w:val="en-US"/>
        </w:rPr>
        <w:t xml:space="preserve">be extracted from </w:t>
      </w:r>
      <w:r w:rsidR="00137217" w:rsidRPr="007A3F28">
        <w:rPr>
          <w:rFonts w:eastAsia="Arial" w:cs="Arial"/>
          <w:lang w:val="en-US"/>
        </w:rPr>
        <w:t>the QRTs and QRRs</w:t>
      </w:r>
      <w:r w:rsidRPr="007A3F28">
        <w:rPr>
          <w:rFonts w:eastAsia="Arial" w:cs="Arial"/>
          <w:lang w:val="en-US"/>
        </w:rPr>
        <w:t xml:space="preserve"> as illustrated in the table below:</w:t>
      </w:r>
    </w:p>
    <w:p w14:paraId="70CCA3B3" w14:textId="792955C7" w:rsidR="002736E6" w:rsidRPr="00BB7A0C" w:rsidRDefault="002736E6" w:rsidP="00BB7A0C">
      <w:pPr>
        <w:jc w:val="both"/>
        <w:rPr>
          <w:rFonts w:eastAsia="Arial" w:cs="Arial"/>
          <w:szCs w:val="24"/>
          <w:lang w:val="en-US"/>
        </w:rPr>
      </w:pPr>
    </w:p>
    <w:tbl>
      <w:tblPr>
        <w:tblW w:w="9350" w:type="dxa"/>
        <w:jc w:val="center"/>
        <w:tblLayout w:type="fixed"/>
        <w:tblCellMar>
          <w:left w:w="0" w:type="dxa"/>
          <w:right w:w="0" w:type="dxa"/>
        </w:tblCellMar>
        <w:tblLook w:val="01E0" w:firstRow="1" w:lastRow="1" w:firstColumn="1" w:lastColumn="1" w:noHBand="0" w:noVBand="0"/>
      </w:tblPr>
      <w:tblGrid>
        <w:gridCol w:w="1276"/>
        <w:gridCol w:w="2976"/>
        <w:gridCol w:w="1134"/>
        <w:gridCol w:w="993"/>
        <w:gridCol w:w="2971"/>
      </w:tblGrid>
      <w:tr w:rsidR="00667A97" w:rsidRPr="00AD42B2" w14:paraId="5E32EE66" w14:textId="77777777" w:rsidTr="007A3F28">
        <w:trPr>
          <w:trHeight w:hRule="exact" w:val="562"/>
          <w:tblHeader/>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71A544E7" w14:textId="77777777" w:rsidR="002736E6" w:rsidRPr="007E1F7B" w:rsidRDefault="002736E6" w:rsidP="007D7777">
            <w:pPr>
              <w:spacing w:before="60" w:after="60"/>
              <w:ind w:left="709" w:hanging="567"/>
              <w:jc w:val="both"/>
              <w:rPr>
                <w:rFonts w:cs="Arial"/>
                <w:bCs/>
                <w:sz w:val="20"/>
                <w:lang w:val="en-US"/>
              </w:rPr>
            </w:pPr>
            <w:r w:rsidRPr="007E1F7B">
              <w:rPr>
                <w:rFonts w:cs="Arial"/>
                <w:b/>
                <w:bCs/>
                <w:sz w:val="20"/>
                <w:lang w:val="en-US"/>
              </w:rPr>
              <w:t>Reference</w:t>
            </w:r>
          </w:p>
        </w:tc>
        <w:tc>
          <w:tcPr>
            <w:tcW w:w="2976" w:type="dxa"/>
            <w:vMerge w:val="restart"/>
            <w:tcBorders>
              <w:top w:val="single" w:sz="5" w:space="0" w:color="000000" w:themeColor="text1"/>
              <w:left w:val="single" w:sz="5" w:space="0" w:color="000000" w:themeColor="text1"/>
              <w:right w:val="single" w:sz="5" w:space="0" w:color="000000" w:themeColor="text1"/>
            </w:tcBorders>
            <w:shd w:val="clear" w:color="auto" w:fill="DADADA"/>
          </w:tcPr>
          <w:p w14:paraId="6C514109" w14:textId="77777777" w:rsidR="002736E6" w:rsidRPr="007E1F7B" w:rsidRDefault="002736E6" w:rsidP="007D7777">
            <w:pPr>
              <w:spacing w:before="60" w:after="60"/>
              <w:ind w:left="137" w:right="141"/>
              <w:rPr>
                <w:rFonts w:cs="Arial"/>
                <w:b/>
                <w:bCs/>
                <w:sz w:val="20"/>
                <w:lang w:val="en-US"/>
              </w:rPr>
            </w:pPr>
          </w:p>
          <w:p w14:paraId="0438DE80" w14:textId="77777777" w:rsidR="002736E6" w:rsidRPr="007E1F7B" w:rsidRDefault="002736E6" w:rsidP="007D7777">
            <w:pPr>
              <w:spacing w:before="60" w:after="60"/>
              <w:ind w:left="137" w:right="141"/>
              <w:rPr>
                <w:rFonts w:cs="Arial"/>
                <w:b/>
                <w:bCs/>
                <w:sz w:val="20"/>
                <w:lang w:val="en-US"/>
              </w:rPr>
            </w:pPr>
          </w:p>
          <w:p w14:paraId="14BC7B17" w14:textId="77777777" w:rsidR="002736E6" w:rsidRPr="007E1F7B" w:rsidRDefault="002736E6" w:rsidP="007D7777">
            <w:pPr>
              <w:spacing w:before="60" w:after="60"/>
              <w:ind w:left="137" w:right="141"/>
              <w:rPr>
                <w:rFonts w:cs="Arial"/>
                <w:bCs/>
                <w:sz w:val="20"/>
                <w:lang w:val="en-US"/>
              </w:rPr>
            </w:pPr>
            <w:r w:rsidRPr="007E1F7B">
              <w:rPr>
                <w:rFonts w:cs="Arial"/>
                <w:b/>
                <w:bCs/>
                <w:sz w:val="20"/>
                <w:lang w:val="en-US"/>
              </w:rPr>
              <w:t>Description</w:t>
            </w:r>
          </w:p>
        </w:tc>
        <w:tc>
          <w:tcPr>
            <w:tcW w:w="212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1DCAE9BD" w14:textId="77777777" w:rsidR="002736E6" w:rsidRPr="007E1F7B" w:rsidRDefault="002736E6" w:rsidP="007D7777">
            <w:pPr>
              <w:spacing w:before="60" w:after="60"/>
              <w:ind w:left="709" w:hanging="566"/>
              <w:jc w:val="both"/>
              <w:rPr>
                <w:rFonts w:cs="Arial"/>
                <w:bCs/>
                <w:sz w:val="20"/>
                <w:lang w:val="en-US"/>
              </w:rPr>
            </w:pPr>
            <w:r w:rsidRPr="007E1F7B">
              <w:rPr>
                <w:rFonts w:cs="Arial"/>
                <w:b/>
                <w:bCs/>
                <w:sz w:val="20"/>
                <w:lang w:val="en-US"/>
              </w:rPr>
              <w:t>Statement</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0C75BCF9" w14:textId="77777777" w:rsidR="002736E6" w:rsidRPr="007E1F7B" w:rsidRDefault="002736E6" w:rsidP="007D7777">
            <w:pPr>
              <w:spacing w:before="60" w:after="60"/>
              <w:ind w:left="709" w:hanging="709"/>
              <w:jc w:val="both"/>
              <w:rPr>
                <w:rFonts w:cs="Arial"/>
                <w:bCs/>
                <w:sz w:val="20"/>
                <w:lang w:val="en-US"/>
              </w:rPr>
            </w:pPr>
            <w:r w:rsidRPr="007E1F7B">
              <w:rPr>
                <w:rFonts w:cs="Arial"/>
                <w:b/>
                <w:bCs/>
                <w:sz w:val="20"/>
                <w:lang w:val="en-US"/>
              </w:rPr>
              <w:t>Category</w:t>
            </w:r>
          </w:p>
        </w:tc>
      </w:tr>
      <w:tr w:rsidR="00667A97" w:rsidRPr="00AD42B2" w14:paraId="48B96898" w14:textId="77777777" w:rsidTr="007A3F28">
        <w:trPr>
          <w:trHeight w:hRule="exact" w:val="838"/>
          <w:tblHeader/>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61243455" w14:textId="77777777" w:rsidR="002736E6" w:rsidRPr="007E1F7B" w:rsidRDefault="002736E6" w:rsidP="007D7777">
            <w:pPr>
              <w:spacing w:before="60" w:after="60"/>
              <w:ind w:left="709" w:hanging="567"/>
              <w:jc w:val="both"/>
              <w:rPr>
                <w:rFonts w:cs="Arial"/>
                <w:bCs/>
                <w:sz w:val="20"/>
                <w:lang w:val="en-US"/>
              </w:rPr>
            </w:pPr>
            <w:r w:rsidRPr="007E1F7B">
              <w:rPr>
                <w:rFonts w:cs="Arial"/>
                <w:b/>
                <w:bCs/>
                <w:sz w:val="20"/>
                <w:lang w:val="en-US"/>
              </w:rPr>
              <w:t>PDI</w:t>
            </w:r>
          </w:p>
          <w:p w14:paraId="44F87B8B" w14:textId="6C1C114F" w:rsidR="002736E6" w:rsidRPr="007E1F7B" w:rsidRDefault="002736E6" w:rsidP="007D7777">
            <w:pPr>
              <w:spacing w:before="60" w:after="60"/>
              <w:ind w:left="709" w:hanging="567"/>
              <w:jc w:val="both"/>
              <w:rPr>
                <w:rFonts w:cs="Arial"/>
                <w:bCs/>
                <w:sz w:val="20"/>
                <w:lang w:val="en-US"/>
              </w:rPr>
            </w:pPr>
            <w:r w:rsidRPr="007E1F7B">
              <w:rPr>
                <w:rFonts w:cs="Arial"/>
                <w:b/>
                <w:bCs/>
                <w:sz w:val="20"/>
                <w:lang w:val="en-US"/>
              </w:rPr>
              <w:t>Standard</w:t>
            </w:r>
          </w:p>
        </w:tc>
        <w:tc>
          <w:tcPr>
            <w:tcW w:w="2976" w:type="dxa"/>
            <w:vMerge/>
          </w:tcPr>
          <w:p w14:paraId="0BA85519" w14:textId="77777777" w:rsidR="002736E6" w:rsidRPr="007E1F7B" w:rsidRDefault="002736E6" w:rsidP="007D7777">
            <w:pPr>
              <w:spacing w:before="60" w:after="60"/>
              <w:ind w:left="137" w:right="141"/>
              <w:rPr>
                <w:rFonts w:cs="Arial"/>
                <w:bCs/>
                <w:sz w:val="20"/>
                <w:lang w:val="en-US"/>
              </w:rPr>
            </w:pP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53D54C24" w14:textId="77777777" w:rsidR="002736E6" w:rsidRPr="007E1F7B" w:rsidRDefault="002736E6" w:rsidP="007D7777">
            <w:pPr>
              <w:spacing w:before="60" w:after="60"/>
              <w:ind w:left="709" w:hanging="566"/>
              <w:jc w:val="both"/>
              <w:rPr>
                <w:rFonts w:cs="Arial"/>
                <w:bCs/>
                <w:sz w:val="20"/>
                <w:lang w:val="en-US"/>
              </w:rPr>
            </w:pPr>
            <w:r w:rsidRPr="007E1F7B">
              <w:rPr>
                <w:rFonts w:cs="Arial"/>
                <w:b/>
                <w:bCs/>
                <w:sz w:val="20"/>
                <w:lang w:val="en-US"/>
              </w:rPr>
              <w:t>QRT</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38D6D36D" w14:textId="77777777" w:rsidR="002736E6" w:rsidRPr="007E1F7B" w:rsidRDefault="002736E6" w:rsidP="007D7777">
            <w:pPr>
              <w:spacing w:before="60" w:after="60"/>
              <w:ind w:left="709" w:hanging="566"/>
              <w:jc w:val="both"/>
              <w:rPr>
                <w:rFonts w:cs="Arial"/>
                <w:bCs/>
                <w:sz w:val="20"/>
                <w:lang w:val="en-US"/>
              </w:rPr>
            </w:pPr>
            <w:r w:rsidRPr="007E1F7B">
              <w:rPr>
                <w:rFonts w:cs="Arial"/>
                <w:b/>
                <w:bCs/>
                <w:sz w:val="20"/>
                <w:lang w:val="en-US"/>
              </w:rPr>
              <w:t>QRR</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2479C7FA" w14:textId="6D499895" w:rsidR="002736E6" w:rsidRPr="007E1F7B" w:rsidRDefault="002736E6" w:rsidP="007D7777">
            <w:pPr>
              <w:spacing w:before="60" w:after="60"/>
              <w:ind w:left="709" w:hanging="709"/>
              <w:jc w:val="both"/>
              <w:rPr>
                <w:rFonts w:cs="Arial"/>
                <w:bCs/>
                <w:sz w:val="20"/>
                <w:lang w:val="en-US"/>
              </w:rPr>
            </w:pPr>
            <w:r w:rsidRPr="007E1F7B">
              <w:rPr>
                <w:rFonts w:cs="Arial"/>
                <w:b/>
                <w:bCs/>
                <w:sz w:val="20"/>
                <w:lang w:val="en-US"/>
              </w:rPr>
              <w:t xml:space="preserve">B, LI, NL </w:t>
            </w:r>
            <w:r w:rsidR="00A53DD9">
              <w:rPr>
                <w:rStyle w:val="FootnoteReference"/>
                <w:rFonts w:cs="Arial"/>
                <w:b/>
                <w:bCs/>
                <w:sz w:val="20"/>
                <w:lang w:val="en-US"/>
              </w:rPr>
              <w:footnoteReference w:id="2"/>
            </w:r>
          </w:p>
        </w:tc>
      </w:tr>
      <w:tr w:rsidR="00203D74" w:rsidRPr="00AD42B2" w14:paraId="675DAD11" w14:textId="77777777" w:rsidTr="007A3F28">
        <w:trPr>
          <w:trHeight w:hRule="exact" w:val="643"/>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7748C5E9" w14:textId="61F79A0F" w:rsidR="002736E6" w:rsidRPr="007E1F7B" w:rsidRDefault="00604D4A" w:rsidP="007D7777">
            <w:pPr>
              <w:spacing w:before="60" w:after="60"/>
              <w:ind w:left="709" w:hanging="567"/>
              <w:jc w:val="both"/>
              <w:rPr>
                <w:rFonts w:cs="Arial"/>
                <w:bCs/>
                <w:sz w:val="20"/>
                <w:lang w:val="en-US"/>
              </w:rPr>
            </w:pPr>
            <w:r>
              <w:rPr>
                <w:rFonts w:cs="Arial"/>
                <w:b/>
                <w:bCs/>
                <w:sz w:val="20"/>
                <w:lang w:val="en-US"/>
              </w:rPr>
              <w:t>7</w:t>
            </w:r>
            <w:r w:rsidR="00F22DE9">
              <w:rPr>
                <w:rFonts w:cs="Arial"/>
                <w:b/>
                <w:bCs/>
                <w:sz w:val="20"/>
                <w:lang w:val="en-US"/>
              </w:rPr>
              <w:t>.2.1</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3DDD74A7" w14:textId="77777777" w:rsidR="002736E6" w:rsidRPr="007E1F7B" w:rsidRDefault="002736E6" w:rsidP="007D7777">
            <w:pPr>
              <w:spacing w:before="60" w:after="60"/>
              <w:ind w:left="137" w:right="141"/>
              <w:rPr>
                <w:rFonts w:cs="Arial"/>
                <w:bCs/>
                <w:sz w:val="20"/>
                <w:lang w:val="en-US"/>
              </w:rPr>
            </w:pPr>
            <w:r w:rsidRPr="007E1F7B">
              <w:rPr>
                <w:rFonts w:cs="Arial"/>
                <w:b/>
                <w:bCs/>
                <w:sz w:val="20"/>
                <w:lang w:val="en-US"/>
              </w:rPr>
              <w:t>Company profile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73D111FE" w14:textId="77777777" w:rsidR="002736E6" w:rsidRPr="007E1F7B" w:rsidRDefault="002736E6"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36AC299F" w14:textId="77777777" w:rsidR="002736E6" w:rsidRPr="007E1F7B" w:rsidRDefault="002736E6"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05C5856B" w14:textId="77777777" w:rsidR="002736E6" w:rsidRPr="007E1F7B" w:rsidRDefault="002736E6" w:rsidP="007D7777">
            <w:pPr>
              <w:spacing w:before="60" w:after="60"/>
              <w:ind w:left="709" w:hanging="709"/>
              <w:jc w:val="both"/>
              <w:rPr>
                <w:rFonts w:cs="Arial"/>
                <w:b/>
                <w:sz w:val="20"/>
                <w:lang w:val="en-US"/>
              </w:rPr>
            </w:pPr>
            <w:r w:rsidRPr="007E1F7B">
              <w:rPr>
                <w:rFonts w:cs="Arial"/>
                <w:b/>
                <w:sz w:val="20"/>
                <w:lang w:val="en-US"/>
              </w:rPr>
              <w:t>B</w:t>
            </w:r>
          </w:p>
        </w:tc>
      </w:tr>
      <w:tr w:rsidR="00203D74" w:rsidRPr="00AD42B2" w14:paraId="0E05EF8C" w14:textId="77777777" w:rsidTr="007A3F28">
        <w:trPr>
          <w:trHeight w:hRule="exact" w:val="1146"/>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AD8D08" w14:textId="52B3225C" w:rsidR="002736E6" w:rsidRPr="00604D4A" w:rsidRDefault="002736E6" w:rsidP="00604D4A">
            <w:pPr>
              <w:pStyle w:val="ListParagraph"/>
              <w:numPr>
                <w:ilvl w:val="0"/>
                <w:numId w:val="39"/>
              </w:numPr>
              <w:spacing w:before="60" w:after="60"/>
              <w:jc w:val="both"/>
              <w:rPr>
                <w:rFonts w:cs="Arial"/>
                <w:bCs/>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0844ED" w14:textId="538A6242" w:rsidR="002736E6" w:rsidRPr="006C7607" w:rsidRDefault="00B570DE" w:rsidP="006E3D85">
            <w:pPr>
              <w:spacing w:before="60" w:after="60"/>
              <w:ind w:left="137" w:right="141"/>
              <w:rPr>
                <w:rFonts w:cs="Arial"/>
                <w:bCs/>
                <w:sz w:val="20"/>
                <w:lang w:val="en-US"/>
              </w:rPr>
            </w:pPr>
            <w:r>
              <w:rPr>
                <w:rFonts w:cs="Arial"/>
                <w:bCs/>
                <w:sz w:val="20"/>
                <w:lang w:val="en-US"/>
              </w:rPr>
              <w:t>N</w:t>
            </w:r>
            <w:r w:rsidR="002736E6" w:rsidRPr="006C7607">
              <w:rPr>
                <w:rFonts w:cs="Arial"/>
                <w:bCs/>
                <w:sz w:val="20"/>
                <w:lang w:val="en-US"/>
              </w:rPr>
              <w:t xml:space="preserve">ature of </w:t>
            </w:r>
            <w:r w:rsidR="000871FE">
              <w:rPr>
                <w:rFonts w:cs="Arial"/>
                <w:bCs/>
                <w:sz w:val="20"/>
                <w:lang w:val="en-US"/>
              </w:rPr>
              <w:t xml:space="preserve">insurance </w:t>
            </w:r>
            <w:r w:rsidR="00F93BCB" w:rsidRPr="006C7607">
              <w:rPr>
                <w:rFonts w:cs="Arial"/>
                <w:bCs/>
                <w:sz w:val="20"/>
                <w:lang w:val="en-US"/>
              </w:rPr>
              <w:t>business</w:t>
            </w:r>
            <w:r w:rsidR="00F93BCB">
              <w:rPr>
                <w:rFonts w:cs="Arial"/>
                <w:bCs/>
                <w:sz w:val="20"/>
                <w:lang w:val="en-US"/>
              </w:rPr>
              <w:t xml:space="preserve"> </w:t>
            </w:r>
            <w:r w:rsidR="000871FE">
              <w:rPr>
                <w:rFonts w:cs="Arial"/>
                <w:bCs/>
                <w:sz w:val="20"/>
                <w:lang w:val="en-US"/>
              </w:rPr>
              <w:t xml:space="preserve">and </w:t>
            </w:r>
            <w:r w:rsidR="008671DA">
              <w:rPr>
                <w:rFonts w:cs="Arial"/>
                <w:bCs/>
                <w:sz w:val="20"/>
                <w:lang w:val="en-US"/>
              </w:rPr>
              <w:t>non-insurance</w:t>
            </w:r>
            <w:r w:rsidR="009461C4">
              <w:rPr>
                <w:rFonts w:cs="Arial"/>
                <w:bCs/>
                <w:sz w:val="20"/>
                <w:lang w:val="en-US"/>
              </w:rPr>
              <w:t xml:space="preserve"> business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48E37B" w14:textId="77777777" w:rsidR="002736E6" w:rsidRPr="006C7607" w:rsidRDefault="002736E6"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4BC60B" w14:textId="77777777" w:rsidR="002736E6" w:rsidRPr="006C7607" w:rsidRDefault="002736E6" w:rsidP="007D7777">
            <w:pPr>
              <w:spacing w:before="60" w:after="60"/>
              <w:ind w:left="709" w:hanging="566"/>
              <w:jc w:val="both"/>
              <w:rPr>
                <w:rFonts w:cs="Arial"/>
                <w:bCs/>
                <w:sz w:val="20"/>
                <w:lang w:val="en-US"/>
              </w:rPr>
            </w:pPr>
            <w:r w:rsidRPr="006C7607">
              <w:rPr>
                <w:rFonts w:cs="Arial"/>
                <w:bCs/>
                <w:sz w:val="20"/>
                <w:lang w:val="en-US"/>
              </w:rPr>
              <w:t>A1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F95E1B" w14:textId="77777777" w:rsidR="002736E6" w:rsidRPr="006C7607" w:rsidRDefault="002736E6" w:rsidP="007D7777">
            <w:pPr>
              <w:spacing w:before="60" w:after="60"/>
              <w:ind w:left="709" w:hanging="709"/>
              <w:jc w:val="both"/>
              <w:rPr>
                <w:rFonts w:cs="Arial"/>
                <w:bCs/>
                <w:sz w:val="20"/>
                <w:lang w:val="en-US"/>
              </w:rPr>
            </w:pPr>
          </w:p>
        </w:tc>
      </w:tr>
      <w:tr w:rsidR="00203D74" w:rsidRPr="00AD42B2" w14:paraId="5ED9478F" w14:textId="77777777" w:rsidTr="007A3F28">
        <w:trPr>
          <w:trHeight w:hRule="exact" w:val="415"/>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A9EADC" w14:textId="60C29DAE" w:rsidR="002736E6" w:rsidRPr="00604D4A" w:rsidRDefault="002736E6" w:rsidP="00604D4A">
            <w:pPr>
              <w:pStyle w:val="ListParagraph"/>
              <w:numPr>
                <w:ilvl w:val="0"/>
                <w:numId w:val="39"/>
              </w:numPr>
              <w:spacing w:before="60" w:after="60"/>
              <w:jc w:val="both"/>
              <w:rPr>
                <w:rFonts w:cs="Arial"/>
                <w:bCs/>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A3C633" w14:textId="5A60007A" w:rsidR="002736E6" w:rsidRPr="007E1F7B" w:rsidRDefault="00F93BCB" w:rsidP="006E3D85">
            <w:pPr>
              <w:spacing w:before="60" w:after="60"/>
              <w:ind w:left="137" w:right="141"/>
              <w:rPr>
                <w:rFonts w:cs="Arial"/>
                <w:bCs/>
                <w:sz w:val="20"/>
                <w:lang w:val="en-US"/>
              </w:rPr>
            </w:pPr>
            <w:r>
              <w:rPr>
                <w:rFonts w:cs="Arial"/>
                <w:bCs/>
                <w:sz w:val="20"/>
                <w:lang w:val="en-US"/>
              </w:rPr>
              <w:t>C</w:t>
            </w:r>
            <w:r w:rsidR="002736E6" w:rsidRPr="007E1F7B">
              <w:rPr>
                <w:rFonts w:cs="Arial"/>
                <w:bCs/>
                <w:sz w:val="20"/>
                <w:lang w:val="en-US"/>
              </w:rPr>
              <w:t>orporate structure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F768EB" w14:textId="77777777" w:rsidR="002736E6" w:rsidRPr="007E1F7B" w:rsidRDefault="002736E6"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80E9C6" w14:textId="2984436A" w:rsidR="002736E6" w:rsidRPr="007E1F7B" w:rsidRDefault="002736E6" w:rsidP="007D7777">
            <w:pPr>
              <w:spacing w:before="60" w:after="60"/>
              <w:ind w:left="709" w:hanging="566"/>
              <w:jc w:val="both"/>
              <w:rPr>
                <w:rFonts w:cs="Arial"/>
                <w:bCs/>
                <w:sz w:val="20"/>
                <w:lang w:val="en-US"/>
              </w:rPr>
            </w:pPr>
            <w:r w:rsidRPr="007E1F7B">
              <w:rPr>
                <w:rFonts w:cs="Arial"/>
                <w:bCs/>
                <w:sz w:val="20"/>
                <w:lang w:val="en-US"/>
              </w:rPr>
              <w:t>A3</w:t>
            </w:r>
            <w:r w:rsidR="004A2861">
              <w:rPr>
                <w:rFonts w:cs="Arial"/>
                <w:bCs/>
                <w:sz w:val="20"/>
                <w:lang w:val="en-US"/>
              </w:rPr>
              <w:t>.1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9501B6" w14:textId="77777777" w:rsidR="002736E6" w:rsidRPr="007E1F7B" w:rsidRDefault="002736E6" w:rsidP="007D7777">
            <w:pPr>
              <w:spacing w:before="60" w:after="60"/>
              <w:ind w:left="709" w:hanging="709"/>
              <w:jc w:val="both"/>
              <w:rPr>
                <w:rFonts w:cs="Arial"/>
                <w:bCs/>
                <w:sz w:val="20"/>
                <w:lang w:val="en-US"/>
              </w:rPr>
            </w:pPr>
          </w:p>
        </w:tc>
      </w:tr>
      <w:tr w:rsidR="00203D74" w:rsidRPr="00AD42B2" w14:paraId="1F1F1F85" w14:textId="77777777" w:rsidTr="007A3F28">
        <w:trPr>
          <w:trHeight w:hRule="exact" w:val="713"/>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91F91B" w14:textId="5E713A64" w:rsidR="002736E6" w:rsidRPr="00604D4A" w:rsidRDefault="002736E6" w:rsidP="00604D4A">
            <w:pPr>
              <w:pStyle w:val="ListParagraph"/>
              <w:numPr>
                <w:ilvl w:val="0"/>
                <w:numId w:val="39"/>
              </w:numPr>
              <w:spacing w:before="60" w:after="60"/>
              <w:jc w:val="both"/>
              <w:rPr>
                <w:rFonts w:cs="Arial"/>
                <w:bCs/>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0E7A58" w14:textId="77777777" w:rsidR="002736E6" w:rsidRPr="007E1F7B" w:rsidRDefault="002736E6" w:rsidP="006E3D85">
            <w:pPr>
              <w:spacing w:before="60" w:after="60"/>
              <w:ind w:left="137" w:right="141"/>
              <w:rPr>
                <w:rFonts w:cs="Arial"/>
                <w:bCs/>
                <w:sz w:val="20"/>
                <w:lang w:val="en-US"/>
              </w:rPr>
            </w:pPr>
            <w:r w:rsidRPr="007E1F7B">
              <w:rPr>
                <w:rFonts w:cs="Arial"/>
                <w:bCs/>
                <w:sz w:val="20"/>
                <w:lang w:val="en-US"/>
              </w:rPr>
              <w:t>The external environment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784D46" w14:textId="77777777" w:rsidR="002736E6" w:rsidRPr="007E1F7B" w:rsidRDefault="002736E6"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393EF5" w14:textId="77777777" w:rsidR="002736E6" w:rsidRPr="007E1F7B" w:rsidRDefault="002736E6" w:rsidP="007D7777">
            <w:pPr>
              <w:spacing w:before="60" w:after="60"/>
              <w:ind w:left="709" w:hanging="566"/>
              <w:jc w:val="both"/>
              <w:rPr>
                <w:rFonts w:cs="Arial"/>
                <w:bCs/>
                <w:sz w:val="20"/>
                <w:lang w:val="en-US"/>
              </w:rPr>
            </w:pPr>
            <w:r w:rsidRPr="007E1F7B">
              <w:rPr>
                <w:rFonts w:cs="Arial"/>
                <w:bCs/>
                <w:sz w:val="20"/>
                <w:lang w:val="en-US"/>
              </w:rPr>
              <w:t>B1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31369D" w14:textId="77777777" w:rsidR="002736E6" w:rsidRPr="007E1F7B" w:rsidRDefault="002736E6" w:rsidP="007D7777">
            <w:pPr>
              <w:spacing w:before="60" w:after="60"/>
              <w:ind w:left="709" w:hanging="709"/>
              <w:jc w:val="both"/>
              <w:rPr>
                <w:rFonts w:cs="Arial"/>
                <w:bCs/>
                <w:sz w:val="20"/>
                <w:lang w:val="en-US"/>
              </w:rPr>
            </w:pPr>
          </w:p>
        </w:tc>
      </w:tr>
      <w:tr w:rsidR="001C4461" w:rsidRPr="00AD42B2" w14:paraId="393F3C6B" w14:textId="77777777" w:rsidTr="007A3F28">
        <w:trPr>
          <w:trHeight w:hRule="exact" w:val="690"/>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3550506" w14:textId="3B276BED" w:rsidR="00866C7A" w:rsidRPr="007E1F7B" w:rsidRDefault="00604D4A" w:rsidP="007D7777">
            <w:pPr>
              <w:spacing w:before="60" w:after="60"/>
              <w:ind w:left="709" w:hanging="567"/>
              <w:jc w:val="both"/>
              <w:rPr>
                <w:rFonts w:cs="Arial"/>
                <w:bCs/>
                <w:sz w:val="20"/>
                <w:lang w:val="en-US"/>
              </w:rPr>
            </w:pPr>
            <w:r>
              <w:rPr>
                <w:b/>
                <w:spacing w:val="-1"/>
                <w:sz w:val="20"/>
              </w:rPr>
              <w:t>7</w:t>
            </w:r>
            <w:r w:rsidR="00F22DE9">
              <w:rPr>
                <w:b/>
                <w:spacing w:val="-1"/>
                <w:sz w:val="20"/>
              </w:rPr>
              <w:t>.2.2</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FAEB531" w14:textId="3144B651" w:rsidR="00866C7A" w:rsidRPr="007E1F7B" w:rsidRDefault="00F850CF" w:rsidP="00CB32E4">
            <w:pPr>
              <w:spacing w:before="60" w:after="60"/>
              <w:ind w:left="137" w:right="141"/>
              <w:rPr>
                <w:rFonts w:cs="Arial"/>
                <w:bCs/>
                <w:sz w:val="20"/>
                <w:lang w:val="en-US"/>
              </w:rPr>
            </w:pPr>
            <w:r>
              <w:rPr>
                <w:b/>
                <w:spacing w:val="-1"/>
                <w:sz w:val="20"/>
              </w:rPr>
              <w:t>G</w:t>
            </w:r>
            <w:r w:rsidR="00866C7A" w:rsidRPr="007E1F7B">
              <w:rPr>
                <w:b/>
                <w:spacing w:val="-1"/>
                <w:sz w:val="20"/>
              </w:rPr>
              <w:t>overnance</w:t>
            </w:r>
            <w:r w:rsidR="00866C7A" w:rsidRPr="007E1F7B">
              <w:rPr>
                <w:b/>
                <w:spacing w:val="28"/>
                <w:sz w:val="20"/>
              </w:rPr>
              <w:t xml:space="preserve"> </w:t>
            </w:r>
            <w:r w:rsidR="00866C7A" w:rsidRPr="007E1F7B">
              <w:rPr>
                <w:b/>
                <w:spacing w:val="-1"/>
                <w:sz w:val="20"/>
              </w:rPr>
              <w:t>framework</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0C69E827" w14:textId="77777777" w:rsidR="00866C7A" w:rsidRPr="007E1F7B" w:rsidRDefault="00866C7A"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55FBE15B" w14:textId="77777777" w:rsidR="00866C7A" w:rsidRPr="007E1F7B" w:rsidRDefault="00866C7A"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3B013AF2" w14:textId="3EFD13C4" w:rsidR="00866C7A" w:rsidRPr="007E1F7B" w:rsidRDefault="005C03B7" w:rsidP="007D7777">
            <w:pPr>
              <w:spacing w:before="60" w:after="60"/>
              <w:ind w:left="709" w:hanging="709"/>
              <w:jc w:val="both"/>
              <w:rPr>
                <w:rFonts w:cs="Arial"/>
                <w:b/>
                <w:sz w:val="20"/>
                <w:lang w:val="en-US"/>
              </w:rPr>
            </w:pPr>
            <w:r w:rsidRPr="007E1F7B">
              <w:rPr>
                <w:rFonts w:cs="Arial"/>
                <w:b/>
                <w:sz w:val="20"/>
                <w:lang w:val="en-US"/>
              </w:rPr>
              <w:t>B</w:t>
            </w:r>
          </w:p>
        </w:tc>
      </w:tr>
      <w:tr w:rsidR="00E37E58" w:rsidRPr="00AD42B2" w14:paraId="2D31661F" w14:textId="77777777" w:rsidTr="007A3F28">
        <w:trPr>
          <w:trHeight w:hRule="exact" w:val="1098"/>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E596B2" w14:textId="6D9F7C48" w:rsidR="00E37E58" w:rsidRPr="00FF187D" w:rsidRDefault="00E37E58" w:rsidP="00FF187D">
            <w:pPr>
              <w:pStyle w:val="ListParagraph"/>
              <w:numPr>
                <w:ilvl w:val="0"/>
                <w:numId w:val="40"/>
              </w:numPr>
              <w:spacing w:before="60" w:after="60"/>
              <w:jc w:val="both"/>
              <w:rPr>
                <w:rFonts w:cs="Arial"/>
                <w:bCs/>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D31909" w14:textId="7AEAC5BF" w:rsidR="00E37E58" w:rsidRPr="006C7607" w:rsidRDefault="001410BF" w:rsidP="006E3D85">
            <w:pPr>
              <w:spacing w:before="60" w:after="60"/>
              <w:ind w:left="137" w:right="141"/>
              <w:rPr>
                <w:rFonts w:cs="Arial"/>
                <w:bCs/>
                <w:sz w:val="20"/>
                <w:lang w:val="en-US"/>
              </w:rPr>
            </w:pPr>
            <w:r>
              <w:rPr>
                <w:sz w:val="20"/>
              </w:rPr>
              <w:t>Governance policies and control functions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74371A" w14:textId="77777777" w:rsidR="00E37E58" w:rsidRPr="006C7607" w:rsidRDefault="00E37E58"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72A933" w14:textId="67E7087F" w:rsidR="00E37E58" w:rsidRPr="002D62D4" w:rsidRDefault="004776F9" w:rsidP="002D62D4">
            <w:pPr>
              <w:spacing w:before="60" w:after="60"/>
              <w:ind w:left="709" w:hanging="566"/>
              <w:jc w:val="both"/>
              <w:rPr>
                <w:rFonts w:eastAsia="Calibri" w:hAnsi="Calibri"/>
                <w:sz w:val="20"/>
                <w:lang w:val="en-US"/>
              </w:rPr>
            </w:pPr>
            <w:r w:rsidRPr="006C7607">
              <w:rPr>
                <w:rFonts w:eastAsia="Calibri" w:hAnsi="Calibri"/>
                <w:spacing w:val="-1"/>
                <w:sz w:val="20"/>
                <w:lang w:val="en-US"/>
              </w:rPr>
              <w:t>C1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D1F1AD" w14:textId="77777777" w:rsidR="00E37E58" w:rsidRPr="006C7607" w:rsidRDefault="00E37E58" w:rsidP="007D7777">
            <w:pPr>
              <w:spacing w:before="60" w:after="60"/>
              <w:ind w:left="709" w:hanging="709"/>
              <w:jc w:val="both"/>
              <w:rPr>
                <w:rFonts w:cs="Arial"/>
                <w:bCs/>
                <w:sz w:val="20"/>
                <w:lang w:val="en-US"/>
              </w:rPr>
            </w:pPr>
          </w:p>
        </w:tc>
      </w:tr>
      <w:tr w:rsidR="006F232A" w:rsidRPr="00AD42B2" w14:paraId="3C25F051" w14:textId="77777777" w:rsidTr="007A3F28">
        <w:trPr>
          <w:trHeight w:hRule="exact" w:val="859"/>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C9D58A" w14:textId="6039840C" w:rsidR="006F232A" w:rsidRPr="00FF187D" w:rsidRDefault="006F232A" w:rsidP="00FF187D">
            <w:pPr>
              <w:pStyle w:val="ListParagraph"/>
              <w:numPr>
                <w:ilvl w:val="0"/>
                <w:numId w:val="40"/>
              </w:numPr>
              <w:spacing w:before="60" w:after="60"/>
              <w:jc w:val="both"/>
              <w:rPr>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11C8C0" w14:textId="1A961FB5" w:rsidR="006F232A" w:rsidRPr="006F232A" w:rsidRDefault="001410BF" w:rsidP="006E3D85">
            <w:pPr>
              <w:spacing w:before="60" w:after="60"/>
              <w:ind w:left="137" w:right="141"/>
              <w:rPr>
                <w:sz w:val="20"/>
              </w:rPr>
            </w:pPr>
            <w:r>
              <w:rPr>
                <w:sz w:val="20"/>
              </w:rPr>
              <w:t>Board and committee structures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4F61BD" w14:textId="77777777" w:rsidR="006F232A" w:rsidRPr="007E1F7B" w:rsidRDefault="006F232A"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657064" w14:textId="014EF099" w:rsidR="006F232A" w:rsidRDefault="006F232A" w:rsidP="007D7777">
            <w:pPr>
              <w:spacing w:before="60" w:after="60"/>
              <w:ind w:left="709" w:hanging="566"/>
              <w:jc w:val="both"/>
              <w:rPr>
                <w:rFonts w:cs="Arial"/>
                <w:bCs/>
                <w:sz w:val="20"/>
                <w:lang w:val="en-US"/>
              </w:rPr>
            </w:pPr>
            <w:r>
              <w:rPr>
                <w:rFonts w:cs="Arial"/>
                <w:bCs/>
                <w:sz w:val="20"/>
                <w:lang w:val="en-US"/>
              </w:rPr>
              <w:t>C1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959946" w14:textId="77777777" w:rsidR="006F232A" w:rsidRPr="007E1F7B" w:rsidRDefault="006F232A" w:rsidP="007D7777">
            <w:pPr>
              <w:spacing w:before="60" w:after="60"/>
              <w:ind w:left="709" w:hanging="709"/>
              <w:jc w:val="both"/>
              <w:rPr>
                <w:rFonts w:cs="Arial"/>
                <w:bCs/>
                <w:sz w:val="20"/>
                <w:lang w:val="en-US"/>
              </w:rPr>
            </w:pPr>
          </w:p>
        </w:tc>
      </w:tr>
      <w:tr w:rsidR="006F232A" w:rsidRPr="00AD42B2" w14:paraId="74F2A408" w14:textId="77777777" w:rsidTr="007A3F28">
        <w:trPr>
          <w:trHeight w:hRule="exact" w:val="701"/>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9252A" w14:textId="1CEC655C" w:rsidR="006F232A" w:rsidRPr="00FF187D" w:rsidRDefault="006F232A" w:rsidP="00FF187D">
            <w:pPr>
              <w:pStyle w:val="ListParagraph"/>
              <w:numPr>
                <w:ilvl w:val="0"/>
                <w:numId w:val="40"/>
              </w:numPr>
              <w:spacing w:before="60" w:after="60"/>
              <w:jc w:val="both"/>
              <w:rPr>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43AF46" w14:textId="5E2A105B" w:rsidR="006F232A" w:rsidRDefault="001410BF" w:rsidP="00B741F5">
            <w:pPr>
              <w:spacing w:before="60" w:after="60"/>
              <w:ind w:left="137" w:right="141"/>
              <w:jc w:val="both"/>
              <w:rPr>
                <w:sz w:val="20"/>
              </w:rPr>
            </w:pPr>
            <w:r>
              <w:rPr>
                <w:sz w:val="20"/>
              </w:rPr>
              <w:t>Senior management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A7E35F" w14:textId="77777777" w:rsidR="006F232A" w:rsidRPr="007E1F7B" w:rsidRDefault="006F232A"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CAB6A3" w14:textId="6C3BAFFE" w:rsidR="006F232A" w:rsidRDefault="006F232A" w:rsidP="007D7777">
            <w:pPr>
              <w:spacing w:before="60" w:after="60"/>
              <w:ind w:left="709" w:hanging="566"/>
              <w:jc w:val="both"/>
              <w:rPr>
                <w:rFonts w:cs="Arial"/>
                <w:bCs/>
                <w:sz w:val="20"/>
                <w:lang w:val="en-US"/>
              </w:rPr>
            </w:pPr>
            <w:r>
              <w:rPr>
                <w:rFonts w:cs="Arial"/>
                <w:bCs/>
                <w:sz w:val="20"/>
                <w:lang w:val="en-US"/>
              </w:rPr>
              <w:t>C1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CD6043" w14:textId="77777777" w:rsidR="006F232A" w:rsidRPr="007E1F7B" w:rsidRDefault="006F232A" w:rsidP="007D7777">
            <w:pPr>
              <w:spacing w:before="60" w:after="60"/>
              <w:ind w:left="709" w:hanging="709"/>
              <w:jc w:val="both"/>
              <w:rPr>
                <w:rFonts w:cs="Arial"/>
                <w:bCs/>
                <w:sz w:val="20"/>
                <w:lang w:val="en-US"/>
              </w:rPr>
            </w:pPr>
          </w:p>
        </w:tc>
      </w:tr>
      <w:tr w:rsidR="00900B81" w:rsidRPr="00AD42B2" w14:paraId="03015D9B" w14:textId="77777777" w:rsidTr="007A3F28">
        <w:trPr>
          <w:trHeight w:hRule="exact" w:val="701"/>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4AEE1757" w14:textId="5F3DD3FB" w:rsidR="00900B81" w:rsidRDefault="00FF187D" w:rsidP="00900B81">
            <w:pPr>
              <w:spacing w:before="60" w:after="60"/>
              <w:ind w:left="709" w:hanging="567"/>
              <w:jc w:val="both"/>
              <w:rPr>
                <w:spacing w:val="-1"/>
                <w:sz w:val="20"/>
              </w:rPr>
            </w:pPr>
            <w:r>
              <w:rPr>
                <w:b/>
                <w:spacing w:val="-1"/>
                <w:sz w:val="20"/>
              </w:rPr>
              <w:t>7</w:t>
            </w:r>
            <w:r w:rsidR="00346D25">
              <w:rPr>
                <w:b/>
                <w:spacing w:val="-1"/>
                <w:sz w:val="20"/>
              </w:rPr>
              <w:t>.2</w:t>
            </w:r>
            <w:r w:rsidR="00900B81" w:rsidRPr="007E1F7B">
              <w:rPr>
                <w:b/>
                <w:spacing w:val="-1"/>
                <w:sz w:val="20"/>
              </w:rPr>
              <w:t>.3</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B0251B4" w14:textId="28299AB9" w:rsidR="00900B81" w:rsidRPr="00AE1977" w:rsidRDefault="00C14138" w:rsidP="00900B81">
            <w:pPr>
              <w:spacing w:before="60" w:after="60"/>
              <w:ind w:left="137" w:right="141"/>
              <w:jc w:val="both"/>
              <w:rPr>
                <w:b/>
                <w:bCs/>
                <w:sz w:val="20"/>
              </w:rPr>
            </w:pPr>
            <w:r w:rsidRPr="00AE1977">
              <w:rPr>
                <w:b/>
                <w:bCs/>
                <w:sz w:val="20"/>
              </w:rPr>
              <w:t>Insurance risk exposure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3052BDA" w14:textId="77777777" w:rsidR="00900B81" w:rsidRPr="007E1F7B" w:rsidRDefault="00900B81" w:rsidP="00900B81">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48700C48" w14:textId="77777777" w:rsidR="00900B81" w:rsidRDefault="00900B81" w:rsidP="00900B81">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0D9407F1" w14:textId="0451B475" w:rsidR="00900B81" w:rsidRPr="007E1F7B" w:rsidRDefault="00900B81" w:rsidP="00900B81">
            <w:pPr>
              <w:spacing w:before="60" w:after="60"/>
              <w:ind w:left="709" w:hanging="709"/>
              <w:jc w:val="both"/>
              <w:rPr>
                <w:rFonts w:cs="Arial"/>
                <w:bCs/>
                <w:sz w:val="20"/>
                <w:lang w:val="en-US"/>
              </w:rPr>
            </w:pPr>
            <w:r w:rsidRPr="007E1F7B">
              <w:rPr>
                <w:rFonts w:cs="Arial"/>
                <w:b/>
                <w:sz w:val="20"/>
                <w:lang w:val="en-US"/>
              </w:rPr>
              <w:t>B</w:t>
            </w:r>
          </w:p>
        </w:tc>
      </w:tr>
      <w:tr w:rsidR="00CB21E4" w:rsidRPr="00AD42B2" w14:paraId="58416867" w14:textId="77777777" w:rsidTr="007A3F28">
        <w:trPr>
          <w:trHeight w:hRule="exact" w:val="701"/>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A703EA" w14:textId="6BF8E756" w:rsidR="00CB21E4" w:rsidRPr="00FF187D" w:rsidRDefault="00CB21E4" w:rsidP="00FF187D">
            <w:pPr>
              <w:pStyle w:val="ListParagraph"/>
              <w:numPr>
                <w:ilvl w:val="0"/>
                <w:numId w:val="42"/>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4DF662" w14:textId="3BAEE26B" w:rsidR="00CB21E4" w:rsidRDefault="00CB21E4" w:rsidP="00CB21E4">
            <w:pPr>
              <w:spacing w:before="60" w:after="60"/>
              <w:ind w:left="137" w:right="141"/>
              <w:jc w:val="both"/>
              <w:rPr>
                <w:sz w:val="20"/>
              </w:rPr>
            </w:pPr>
            <w:r w:rsidRPr="007E1F7B">
              <w:rPr>
                <w:rFonts w:eastAsia="Calibri" w:hAnsi="Calibri"/>
                <w:sz w:val="20"/>
                <w:lang w:val="en-US"/>
              </w:rPr>
              <w:t>The</w:t>
            </w:r>
            <w:r>
              <w:rPr>
                <w:rFonts w:eastAsia="Calibri" w:hAnsi="Calibri"/>
                <w:sz w:val="20"/>
                <w:lang w:val="en-US"/>
              </w:rPr>
              <w:t xml:space="preserve"> </w:t>
            </w:r>
            <w:r w:rsidRPr="007E1F7B">
              <w:rPr>
                <w:rFonts w:eastAsia="Calibri" w:hAnsi="Calibri"/>
                <w:spacing w:val="-1"/>
                <w:sz w:val="20"/>
                <w:lang w:val="en-US"/>
              </w:rPr>
              <w:t>nature</w:t>
            </w:r>
            <w:r w:rsidR="00EC1658">
              <w:rPr>
                <w:rFonts w:eastAsia="Calibri" w:hAnsi="Calibri"/>
                <w:spacing w:val="-1"/>
                <w:sz w:val="20"/>
                <w:lang w:val="en-US"/>
              </w:rPr>
              <w:t xml:space="preserve"> of risks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F1E74A" w14:textId="77777777" w:rsidR="00CB21E4" w:rsidRPr="007E1F7B" w:rsidRDefault="00CB21E4" w:rsidP="00CB21E4">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42EBFC" w14:textId="2F73DDE8" w:rsidR="00CB21E4" w:rsidRDefault="00CB21E4" w:rsidP="00CB21E4">
            <w:pPr>
              <w:spacing w:before="60" w:after="60"/>
              <w:ind w:left="709" w:hanging="566"/>
              <w:jc w:val="both"/>
              <w:rPr>
                <w:rFonts w:cs="Arial"/>
                <w:bCs/>
                <w:sz w:val="20"/>
                <w:lang w:val="en-US"/>
              </w:rPr>
            </w:pPr>
            <w:r w:rsidRPr="007E1F7B">
              <w:rPr>
                <w:rFonts w:eastAsia="Calibri" w:hAnsi="Calibri"/>
                <w:spacing w:val="-1"/>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63DDD0" w14:textId="77777777" w:rsidR="00CB21E4" w:rsidRPr="007E1F7B" w:rsidRDefault="00CB21E4" w:rsidP="00CB21E4">
            <w:pPr>
              <w:spacing w:before="60" w:after="60"/>
              <w:ind w:left="709" w:hanging="709"/>
              <w:jc w:val="both"/>
              <w:rPr>
                <w:rFonts w:cs="Arial"/>
                <w:b/>
                <w:sz w:val="20"/>
                <w:lang w:val="en-US"/>
              </w:rPr>
            </w:pPr>
          </w:p>
        </w:tc>
      </w:tr>
      <w:tr w:rsidR="00CB21E4" w:rsidRPr="00AD42B2" w14:paraId="1232D911" w14:textId="77777777" w:rsidTr="005C7B12">
        <w:trPr>
          <w:trHeight w:hRule="exact" w:val="611"/>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5FFD82" w14:textId="0C0417AD" w:rsidR="00CB21E4" w:rsidRPr="00FF187D" w:rsidRDefault="00CB21E4" w:rsidP="00FF187D">
            <w:pPr>
              <w:pStyle w:val="ListParagraph"/>
              <w:numPr>
                <w:ilvl w:val="0"/>
                <w:numId w:val="42"/>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8D31C7" w14:textId="70EEF0FD" w:rsidR="00CB21E4" w:rsidRDefault="00CB21E4" w:rsidP="00CB21E4">
            <w:pPr>
              <w:spacing w:before="60" w:after="60"/>
              <w:ind w:left="137" w:right="141"/>
              <w:jc w:val="both"/>
              <w:rPr>
                <w:sz w:val="20"/>
              </w:rPr>
            </w:pPr>
            <w:r w:rsidRPr="007E1F7B">
              <w:rPr>
                <w:rFonts w:eastAsia="Calibri" w:hAnsi="Calibri"/>
                <w:spacing w:val="-1"/>
                <w:sz w:val="20"/>
                <w:lang w:val="en-US"/>
              </w:rPr>
              <w:t>Risk</w:t>
            </w:r>
            <w:r w:rsidRPr="007E1F7B">
              <w:rPr>
                <w:rFonts w:eastAsia="Calibri" w:hAnsi="Calibri"/>
                <w:spacing w:val="62"/>
                <w:sz w:val="20"/>
                <w:lang w:val="en-US"/>
              </w:rPr>
              <w:t xml:space="preserve"> </w:t>
            </w:r>
            <w:r w:rsidRPr="007E1F7B">
              <w:rPr>
                <w:rFonts w:eastAsia="Calibri" w:hAnsi="Calibri"/>
                <w:spacing w:val="-1"/>
                <w:sz w:val="20"/>
                <w:lang w:val="en-US"/>
              </w:rPr>
              <w:t>management</w:t>
            </w:r>
            <w:r w:rsidRPr="007E1F7B">
              <w:rPr>
                <w:rFonts w:eastAsia="Calibri" w:hAnsi="Calibri"/>
                <w:spacing w:val="61"/>
                <w:sz w:val="20"/>
                <w:lang w:val="en-US"/>
              </w:rPr>
              <w:t xml:space="preserve"> </w:t>
            </w:r>
            <w:r w:rsidRPr="007E1F7B">
              <w:rPr>
                <w:rFonts w:eastAsia="Calibri" w:hAnsi="Calibri"/>
                <w:spacing w:val="-1"/>
                <w:sz w:val="20"/>
                <w:lang w:val="en-US"/>
              </w:rPr>
              <w:t>objectives</w:t>
            </w:r>
            <w:r w:rsidRPr="007E1F7B">
              <w:rPr>
                <w:rFonts w:eastAsia="Calibri" w:hAnsi="Calibri"/>
                <w:spacing w:val="23"/>
                <w:sz w:val="20"/>
                <w:lang w:val="en-US"/>
              </w:rPr>
              <w:t xml:space="preserve"> </w:t>
            </w:r>
            <w:r w:rsidRPr="007E1F7B">
              <w:rPr>
                <w:rFonts w:eastAsia="Calibri" w:hAnsi="Calibri"/>
                <w:sz w:val="20"/>
                <w:lang w:val="en-US"/>
              </w:rPr>
              <w:t>and</w:t>
            </w:r>
            <w:r w:rsidRPr="007E1F7B">
              <w:rPr>
                <w:rFonts w:eastAsia="Calibri" w:hAnsi="Calibri"/>
                <w:spacing w:val="26"/>
                <w:sz w:val="20"/>
                <w:lang w:val="en-US"/>
              </w:rPr>
              <w:t xml:space="preserve"> </w:t>
            </w:r>
            <w:r w:rsidRPr="007E1F7B">
              <w:rPr>
                <w:rFonts w:eastAsia="Calibri" w:hAnsi="Calibri"/>
                <w:spacing w:val="-1"/>
                <w:sz w:val="20"/>
                <w:lang w:val="en-US"/>
              </w:rPr>
              <w:t>policies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BB790E" w14:textId="77777777" w:rsidR="00CB21E4" w:rsidRPr="007E1F7B" w:rsidRDefault="00CB21E4" w:rsidP="00CB21E4">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1FFF27" w14:textId="7290F676" w:rsidR="00655BA7" w:rsidRPr="00655BA7" w:rsidRDefault="00655BA7" w:rsidP="00451F18">
            <w:pPr>
              <w:spacing w:before="60" w:after="60"/>
              <w:ind w:left="709" w:hanging="566"/>
              <w:jc w:val="both"/>
              <w:rPr>
                <w:rFonts w:cs="Arial"/>
                <w:bCs/>
                <w:sz w:val="20"/>
                <w:lang w:val="en-US"/>
              </w:rPr>
            </w:pPr>
            <w:r>
              <w:rPr>
                <w:rFonts w:eastAsia="Calibri" w:hAnsi="Calibri"/>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8C58AE" w14:textId="77777777" w:rsidR="00CB21E4" w:rsidRPr="007E1F7B" w:rsidRDefault="00CB21E4" w:rsidP="00CB21E4">
            <w:pPr>
              <w:spacing w:before="60" w:after="60"/>
              <w:ind w:left="709" w:hanging="709"/>
              <w:jc w:val="both"/>
              <w:rPr>
                <w:rFonts w:cs="Arial"/>
                <w:b/>
                <w:sz w:val="20"/>
                <w:lang w:val="en-US"/>
              </w:rPr>
            </w:pPr>
          </w:p>
        </w:tc>
      </w:tr>
      <w:tr w:rsidR="00CB21E4" w:rsidRPr="00AD42B2" w14:paraId="65349809" w14:textId="77777777" w:rsidTr="005C7B12">
        <w:trPr>
          <w:trHeight w:hRule="exact" w:val="1034"/>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E2154" w14:textId="6C2F8951" w:rsidR="00CB21E4" w:rsidRPr="00FF187D" w:rsidRDefault="00CB21E4" w:rsidP="00FF187D">
            <w:pPr>
              <w:pStyle w:val="ListParagraph"/>
              <w:numPr>
                <w:ilvl w:val="0"/>
                <w:numId w:val="42"/>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017751" w14:textId="5BFE84CA" w:rsidR="00CB21E4" w:rsidRDefault="00E82367" w:rsidP="00CB21E4">
            <w:pPr>
              <w:spacing w:before="60" w:after="60"/>
              <w:ind w:left="137" w:right="141"/>
              <w:jc w:val="both"/>
              <w:rPr>
                <w:sz w:val="20"/>
              </w:rPr>
            </w:pPr>
            <w:r>
              <w:rPr>
                <w:rFonts w:eastAsia="Calibri" w:hAnsi="Calibri"/>
                <w:spacing w:val="-1"/>
                <w:sz w:val="20"/>
                <w:lang w:val="en-US"/>
              </w:rPr>
              <w:t>R</w:t>
            </w:r>
            <w:r w:rsidR="00CB21E4" w:rsidRPr="007E1F7B">
              <w:rPr>
                <w:rFonts w:eastAsia="Calibri" w:hAnsi="Calibri"/>
                <w:spacing w:val="-1"/>
                <w:sz w:val="20"/>
                <w:lang w:val="en-US"/>
              </w:rPr>
              <w:t>einsurance</w:t>
            </w:r>
            <w:r w:rsidR="00CB21E4" w:rsidRPr="007E1F7B">
              <w:rPr>
                <w:rFonts w:eastAsia="Calibri" w:hAnsi="Calibri"/>
                <w:spacing w:val="27"/>
                <w:sz w:val="20"/>
                <w:lang w:val="en-US"/>
              </w:rPr>
              <w:t xml:space="preserve"> </w:t>
            </w:r>
            <w:r w:rsidR="004255DB">
              <w:rPr>
                <w:rFonts w:eastAsia="Calibri" w:hAnsi="Calibri"/>
                <w:sz w:val="20"/>
                <w:lang w:val="en-US"/>
              </w:rPr>
              <w:t xml:space="preserve">and </w:t>
            </w:r>
            <w:r w:rsidR="00CB21E4" w:rsidRPr="007E1F7B">
              <w:rPr>
                <w:rFonts w:eastAsia="Calibri" w:hAnsi="Calibri"/>
                <w:spacing w:val="-1"/>
                <w:sz w:val="20"/>
                <w:lang w:val="en-US"/>
              </w:rPr>
              <w:t>risk</w:t>
            </w:r>
            <w:r w:rsidR="00CB21E4" w:rsidRPr="007E1F7B">
              <w:rPr>
                <w:rFonts w:eastAsia="Calibri" w:hAnsi="Calibri"/>
                <w:sz w:val="20"/>
                <w:lang w:val="en-US"/>
              </w:rPr>
              <w:t xml:space="preserve"> </w:t>
            </w:r>
            <w:r w:rsidR="00CB21E4" w:rsidRPr="007E1F7B">
              <w:rPr>
                <w:rFonts w:eastAsia="Calibri" w:hAnsi="Calibri"/>
                <w:spacing w:val="-1"/>
                <w:sz w:val="20"/>
                <w:lang w:val="en-US"/>
              </w:rPr>
              <w:t>transfer</w:t>
            </w:r>
            <w:r w:rsidR="004255DB">
              <w:rPr>
                <w:rFonts w:eastAsia="Calibri" w:hAnsi="Calibri"/>
                <w:spacing w:val="-1"/>
                <w:sz w:val="20"/>
                <w:lang w:val="en-US"/>
              </w:rPr>
              <w:t xml:space="preserve"> arrangements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9D3B42" w14:textId="77777777" w:rsidR="00947A59" w:rsidRPr="00D114C9" w:rsidRDefault="00947A59" w:rsidP="006B71AB">
            <w:pPr>
              <w:spacing w:before="60" w:after="60"/>
              <w:ind w:left="709" w:hanging="566"/>
              <w:jc w:val="both"/>
              <w:rPr>
                <w:rFonts w:eastAsia="Calibri" w:hAnsi="Calibri"/>
                <w:spacing w:val="-1"/>
                <w:sz w:val="20"/>
                <w:lang w:val="en-US"/>
              </w:rPr>
            </w:pPr>
            <w:r w:rsidRPr="00D114C9">
              <w:rPr>
                <w:rFonts w:eastAsia="Calibri" w:hAnsi="Calibri"/>
                <w:spacing w:val="-1"/>
                <w:sz w:val="20"/>
                <w:lang w:val="en-US"/>
              </w:rPr>
              <w:t>TP1</w:t>
            </w:r>
          </w:p>
          <w:p w14:paraId="24F71CB5" w14:textId="77777777" w:rsidR="00947A59" w:rsidRPr="00D114C9" w:rsidRDefault="00947A59" w:rsidP="00947A59">
            <w:pPr>
              <w:spacing w:before="60" w:after="60"/>
              <w:ind w:left="709" w:hanging="566"/>
              <w:jc w:val="both"/>
              <w:rPr>
                <w:rFonts w:eastAsia="Calibri" w:hAnsi="Calibri"/>
                <w:spacing w:val="-1"/>
                <w:sz w:val="20"/>
                <w:lang w:val="en-US"/>
              </w:rPr>
            </w:pPr>
            <w:r w:rsidRPr="00D114C9">
              <w:rPr>
                <w:rFonts w:eastAsia="Calibri" w:hAnsi="Calibri"/>
                <w:spacing w:val="-1"/>
                <w:sz w:val="20"/>
                <w:lang w:val="en-US"/>
              </w:rPr>
              <w:t>TP1.1</w:t>
            </w:r>
          </w:p>
          <w:p w14:paraId="034B5C89" w14:textId="76A62BF1" w:rsidR="00CB21E4" w:rsidRPr="00170E0C" w:rsidRDefault="00947A59" w:rsidP="00170E0C">
            <w:pPr>
              <w:spacing w:before="60" w:after="60"/>
              <w:ind w:left="709" w:hanging="566"/>
              <w:jc w:val="both"/>
              <w:rPr>
                <w:rFonts w:eastAsia="Calibri" w:hAnsi="Calibri"/>
                <w:spacing w:val="-1"/>
                <w:sz w:val="20"/>
                <w:lang w:val="en-US"/>
              </w:rPr>
            </w:pPr>
            <w:r w:rsidRPr="007E1F7B">
              <w:rPr>
                <w:rFonts w:eastAsia="Calibri" w:hAnsi="Calibri"/>
                <w:spacing w:val="-1"/>
                <w:sz w:val="20"/>
                <w:lang w:val="en-US"/>
              </w:rPr>
              <w:t>TP2</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299BDA" w14:textId="611CC528" w:rsidR="00CB21E4" w:rsidRDefault="00CB21E4" w:rsidP="00CB21E4">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4D0138" w14:textId="77777777" w:rsidR="00CB21E4" w:rsidRPr="007E1F7B" w:rsidRDefault="00CB21E4" w:rsidP="00CB21E4">
            <w:pPr>
              <w:spacing w:before="60" w:after="60"/>
              <w:ind w:left="709" w:hanging="709"/>
              <w:jc w:val="both"/>
              <w:rPr>
                <w:rFonts w:cs="Arial"/>
                <w:b/>
                <w:sz w:val="20"/>
                <w:lang w:val="en-US"/>
              </w:rPr>
            </w:pPr>
          </w:p>
        </w:tc>
      </w:tr>
      <w:tr w:rsidR="00CB21E4" w:rsidRPr="00AD42B2" w14:paraId="2CBF96A9" w14:textId="77777777" w:rsidTr="005C7B12">
        <w:trPr>
          <w:trHeight w:hRule="exact" w:val="557"/>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998492" w14:textId="1353EDC6" w:rsidR="00CB21E4" w:rsidRPr="00FF187D" w:rsidRDefault="00CB21E4" w:rsidP="00FF187D">
            <w:pPr>
              <w:pStyle w:val="ListParagraph"/>
              <w:numPr>
                <w:ilvl w:val="0"/>
                <w:numId w:val="42"/>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7FA225" w14:textId="0B8D315B" w:rsidR="00CB21E4" w:rsidRDefault="00D14B6A" w:rsidP="00CB21E4">
            <w:pPr>
              <w:spacing w:before="60" w:after="60"/>
              <w:ind w:left="137" w:right="141"/>
              <w:jc w:val="both"/>
              <w:rPr>
                <w:sz w:val="20"/>
              </w:rPr>
            </w:pPr>
            <w:r>
              <w:rPr>
                <w:rFonts w:eastAsia="Calibri" w:hAnsi="Calibri"/>
                <w:spacing w:val="-1"/>
                <w:sz w:val="20"/>
                <w:lang w:val="en-US"/>
              </w:rPr>
              <w:t>R</w:t>
            </w:r>
            <w:r w:rsidR="00CB21E4" w:rsidRPr="002B608B">
              <w:rPr>
                <w:rFonts w:eastAsia="Calibri" w:hAnsi="Calibri"/>
                <w:spacing w:val="-1"/>
                <w:sz w:val="20"/>
                <w:lang w:val="en-US"/>
              </w:rPr>
              <w:t>isk concentrations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7C1566" w14:textId="21CED225" w:rsidR="0090291C" w:rsidRPr="007E1F7B" w:rsidRDefault="0090291C" w:rsidP="00CB21E4">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4DA71F" w14:textId="14CBC80D" w:rsidR="00012255" w:rsidRDefault="00012255" w:rsidP="00AF121D">
            <w:pPr>
              <w:spacing w:before="60" w:after="60"/>
              <w:ind w:left="709" w:hanging="566"/>
              <w:jc w:val="both"/>
              <w:rPr>
                <w:rFonts w:cs="Arial"/>
                <w:bCs/>
                <w:sz w:val="20"/>
                <w:lang w:val="en-US"/>
              </w:rPr>
            </w:pPr>
            <w:r>
              <w:rPr>
                <w:rFonts w:eastAsia="Calibri" w:hAnsi="Calibri"/>
                <w:spacing w:val="-1"/>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112B87" w14:textId="77777777" w:rsidR="00CB21E4" w:rsidRPr="007E1F7B" w:rsidRDefault="00CB21E4" w:rsidP="00CB21E4">
            <w:pPr>
              <w:spacing w:before="60" w:after="60"/>
              <w:ind w:left="709" w:hanging="709"/>
              <w:jc w:val="both"/>
              <w:rPr>
                <w:rFonts w:cs="Arial"/>
                <w:b/>
                <w:sz w:val="20"/>
                <w:lang w:val="en-US"/>
              </w:rPr>
            </w:pPr>
          </w:p>
        </w:tc>
      </w:tr>
      <w:tr w:rsidR="00CB21E4" w:rsidRPr="00AD42B2" w14:paraId="4BF09508" w14:textId="77777777" w:rsidTr="007A3F28">
        <w:trPr>
          <w:trHeight w:hRule="exact" w:val="702"/>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6338E3" w14:textId="02E4A692" w:rsidR="00CB21E4" w:rsidRPr="00FF187D" w:rsidRDefault="00CB21E4" w:rsidP="00FF187D">
            <w:pPr>
              <w:pStyle w:val="ListParagraph"/>
              <w:numPr>
                <w:ilvl w:val="0"/>
                <w:numId w:val="42"/>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8A3D20" w14:textId="5A3DB0CA" w:rsidR="00CB21E4" w:rsidRDefault="00CB21E4" w:rsidP="006E3D85">
            <w:pPr>
              <w:spacing w:before="60" w:after="60"/>
              <w:ind w:left="137" w:right="141"/>
              <w:rPr>
                <w:sz w:val="20"/>
              </w:rPr>
            </w:pPr>
            <w:r w:rsidRPr="007E1F7B">
              <w:rPr>
                <w:spacing w:val="-1"/>
                <w:sz w:val="20"/>
              </w:rPr>
              <w:t>Risk</w:t>
            </w:r>
            <w:r w:rsidRPr="007E1F7B">
              <w:rPr>
                <w:spacing w:val="64"/>
                <w:sz w:val="20"/>
              </w:rPr>
              <w:t xml:space="preserve"> </w:t>
            </w:r>
            <w:r w:rsidRPr="007E1F7B">
              <w:rPr>
                <w:spacing w:val="-1"/>
                <w:sz w:val="20"/>
              </w:rPr>
              <w:t>appetite</w:t>
            </w:r>
            <w:r w:rsidRPr="007E1F7B">
              <w:rPr>
                <w:spacing w:val="64"/>
                <w:sz w:val="20"/>
              </w:rPr>
              <w:t xml:space="preserve"> </w:t>
            </w:r>
            <w:r w:rsidRPr="007E1F7B">
              <w:rPr>
                <w:sz w:val="20"/>
              </w:rPr>
              <w:t>and</w:t>
            </w:r>
            <w:r w:rsidRPr="007E1F7B">
              <w:rPr>
                <w:spacing w:val="64"/>
                <w:sz w:val="20"/>
              </w:rPr>
              <w:t xml:space="preserve"> </w:t>
            </w:r>
            <w:r w:rsidR="00430AED">
              <w:rPr>
                <w:spacing w:val="-1"/>
                <w:sz w:val="20"/>
              </w:rPr>
              <w:t>governance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57B43D" w14:textId="77777777" w:rsidR="00CB21E4" w:rsidRPr="007E1F7B" w:rsidRDefault="00CB21E4" w:rsidP="00CB21E4">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AA6A2A" w14:textId="5813694F" w:rsidR="00CB21E4" w:rsidRDefault="00CB21E4" w:rsidP="00CB21E4">
            <w:pPr>
              <w:spacing w:before="60" w:after="60"/>
              <w:ind w:left="709" w:hanging="566"/>
              <w:jc w:val="both"/>
              <w:rPr>
                <w:rFonts w:cs="Arial"/>
                <w:bCs/>
                <w:sz w:val="20"/>
                <w:lang w:val="en-US"/>
              </w:rPr>
            </w:pPr>
            <w:r w:rsidRPr="007E1F7B">
              <w:rPr>
                <w:rFonts w:eastAsia="Calibri" w:hAnsi="Calibri"/>
                <w:spacing w:val="-1"/>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B7BD93" w14:textId="77777777" w:rsidR="00CB21E4" w:rsidRPr="007E1F7B" w:rsidRDefault="00CB21E4" w:rsidP="00CB21E4">
            <w:pPr>
              <w:spacing w:before="60" w:after="60"/>
              <w:ind w:left="709" w:hanging="709"/>
              <w:jc w:val="both"/>
              <w:rPr>
                <w:rFonts w:cs="Arial"/>
                <w:b/>
                <w:sz w:val="20"/>
                <w:lang w:val="en-US"/>
              </w:rPr>
            </w:pPr>
          </w:p>
        </w:tc>
      </w:tr>
      <w:tr w:rsidR="001C4461" w:rsidRPr="00AD42B2" w14:paraId="315857C6" w14:textId="77777777" w:rsidTr="007A3F28">
        <w:trPr>
          <w:trHeight w:hRule="exact" w:val="613"/>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15A1AB1" w14:textId="0C2D0C58" w:rsidR="00A1399C" w:rsidRPr="007E1F7B" w:rsidRDefault="00FF187D" w:rsidP="007D7777">
            <w:pPr>
              <w:spacing w:before="60" w:after="60"/>
              <w:ind w:left="709" w:hanging="567"/>
              <w:jc w:val="both"/>
              <w:rPr>
                <w:rFonts w:cs="Arial"/>
                <w:bCs/>
                <w:sz w:val="20"/>
                <w:lang w:val="en-US"/>
              </w:rPr>
            </w:pPr>
            <w:r>
              <w:rPr>
                <w:b/>
                <w:spacing w:val="-1"/>
                <w:sz w:val="20"/>
              </w:rPr>
              <w:t>7</w:t>
            </w:r>
            <w:r w:rsidR="00A1399C" w:rsidRPr="007E1F7B">
              <w:rPr>
                <w:b/>
                <w:spacing w:val="-1"/>
                <w:sz w:val="20"/>
              </w:rPr>
              <w:t>.3</w:t>
            </w:r>
            <w:r w:rsidR="00D07CF5">
              <w:rPr>
                <w:b/>
                <w:spacing w:val="-1"/>
                <w:sz w:val="20"/>
              </w:rPr>
              <w:t>.1</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48BEA2EF" w14:textId="188CD31D" w:rsidR="00A1399C" w:rsidRPr="007E1F7B" w:rsidRDefault="00A1399C" w:rsidP="007D7777">
            <w:pPr>
              <w:spacing w:before="60" w:after="60"/>
              <w:ind w:left="137" w:right="141"/>
              <w:rPr>
                <w:rFonts w:cs="Arial"/>
                <w:bCs/>
                <w:sz w:val="20"/>
                <w:lang w:val="en-US"/>
              </w:rPr>
            </w:pPr>
            <w:r w:rsidRPr="007E1F7B">
              <w:rPr>
                <w:b/>
                <w:spacing w:val="-1"/>
                <w:sz w:val="20"/>
              </w:rPr>
              <w:t>Technical</w:t>
            </w:r>
            <w:r w:rsidRPr="007E1F7B">
              <w:rPr>
                <w:b/>
                <w:sz w:val="20"/>
              </w:rPr>
              <w:t xml:space="preserve"> </w:t>
            </w:r>
            <w:r w:rsidRPr="007E1F7B">
              <w:rPr>
                <w:b/>
                <w:spacing w:val="-1"/>
                <w:sz w:val="20"/>
              </w:rPr>
              <w:t>provisions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547D9239" w14:textId="77777777" w:rsidR="00A1399C" w:rsidRPr="007E1F7B" w:rsidRDefault="00A1399C"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05F8805" w14:textId="77777777" w:rsidR="00A1399C" w:rsidRPr="007E1F7B" w:rsidRDefault="00A1399C"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BF21690" w14:textId="6230A0F7" w:rsidR="00A1399C" w:rsidRPr="007E1F7B" w:rsidRDefault="008B6D35" w:rsidP="007D7777">
            <w:pPr>
              <w:spacing w:before="60" w:after="60"/>
              <w:ind w:left="709" w:hanging="709"/>
              <w:jc w:val="both"/>
              <w:rPr>
                <w:rFonts w:cs="Arial"/>
                <w:b/>
                <w:sz w:val="20"/>
                <w:lang w:val="en-US"/>
              </w:rPr>
            </w:pPr>
            <w:r w:rsidRPr="007E1F7B">
              <w:rPr>
                <w:rFonts w:cs="Arial"/>
                <w:b/>
                <w:sz w:val="20"/>
                <w:lang w:val="en-US"/>
              </w:rPr>
              <w:t>B</w:t>
            </w:r>
          </w:p>
        </w:tc>
      </w:tr>
      <w:tr w:rsidR="00644964" w:rsidRPr="00AD42B2" w14:paraId="5F51D742" w14:textId="77777777" w:rsidTr="000D5710">
        <w:trPr>
          <w:trHeight w:hRule="exact" w:val="1242"/>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64CDE1" w14:textId="60FB2F86" w:rsidR="00644964" w:rsidRPr="00FF187D" w:rsidRDefault="00644964" w:rsidP="00FF187D">
            <w:pPr>
              <w:pStyle w:val="ListParagraph"/>
              <w:numPr>
                <w:ilvl w:val="0"/>
                <w:numId w:val="43"/>
              </w:numPr>
              <w:spacing w:before="60" w:after="60"/>
              <w:jc w:val="both"/>
              <w:rPr>
                <w:rFonts w:cs="Arial"/>
                <w:bCs/>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3B1105" w14:textId="1BC3AB7D" w:rsidR="00644964" w:rsidRPr="006F232A" w:rsidDel="00CF5DC5" w:rsidRDefault="00901D4E" w:rsidP="006E3D85">
            <w:pPr>
              <w:spacing w:before="60" w:after="60"/>
              <w:ind w:left="137" w:right="141"/>
              <w:rPr>
                <w:rFonts w:eastAsia="Calibri" w:hAnsi="Calibri"/>
                <w:spacing w:val="-1"/>
                <w:sz w:val="20"/>
                <w:lang w:val="en-US"/>
              </w:rPr>
            </w:pPr>
            <w:r>
              <w:rPr>
                <w:rFonts w:eastAsia="Calibri" w:hAnsi="Calibri"/>
                <w:spacing w:val="-1"/>
                <w:sz w:val="20"/>
                <w:lang w:val="en-US"/>
              </w:rPr>
              <w:t>Q</w:t>
            </w:r>
            <w:r w:rsidR="00644964" w:rsidRPr="00644964">
              <w:rPr>
                <w:rFonts w:eastAsia="Calibri" w:hAnsi="Calibri"/>
                <w:spacing w:val="-1"/>
                <w:sz w:val="20"/>
                <w:lang w:val="en-US"/>
              </w:rPr>
              <w:t>uantitative information on technical provisions</w:t>
            </w:r>
            <w:r w:rsidR="00F93BCB">
              <w:rPr>
                <w:rFonts w:eastAsia="Calibri" w:hAnsi="Calibri"/>
                <w:spacing w:val="-1"/>
                <w:sz w:val="20"/>
                <w:lang w:val="en-US"/>
              </w:rPr>
              <w:t xml:space="preserve">, </w:t>
            </w:r>
            <w:r w:rsidR="00644964" w:rsidRPr="00644964">
              <w:rPr>
                <w:rFonts w:eastAsia="Calibri" w:hAnsi="Calibri"/>
                <w:spacing w:val="-1"/>
                <w:sz w:val="20"/>
                <w:lang w:val="en-US"/>
              </w:rPr>
              <w:t>reflect</w:t>
            </w:r>
            <w:r w:rsidR="00F93BCB">
              <w:rPr>
                <w:rFonts w:eastAsia="Calibri" w:hAnsi="Calibri"/>
                <w:spacing w:val="-1"/>
                <w:sz w:val="20"/>
                <w:lang w:val="en-US"/>
              </w:rPr>
              <w:t>ing</w:t>
            </w:r>
            <w:r w:rsidR="00644964" w:rsidRPr="00644964">
              <w:rPr>
                <w:rFonts w:eastAsia="Calibri" w:hAnsi="Calibri"/>
                <w:spacing w:val="-1"/>
                <w:sz w:val="20"/>
                <w:lang w:val="en-US"/>
              </w:rPr>
              <w:t xml:space="preserve"> the totals of classes and sub-classes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B3566" w14:textId="77777777" w:rsidR="00644964" w:rsidRDefault="005E4603" w:rsidP="007D7777">
            <w:pPr>
              <w:spacing w:before="60" w:after="60"/>
              <w:ind w:left="709" w:hanging="566"/>
              <w:jc w:val="both"/>
              <w:rPr>
                <w:rFonts w:cs="Arial"/>
                <w:bCs/>
                <w:sz w:val="20"/>
                <w:lang w:val="en-US"/>
              </w:rPr>
            </w:pPr>
            <w:r>
              <w:rPr>
                <w:rFonts w:cs="Arial"/>
                <w:bCs/>
                <w:sz w:val="20"/>
                <w:lang w:val="en-US"/>
              </w:rPr>
              <w:t>TP 1S</w:t>
            </w:r>
          </w:p>
          <w:p w14:paraId="046F321B" w14:textId="77777777" w:rsidR="005E4603" w:rsidRDefault="005E4603" w:rsidP="007D7777">
            <w:pPr>
              <w:spacing w:before="60" w:after="60"/>
              <w:ind w:left="709" w:hanging="566"/>
              <w:jc w:val="both"/>
              <w:rPr>
                <w:rFonts w:cs="Arial"/>
                <w:bCs/>
                <w:sz w:val="20"/>
                <w:lang w:val="en-US"/>
              </w:rPr>
            </w:pPr>
            <w:r>
              <w:rPr>
                <w:rFonts w:cs="Arial"/>
                <w:bCs/>
                <w:sz w:val="20"/>
                <w:lang w:val="en-US"/>
              </w:rPr>
              <w:t>TP 1.1</w:t>
            </w:r>
          </w:p>
          <w:p w14:paraId="1381D1CA" w14:textId="143C607C" w:rsidR="004958A6" w:rsidRDefault="004958A6" w:rsidP="007D7777">
            <w:pPr>
              <w:spacing w:before="60" w:after="60"/>
              <w:ind w:left="709" w:hanging="566"/>
              <w:jc w:val="both"/>
              <w:rPr>
                <w:rFonts w:cs="Arial"/>
                <w:bCs/>
                <w:sz w:val="20"/>
                <w:lang w:val="en-US"/>
              </w:rPr>
            </w:pPr>
            <w:r>
              <w:rPr>
                <w:rFonts w:cs="Arial"/>
                <w:bCs/>
                <w:sz w:val="20"/>
                <w:lang w:val="en-US"/>
              </w:rPr>
              <w:t>OF4.3S</w:t>
            </w:r>
          </w:p>
          <w:p w14:paraId="6008D650" w14:textId="1D60C904" w:rsidR="00AD0BBA" w:rsidRDefault="00AD0BBA" w:rsidP="00AD0BBA">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12B1AC" w14:textId="25E539E5" w:rsidR="002A389C" w:rsidRPr="007E1F7B" w:rsidRDefault="002A389C"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3701EE" w14:textId="77777777" w:rsidR="00644964" w:rsidRPr="007E1F7B" w:rsidRDefault="00644964" w:rsidP="007D7777">
            <w:pPr>
              <w:spacing w:before="60" w:after="60"/>
              <w:ind w:left="709" w:hanging="709"/>
              <w:jc w:val="both"/>
              <w:rPr>
                <w:rFonts w:cs="Arial"/>
                <w:bCs/>
                <w:sz w:val="20"/>
                <w:lang w:val="en-US"/>
              </w:rPr>
            </w:pPr>
          </w:p>
        </w:tc>
      </w:tr>
      <w:tr w:rsidR="005E4603" w:rsidRPr="00AD42B2" w14:paraId="491E53F3" w14:textId="77777777" w:rsidTr="007C10B7">
        <w:trPr>
          <w:trHeight w:hRule="exact" w:val="1273"/>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8B3AD7" w14:textId="6E4F2D1E" w:rsidR="005E4603" w:rsidRPr="00FF187D" w:rsidRDefault="005E4603" w:rsidP="00FF187D">
            <w:pPr>
              <w:pStyle w:val="ListParagraph"/>
              <w:numPr>
                <w:ilvl w:val="0"/>
                <w:numId w:val="43"/>
              </w:numPr>
              <w:spacing w:before="60" w:after="60"/>
              <w:jc w:val="both"/>
              <w:rPr>
                <w:rFonts w:cs="Arial"/>
                <w:bCs/>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5D3016" w14:textId="4F211F3E" w:rsidR="005E4603" w:rsidRPr="00644964" w:rsidRDefault="007C10B7" w:rsidP="006E3D85">
            <w:pPr>
              <w:spacing w:before="60" w:after="60"/>
              <w:ind w:left="137" w:right="141"/>
              <w:rPr>
                <w:rFonts w:eastAsia="Calibri" w:hAnsi="Calibri"/>
                <w:spacing w:val="-1"/>
                <w:sz w:val="20"/>
                <w:lang w:val="en-US"/>
              </w:rPr>
            </w:pPr>
            <w:r>
              <w:rPr>
                <w:rFonts w:eastAsia="Calibri" w:hAnsi="Calibri"/>
                <w:spacing w:val="-1"/>
                <w:sz w:val="20"/>
                <w:lang w:val="en-US"/>
              </w:rPr>
              <w:t>Qualitative information on</w:t>
            </w:r>
            <w:r w:rsidR="001343DF">
              <w:rPr>
                <w:rFonts w:eastAsia="Calibri" w:hAnsi="Calibri"/>
                <w:spacing w:val="-1"/>
                <w:sz w:val="20"/>
                <w:lang w:val="en-US"/>
              </w:rPr>
              <w:t xml:space="preserve"> how</w:t>
            </w:r>
            <w:r>
              <w:rPr>
                <w:rFonts w:eastAsia="Calibri" w:hAnsi="Calibri"/>
                <w:spacing w:val="-1"/>
                <w:sz w:val="20"/>
                <w:lang w:val="en-US"/>
              </w:rPr>
              <w:t xml:space="preserve"> </w:t>
            </w:r>
            <w:r w:rsidR="005E4603" w:rsidRPr="005E4603">
              <w:rPr>
                <w:rFonts w:eastAsia="Calibri" w:hAnsi="Calibri"/>
                <w:spacing w:val="-1"/>
                <w:sz w:val="20"/>
                <w:lang w:val="en-US"/>
              </w:rPr>
              <w:t>technical provisions are determined</w:t>
            </w:r>
            <w:r w:rsidR="001343DF">
              <w:rPr>
                <w:rFonts w:eastAsia="Calibri" w:hAnsi="Calibri"/>
                <w:spacing w:val="-1"/>
                <w:sz w:val="20"/>
                <w:lang w:val="en-US"/>
              </w:rPr>
              <w:t xml:space="preserve">, </w:t>
            </w:r>
            <w:r w:rsidR="00A435D8">
              <w:rPr>
                <w:rFonts w:eastAsia="Calibri" w:hAnsi="Calibri"/>
                <w:spacing w:val="-1"/>
                <w:sz w:val="20"/>
                <w:lang w:val="en-US"/>
              </w:rPr>
              <w:t xml:space="preserve">description </w:t>
            </w:r>
            <w:proofErr w:type="gramStart"/>
            <w:r w:rsidR="00A435D8">
              <w:rPr>
                <w:rFonts w:eastAsia="Calibri" w:hAnsi="Calibri"/>
                <w:spacing w:val="-1"/>
                <w:sz w:val="20"/>
                <w:lang w:val="en-US"/>
              </w:rPr>
              <w:t>on</w:t>
            </w:r>
            <w:proofErr w:type="gramEnd"/>
            <w:r w:rsidR="00A435D8">
              <w:rPr>
                <w:rFonts w:eastAsia="Calibri" w:hAnsi="Calibri"/>
                <w:spacing w:val="-1"/>
                <w:sz w:val="20"/>
                <w:lang w:val="en-US"/>
              </w:rPr>
              <w:t xml:space="preserve"> </w:t>
            </w:r>
            <w:r w:rsidR="001343DF">
              <w:rPr>
                <w:rFonts w:eastAsia="Calibri" w:hAnsi="Calibri"/>
                <w:spacing w:val="-1"/>
                <w:sz w:val="20"/>
                <w:lang w:val="en-US"/>
              </w:rPr>
              <w:t xml:space="preserve">methods used </w:t>
            </w:r>
            <w:r w:rsidR="005E4603" w:rsidRPr="005E4603">
              <w:rPr>
                <w:rFonts w:eastAsia="Calibri" w:hAnsi="Calibri"/>
                <w:spacing w:val="-1"/>
                <w:sz w:val="20"/>
                <w:lang w:val="en-US"/>
              </w:rPr>
              <w:t>and other information, as appropriate</w:t>
            </w:r>
            <w:r w:rsidR="00A435D8">
              <w:rPr>
                <w:rFonts w:eastAsia="Calibri" w:hAnsi="Calibri"/>
                <w:spacing w:val="-1"/>
                <w:sz w:val="20"/>
                <w:lang w:val="en-US"/>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0A8546" w14:textId="10A97177" w:rsidR="005E4603" w:rsidRDefault="005E4603"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A79AA1" w14:textId="714AC720" w:rsidR="005E4603" w:rsidRPr="007E1F7B" w:rsidRDefault="005E4603" w:rsidP="007D7777">
            <w:pPr>
              <w:spacing w:before="60" w:after="60"/>
              <w:ind w:left="709" w:hanging="566"/>
              <w:jc w:val="both"/>
              <w:rPr>
                <w:rFonts w:cs="Arial"/>
                <w:bCs/>
                <w:sz w:val="20"/>
                <w:lang w:val="en-US"/>
              </w:rPr>
            </w:pPr>
            <w:r>
              <w:rPr>
                <w:rFonts w:cs="Arial"/>
                <w:bCs/>
                <w:sz w:val="20"/>
                <w:lang w:val="en-US"/>
              </w:rPr>
              <w:t>E2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E40846" w14:textId="77777777" w:rsidR="005E4603" w:rsidRPr="007E1F7B" w:rsidRDefault="005E4603" w:rsidP="007D7777">
            <w:pPr>
              <w:spacing w:before="60" w:after="60"/>
              <w:ind w:left="709" w:hanging="709"/>
              <w:jc w:val="both"/>
              <w:rPr>
                <w:rFonts w:cs="Arial"/>
                <w:bCs/>
                <w:sz w:val="20"/>
                <w:lang w:val="en-US"/>
              </w:rPr>
            </w:pPr>
          </w:p>
        </w:tc>
      </w:tr>
      <w:tr w:rsidR="00AD6017" w:rsidRPr="00AD42B2" w14:paraId="1E48AA63" w14:textId="77777777" w:rsidTr="007A3F28">
        <w:trPr>
          <w:trHeight w:hRule="exact" w:val="997"/>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E016BF9" w14:textId="44F91F7A" w:rsidR="00AD6017" w:rsidRPr="007E1F7B" w:rsidRDefault="00FF187D" w:rsidP="007D7777">
            <w:pPr>
              <w:spacing w:before="60" w:after="60"/>
              <w:ind w:left="709" w:hanging="567"/>
              <w:jc w:val="both"/>
              <w:rPr>
                <w:b/>
                <w:spacing w:val="-1"/>
                <w:sz w:val="20"/>
              </w:rPr>
            </w:pPr>
            <w:r>
              <w:rPr>
                <w:rFonts w:cs="Arial"/>
                <w:b/>
                <w:bCs/>
                <w:sz w:val="20"/>
              </w:rPr>
              <w:t>7</w:t>
            </w:r>
            <w:r w:rsidR="00533F11">
              <w:rPr>
                <w:rFonts w:cs="Arial"/>
                <w:b/>
                <w:bCs/>
                <w:sz w:val="20"/>
              </w:rPr>
              <w:t>.3.2</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0797FFB6" w14:textId="79553779" w:rsidR="00AD6017" w:rsidRPr="007E1F7B" w:rsidRDefault="00AD6017" w:rsidP="007D7777">
            <w:pPr>
              <w:spacing w:before="60" w:after="60"/>
              <w:ind w:left="137" w:right="141"/>
              <w:rPr>
                <w:rFonts w:eastAsia="Calibri" w:hAnsi="Calibri"/>
                <w:spacing w:val="-1"/>
                <w:sz w:val="20"/>
                <w:lang w:val="en-US"/>
              </w:rPr>
            </w:pPr>
            <w:r w:rsidRPr="007E1F7B">
              <w:rPr>
                <w:rFonts w:cs="Arial"/>
                <w:b/>
                <w:bCs/>
                <w:sz w:val="20"/>
              </w:rPr>
              <w:t>Financial instruments and other investments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6D398AD5"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5390038A" w14:textId="77777777" w:rsidR="00AD6017" w:rsidRPr="007E1F7B" w:rsidRDefault="00AD6017"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56E4B034" w14:textId="55F95A24" w:rsidR="00AD6017" w:rsidRPr="007E1F7B" w:rsidRDefault="00AD6017" w:rsidP="007D7777">
            <w:pPr>
              <w:spacing w:before="60" w:after="60"/>
              <w:ind w:left="709" w:hanging="709"/>
              <w:jc w:val="both"/>
              <w:rPr>
                <w:rFonts w:cs="Arial"/>
                <w:b/>
                <w:sz w:val="20"/>
                <w:lang w:val="en-US"/>
              </w:rPr>
            </w:pPr>
            <w:r w:rsidRPr="007E1F7B">
              <w:rPr>
                <w:rFonts w:cs="Arial"/>
                <w:b/>
                <w:sz w:val="20"/>
                <w:lang w:val="en-US"/>
              </w:rPr>
              <w:t>B</w:t>
            </w:r>
          </w:p>
        </w:tc>
      </w:tr>
      <w:tr w:rsidR="00AD6017" w:rsidRPr="00AD42B2" w14:paraId="17483EAB" w14:textId="77777777" w:rsidTr="003E070D">
        <w:trPr>
          <w:trHeight w:hRule="exact" w:val="1416"/>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229FF2" w14:textId="45365FD4" w:rsidR="00AD6017" w:rsidRPr="00FF187D" w:rsidRDefault="00AD6017" w:rsidP="00FF187D">
            <w:pPr>
              <w:pStyle w:val="ListParagraph"/>
              <w:numPr>
                <w:ilvl w:val="0"/>
                <w:numId w:val="44"/>
              </w:numPr>
              <w:spacing w:before="60" w:after="60"/>
              <w:jc w:val="both"/>
              <w:rPr>
                <w:rFonts w:eastAsia="Calibri" w:cs="Arial"/>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5EE51A" w14:textId="5DE3734E" w:rsidR="00AD6017" w:rsidRPr="007929F0" w:rsidRDefault="004F2D04" w:rsidP="0074623B">
            <w:pPr>
              <w:spacing w:before="60" w:after="60"/>
              <w:ind w:left="137" w:right="141"/>
              <w:jc w:val="both"/>
              <w:rPr>
                <w:rFonts w:eastAsia="Calibri" w:cs="Arial"/>
                <w:sz w:val="20"/>
                <w:lang w:val="en-US"/>
              </w:rPr>
            </w:pPr>
            <w:r>
              <w:rPr>
                <w:rFonts w:eastAsia="Calibri" w:cs="Arial"/>
                <w:sz w:val="20"/>
                <w:lang w:val="en-US"/>
              </w:rPr>
              <w:t>Investment holdings</w:t>
            </w:r>
            <w:r w:rsidR="00B01D04">
              <w:rPr>
                <w:rFonts w:eastAsia="Calibri" w:cs="Arial"/>
                <w:sz w:val="20"/>
                <w:lang w:val="en-US"/>
              </w:rPr>
              <w:t xml:space="preserve"> by class, </w:t>
            </w:r>
            <w:r w:rsidR="0055754B">
              <w:rPr>
                <w:rFonts w:eastAsia="Calibri" w:cs="Arial"/>
                <w:sz w:val="20"/>
                <w:lang w:val="en-US"/>
              </w:rPr>
              <w:t xml:space="preserve">breakdown of investments and </w:t>
            </w:r>
            <w:r w:rsidR="00C123CB">
              <w:rPr>
                <w:rFonts w:eastAsia="Calibri" w:cs="Arial"/>
                <w:sz w:val="20"/>
                <w:lang w:val="en-US"/>
              </w:rPr>
              <w:t>material currency exposure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8B5518" w14:textId="77777777" w:rsidR="00AD6017" w:rsidRDefault="005869F8" w:rsidP="007D7777">
            <w:pPr>
              <w:spacing w:before="60" w:after="60"/>
              <w:ind w:left="709" w:hanging="566"/>
              <w:jc w:val="both"/>
              <w:rPr>
                <w:rFonts w:cs="Arial"/>
                <w:bCs/>
                <w:sz w:val="20"/>
                <w:lang w:val="en-US"/>
              </w:rPr>
            </w:pPr>
            <w:r>
              <w:rPr>
                <w:rFonts w:cs="Arial"/>
                <w:bCs/>
                <w:sz w:val="20"/>
                <w:lang w:val="en-US"/>
              </w:rPr>
              <w:t>A1</w:t>
            </w:r>
          </w:p>
          <w:p w14:paraId="4FB0594F" w14:textId="48AC0210" w:rsidR="00AE4DD7" w:rsidRDefault="00AE4DD7" w:rsidP="007D7777">
            <w:pPr>
              <w:spacing w:before="60" w:after="60"/>
              <w:ind w:left="709" w:hanging="566"/>
              <w:jc w:val="both"/>
              <w:rPr>
                <w:rFonts w:cs="Arial"/>
                <w:bCs/>
                <w:sz w:val="20"/>
                <w:lang w:val="en-US"/>
              </w:rPr>
            </w:pPr>
            <w:r>
              <w:rPr>
                <w:rFonts w:cs="Arial"/>
                <w:bCs/>
                <w:sz w:val="20"/>
                <w:lang w:val="en-US"/>
              </w:rPr>
              <w:t>A2</w:t>
            </w:r>
          </w:p>
          <w:p w14:paraId="3C15DE69" w14:textId="27BB3919" w:rsidR="00AE4DD7" w:rsidRDefault="00AE4DD7" w:rsidP="007D7777">
            <w:pPr>
              <w:spacing w:before="60" w:after="60"/>
              <w:ind w:left="709" w:hanging="566"/>
              <w:jc w:val="both"/>
              <w:rPr>
                <w:rFonts w:cs="Arial"/>
                <w:bCs/>
                <w:sz w:val="20"/>
                <w:lang w:val="en-US"/>
              </w:rPr>
            </w:pPr>
            <w:r>
              <w:rPr>
                <w:rFonts w:cs="Arial"/>
                <w:bCs/>
                <w:sz w:val="20"/>
                <w:lang w:val="en-US"/>
              </w:rPr>
              <w:t>A4</w:t>
            </w:r>
          </w:p>
          <w:p w14:paraId="4F87D649" w14:textId="0201A0F7" w:rsidR="005869F8" w:rsidRDefault="005869F8" w:rsidP="007D7777">
            <w:pPr>
              <w:spacing w:before="60" w:after="60"/>
              <w:ind w:left="709" w:hanging="566"/>
              <w:jc w:val="both"/>
              <w:rPr>
                <w:rFonts w:cs="Arial"/>
                <w:bCs/>
                <w:sz w:val="20"/>
                <w:lang w:val="en-US"/>
              </w:rPr>
            </w:pPr>
            <w:r>
              <w:rPr>
                <w:rFonts w:cs="Arial"/>
                <w:bCs/>
                <w:sz w:val="20"/>
                <w:lang w:val="en-US"/>
              </w:rPr>
              <w:t>A4</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347F12" w14:textId="6F821ACF" w:rsidR="00AD6017" w:rsidRDefault="00AD6017" w:rsidP="00F03B0B">
            <w:pPr>
              <w:spacing w:before="60" w:after="60"/>
              <w:ind w:left="709" w:hanging="566"/>
              <w:jc w:val="both"/>
              <w:rPr>
                <w:rFonts w:eastAsia="Calibri" w:hAnsi="Calibri"/>
                <w:spacing w:val="-1"/>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FB9321" w14:textId="77777777" w:rsidR="00AD6017" w:rsidRPr="007E1F7B" w:rsidRDefault="00AD6017" w:rsidP="007D7777">
            <w:pPr>
              <w:spacing w:before="60" w:after="60"/>
              <w:ind w:left="709" w:hanging="709"/>
              <w:jc w:val="both"/>
              <w:rPr>
                <w:rFonts w:cs="Arial"/>
                <w:bCs/>
                <w:sz w:val="20"/>
                <w:lang w:val="en-US"/>
              </w:rPr>
            </w:pPr>
          </w:p>
        </w:tc>
      </w:tr>
      <w:tr w:rsidR="00D25CED" w:rsidRPr="00AD42B2" w14:paraId="0DFC44BC" w14:textId="77777777" w:rsidTr="00AE4DD7">
        <w:trPr>
          <w:trHeight w:hRule="exact" w:val="739"/>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AC160F" w14:textId="08718A88" w:rsidR="00D25CED" w:rsidRPr="00FF187D" w:rsidRDefault="00D25CED" w:rsidP="00FF187D">
            <w:pPr>
              <w:pStyle w:val="ListParagraph"/>
              <w:numPr>
                <w:ilvl w:val="0"/>
                <w:numId w:val="44"/>
              </w:numPr>
              <w:spacing w:before="60" w:after="60"/>
              <w:jc w:val="both"/>
              <w:rPr>
                <w:rFonts w:eastAsia="Calibri" w:cs="Arial"/>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D715CB" w14:textId="6581836B" w:rsidR="00D25CED" w:rsidRPr="007929F0" w:rsidRDefault="00915960" w:rsidP="006E3D85">
            <w:pPr>
              <w:spacing w:before="60" w:after="60"/>
              <w:ind w:left="137" w:right="141"/>
              <w:rPr>
                <w:rFonts w:eastAsia="Calibri" w:cs="Arial"/>
                <w:sz w:val="20"/>
                <w:lang w:val="en-US"/>
              </w:rPr>
            </w:pPr>
            <w:r>
              <w:rPr>
                <w:rFonts w:eastAsia="Calibri" w:cs="Arial"/>
                <w:sz w:val="20"/>
                <w:lang w:val="en-US"/>
              </w:rPr>
              <w:t>Valuation</w:t>
            </w:r>
            <w:r w:rsidR="008B6890">
              <w:rPr>
                <w:rFonts w:eastAsia="Calibri" w:cs="Arial"/>
                <w:sz w:val="20"/>
                <w:lang w:val="en-US"/>
              </w:rPr>
              <w:t xml:space="preserve"> methods and assumptions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6BC624" w14:textId="77777777" w:rsidR="00D25CED" w:rsidRDefault="00D25CED"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9D3229" w14:textId="249AD5D5" w:rsidR="00D25CED" w:rsidRDefault="008B6890" w:rsidP="007D7777">
            <w:pPr>
              <w:spacing w:before="60" w:after="60"/>
              <w:ind w:left="709" w:hanging="566"/>
              <w:jc w:val="both"/>
              <w:rPr>
                <w:rFonts w:cs="Arial"/>
                <w:bCs/>
                <w:sz w:val="20"/>
                <w:lang w:val="en-US"/>
              </w:rPr>
            </w:pPr>
            <w:r>
              <w:rPr>
                <w:rFonts w:cs="Arial"/>
                <w:bCs/>
                <w:sz w:val="20"/>
                <w:lang w:val="en-US"/>
              </w:rPr>
              <w:t>D1.2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9A3BFD" w14:textId="77777777" w:rsidR="00D25CED" w:rsidRPr="007E1F7B" w:rsidRDefault="00D25CED" w:rsidP="007D7777">
            <w:pPr>
              <w:spacing w:before="60" w:after="60"/>
              <w:ind w:left="709" w:hanging="709"/>
              <w:jc w:val="both"/>
              <w:rPr>
                <w:rFonts w:cs="Arial"/>
                <w:bCs/>
                <w:sz w:val="20"/>
                <w:lang w:val="en-US"/>
              </w:rPr>
            </w:pPr>
          </w:p>
        </w:tc>
      </w:tr>
      <w:tr w:rsidR="00AD6017" w:rsidRPr="00AD42B2" w14:paraId="55556B25" w14:textId="77777777" w:rsidTr="007A3F28">
        <w:trPr>
          <w:trHeight w:hRule="exact" w:val="891"/>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BD563A" w14:textId="189A2B35" w:rsidR="00AD6017" w:rsidRPr="00FF187D" w:rsidRDefault="00AD6017" w:rsidP="00FF187D">
            <w:pPr>
              <w:pStyle w:val="ListParagraph"/>
              <w:numPr>
                <w:ilvl w:val="0"/>
                <w:numId w:val="44"/>
              </w:numPr>
              <w:spacing w:before="60" w:after="60"/>
              <w:jc w:val="both"/>
              <w:rPr>
                <w:b/>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A1ED19" w14:textId="1A6BCDD7" w:rsidR="00AD6017" w:rsidRPr="007E1F7B" w:rsidRDefault="007C6C69" w:rsidP="006E3D85">
            <w:pPr>
              <w:spacing w:before="60" w:after="60"/>
              <w:ind w:left="137" w:right="141"/>
              <w:rPr>
                <w:rFonts w:eastAsia="Calibri" w:hAnsi="Calibri"/>
                <w:spacing w:val="-1"/>
                <w:sz w:val="20"/>
                <w:lang w:val="en-US"/>
              </w:rPr>
            </w:pPr>
            <w:r>
              <w:rPr>
                <w:rFonts w:eastAsia="Calibri" w:cs="Arial"/>
                <w:sz w:val="20"/>
                <w:lang w:val="en-US"/>
              </w:rPr>
              <w:t>Investment objectives and strategies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11C5DA"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E01A02" w14:textId="6F78469E" w:rsidR="00AD6017" w:rsidRPr="007E1F7B" w:rsidRDefault="001974DA" w:rsidP="007D7777">
            <w:pPr>
              <w:spacing w:before="60" w:after="60"/>
              <w:ind w:left="709" w:hanging="566"/>
              <w:jc w:val="both"/>
              <w:rPr>
                <w:rFonts w:cs="Arial"/>
                <w:bCs/>
                <w:sz w:val="20"/>
                <w:lang w:val="en-US"/>
              </w:rPr>
            </w:pPr>
            <w:r>
              <w:rPr>
                <w:rFonts w:eastAsia="Calibri" w:hAnsi="Calibri"/>
                <w:spacing w:val="-1"/>
                <w:sz w:val="20"/>
                <w:lang w:val="en-US"/>
              </w:rPr>
              <w:t>D</w:t>
            </w:r>
            <w:r w:rsidR="00642782">
              <w:rPr>
                <w:rFonts w:eastAsia="Calibri" w:hAnsi="Calibri"/>
                <w:spacing w:val="-1"/>
                <w:sz w:val="20"/>
                <w:lang w:val="en-US"/>
              </w:rPr>
              <w:t>1.1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528217" w14:textId="77777777" w:rsidR="00AD6017" w:rsidRPr="007E1F7B" w:rsidRDefault="00AD6017" w:rsidP="007D7777">
            <w:pPr>
              <w:spacing w:before="60" w:after="60"/>
              <w:ind w:left="709" w:hanging="709"/>
              <w:jc w:val="both"/>
              <w:rPr>
                <w:rFonts w:cs="Arial"/>
                <w:bCs/>
                <w:sz w:val="20"/>
                <w:lang w:val="en-US"/>
              </w:rPr>
            </w:pPr>
          </w:p>
        </w:tc>
      </w:tr>
      <w:tr w:rsidR="00AD6017" w:rsidRPr="00AD42B2" w14:paraId="214849C4" w14:textId="77777777" w:rsidTr="007A3F28">
        <w:trPr>
          <w:trHeight w:hRule="exact" w:val="562"/>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BE53B53" w14:textId="5494E4F8" w:rsidR="00AD6017" w:rsidRPr="007E1F7B" w:rsidRDefault="00FF187D" w:rsidP="00B64486">
            <w:pPr>
              <w:spacing w:before="60" w:after="60"/>
              <w:ind w:left="709" w:hanging="567"/>
              <w:jc w:val="both"/>
              <w:rPr>
                <w:b/>
                <w:spacing w:val="-1"/>
                <w:sz w:val="20"/>
              </w:rPr>
            </w:pPr>
            <w:r>
              <w:rPr>
                <w:rFonts w:cs="Arial"/>
                <w:b/>
                <w:bCs/>
                <w:sz w:val="20"/>
              </w:rPr>
              <w:t>7</w:t>
            </w:r>
            <w:r w:rsidR="00B64486">
              <w:rPr>
                <w:rFonts w:cs="Arial"/>
                <w:b/>
                <w:bCs/>
                <w:sz w:val="20"/>
              </w:rPr>
              <w:t>.3.3</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4219F25" w14:textId="1AC8B061" w:rsidR="00AD6017" w:rsidRPr="007E1F7B" w:rsidRDefault="00AD6017" w:rsidP="007D7777">
            <w:pPr>
              <w:spacing w:before="60" w:after="60"/>
              <w:ind w:left="137" w:right="141"/>
              <w:rPr>
                <w:rFonts w:eastAsia="Calibri" w:hAnsi="Calibri"/>
                <w:spacing w:val="-1"/>
                <w:sz w:val="20"/>
                <w:lang w:val="en-US"/>
              </w:rPr>
            </w:pPr>
            <w:r w:rsidRPr="007E1F7B">
              <w:rPr>
                <w:rFonts w:cs="Arial"/>
                <w:b/>
                <w:bCs/>
                <w:sz w:val="20"/>
              </w:rPr>
              <w:t>Investment risk exposure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68E3068F"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687F9E06" w14:textId="77777777" w:rsidR="00AD6017" w:rsidRPr="007E1F7B" w:rsidRDefault="00AD6017"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02DE329C" w14:textId="3CCF8B26" w:rsidR="00AD6017" w:rsidRPr="007E1F7B" w:rsidRDefault="00AD6017" w:rsidP="007D7777">
            <w:pPr>
              <w:spacing w:before="60" w:after="60"/>
              <w:ind w:left="709" w:hanging="709"/>
              <w:jc w:val="both"/>
              <w:rPr>
                <w:rFonts w:cs="Arial"/>
                <w:b/>
                <w:sz w:val="20"/>
                <w:lang w:val="en-US"/>
              </w:rPr>
            </w:pPr>
            <w:r w:rsidRPr="007E1F7B">
              <w:rPr>
                <w:rFonts w:cs="Arial"/>
                <w:b/>
                <w:sz w:val="20"/>
                <w:lang w:val="en-US"/>
              </w:rPr>
              <w:t>B</w:t>
            </w:r>
          </w:p>
        </w:tc>
      </w:tr>
      <w:tr w:rsidR="00AD6017" w:rsidRPr="00AD42B2" w14:paraId="2BE2A820" w14:textId="77777777" w:rsidTr="007A3F28">
        <w:trPr>
          <w:trHeight w:hRule="exact" w:val="786"/>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42956E" w14:textId="612849EE" w:rsidR="00AD6017" w:rsidRPr="00FF187D" w:rsidRDefault="00AD6017" w:rsidP="00FF187D">
            <w:pPr>
              <w:pStyle w:val="ListParagraph"/>
              <w:numPr>
                <w:ilvl w:val="0"/>
                <w:numId w:val="45"/>
              </w:numPr>
              <w:spacing w:before="60" w:after="60"/>
              <w:jc w:val="both"/>
              <w:rPr>
                <w:b/>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6B9AC4" w14:textId="0266A22C" w:rsidR="00AD6017" w:rsidRPr="007E1F7B" w:rsidRDefault="00744DD0" w:rsidP="0074623B">
            <w:pPr>
              <w:spacing w:before="60" w:after="60"/>
              <w:ind w:left="137" w:right="141"/>
              <w:jc w:val="both"/>
              <w:rPr>
                <w:rFonts w:eastAsia="Calibri" w:hAnsi="Calibri"/>
                <w:spacing w:val="-1"/>
                <w:sz w:val="20"/>
                <w:lang w:val="en-US"/>
              </w:rPr>
            </w:pPr>
            <w:r>
              <w:rPr>
                <w:rFonts w:eastAsia="Calibri" w:hAnsi="Calibri"/>
                <w:spacing w:val="-1"/>
                <w:sz w:val="20"/>
                <w:lang w:val="en-US"/>
              </w:rPr>
              <w:t>Qualitative information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5A2555" w14:textId="4776FAF4" w:rsidR="00AD6017" w:rsidRPr="004B446C" w:rsidRDefault="00AD6017" w:rsidP="004B446C">
            <w:pPr>
              <w:spacing w:before="60" w:after="60"/>
              <w:ind w:left="709" w:hanging="566"/>
              <w:jc w:val="both"/>
              <w:rPr>
                <w:rFonts w:cs="Arial"/>
                <w:bCs/>
                <w:sz w:val="20"/>
                <w:lang w:val="en-US"/>
              </w:rPr>
            </w:pPr>
          </w:p>
          <w:p w14:paraId="711D2A24"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E69839" w14:textId="1287F54B" w:rsidR="00AD6017" w:rsidRPr="007E1F7B" w:rsidRDefault="006D2814" w:rsidP="007D7777">
            <w:pPr>
              <w:spacing w:before="60" w:after="60"/>
              <w:ind w:left="709" w:hanging="566"/>
              <w:jc w:val="both"/>
              <w:rPr>
                <w:rFonts w:cs="Arial"/>
                <w:bCs/>
                <w:sz w:val="20"/>
                <w:lang w:val="en-US"/>
              </w:rPr>
            </w:pPr>
            <w:r>
              <w:rPr>
                <w:rFonts w:cs="Arial"/>
                <w:bCs/>
                <w:sz w:val="20"/>
                <w:lang w:val="en-US"/>
              </w:rPr>
              <w:t>D1.5</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6A80F9" w14:textId="77777777" w:rsidR="00AD6017" w:rsidRPr="007E1F7B" w:rsidRDefault="00AD6017" w:rsidP="007D7777">
            <w:pPr>
              <w:spacing w:before="60" w:after="60"/>
              <w:ind w:left="709" w:hanging="709"/>
              <w:jc w:val="both"/>
              <w:rPr>
                <w:rFonts w:cs="Arial"/>
                <w:bCs/>
                <w:sz w:val="20"/>
                <w:lang w:val="en-US"/>
              </w:rPr>
            </w:pPr>
          </w:p>
        </w:tc>
      </w:tr>
      <w:tr w:rsidR="00AD6017" w:rsidRPr="00AD42B2" w14:paraId="4746AB9F" w14:textId="77777777" w:rsidTr="007A3F28">
        <w:trPr>
          <w:trHeight w:hRule="exact" w:val="639"/>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875000" w14:textId="1AF23121" w:rsidR="00AD6017" w:rsidRPr="00FF187D" w:rsidRDefault="00AD6017" w:rsidP="00FF187D">
            <w:pPr>
              <w:pStyle w:val="ListParagraph"/>
              <w:numPr>
                <w:ilvl w:val="0"/>
                <w:numId w:val="45"/>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150ABC" w14:textId="2ADC3F51" w:rsidR="00AD6017" w:rsidRPr="007E1F7B" w:rsidRDefault="00744DD0" w:rsidP="0074623B">
            <w:pPr>
              <w:spacing w:before="60" w:after="60"/>
              <w:ind w:left="137" w:right="141"/>
              <w:jc w:val="both"/>
              <w:rPr>
                <w:rFonts w:eastAsia="Calibri" w:hAnsi="Calibri"/>
                <w:spacing w:val="-1"/>
                <w:sz w:val="20"/>
                <w:lang w:val="en-US"/>
              </w:rPr>
            </w:pPr>
            <w:r>
              <w:rPr>
                <w:rFonts w:eastAsia="Calibri" w:cs="Arial"/>
                <w:sz w:val="20"/>
                <w:lang w:val="en-US"/>
              </w:rPr>
              <w:t>Quantitative information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E4282A" w14:textId="07151EA8" w:rsidR="00AD6017" w:rsidRPr="004B446C" w:rsidRDefault="00AD6017" w:rsidP="004B446C">
            <w:pPr>
              <w:spacing w:before="60" w:after="60"/>
              <w:ind w:left="709" w:hanging="566"/>
              <w:jc w:val="both"/>
              <w:rPr>
                <w:rFonts w:cs="Arial"/>
                <w:bCs/>
                <w:sz w:val="20"/>
                <w:lang w:val="en-US"/>
              </w:rPr>
            </w:pPr>
            <w:r w:rsidRPr="004B446C">
              <w:rPr>
                <w:rFonts w:cs="Arial"/>
                <w:bCs/>
                <w:sz w:val="20"/>
                <w:lang w:val="en-US"/>
              </w:rPr>
              <w:t>SCR</w:t>
            </w:r>
            <w:r w:rsidR="00BA7505">
              <w:rPr>
                <w:rFonts w:cs="Arial"/>
                <w:bCs/>
                <w:sz w:val="20"/>
                <w:lang w:val="en-US"/>
              </w:rPr>
              <w:t>1</w:t>
            </w:r>
          </w:p>
          <w:p w14:paraId="27499628" w14:textId="77777777" w:rsidR="00AD6017" w:rsidRPr="007E1F7B" w:rsidRDefault="00AD6017" w:rsidP="004B446C">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12376D" w14:textId="77777777" w:rsidR="00AD6017" w:rsidRPr="007E1F7B" w:rsidRDefault="00AD6017" w:rsidP="004B446C">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E52198" w14:textId="77777777" w:rsidR="00AD6017" w:rsidRPr="007E1F7B" w:rsidRDefault="00AD6017" w:rsidP="007D7777">
            <w:pPr>
              <w:spacing w:before="60" w:after="60"/>
              <w:ind w:left="709" w:hanging="709"/>
              <w:jc w:val="both"/>
              <w:rPr>
                <w:rFonts w:cs="Arial"/>
                <w:bCs/>
                <w:sz w:val="20"/>
                <w:lang w:val="en-US"/>
              </w:rPr>
            </w:pPr>
          </w:p>
        </w:tc>
      </w:tr>
      <w:tr w:rsidR="00AD6017" w:rsidRPr="00AD42B2" w14:paraId="1FA6DC1F" w14:textId="77777777" w:rsidTr="007A3F28">
        <w:trPr>
          <w:trHeight w:hRule="exact" w:val="725"/>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219ADFF" w14:textId="0D5391AD" w:rsidR="00AD6017" w:rsidRPr="007E1F7B" w:rsidRDefault="00FF187D" w:rsidP="007D7777">
            <w:pPr>
              <w:spacing w:before="60" w:after="60"/>
              <w:ind w:left="709" w:hanging="567"/>
              <w:jc w:val="both"/>
              <w:rPr>
                <w:b/>
                <w:spacing w:val="-1"/>
                <w:sz w:val="20"/>
              </w:rPr>
            </w:pPr>
            <w:r>
              <w:rPr>
                <w:rFonts w:cs="Arial"/>
                <w:b/>
                <w:bCs/>
                <w:sz w:val="20"/>
              </w:rPr>
              <w:t>7</w:t>
            </w:r>
            <w:r w:rsidR="00836304">
              <w:rPr>
                <w:rFonts w:cs="Arial"/>
                <w:b/>
                <w:bCs/>
                <w:sz w:val="20"/>
              </w:rPr>
              <w:t>.3.4</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E34D936" w14:textId="0EE2D106" w:rsidR="00AD6017" w:rsidRPr="007E1F7B" w:rsidRDefault="00AD6017" w:rsidP="007D7777">
            <w:pPr>
              <w:spacing w:before="60" w:after="60"/>
              <w:ind w:left="137" w:right="141"/>
              <w:rPr>
                <w:rFonts w:eastAsia="Calibri" w:hAnsi="Calibri"/>
                <w:spacing w:val="-1"/>
                <w:sz w:val="20"/>
                <w:lang w:val="en-US"/>
              </w:rPr>
            </w:pPr>
            <w:r w:rsidRPr="007E1F7B">
              <w:rPr>
                <w:rFonts w:cs="Arial"/>
                <w:b/>
                <w:bCs/>
                <w:sz w:val="20"/>
              </w:rPr>
              <w:t>Asset and liability management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4C7DFB0E"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8152D77" w14:textId="77777777" w:rsidR="00AD6017" w:rsidRPr="007E1F7B" w:rsidRDefault="00AD6017"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F7DFEDA" w14:textId="504C6A4B" w:rsidR="00AD6017" w:rsidRPr="007E1F7B" w:rsidRDefault="00AD6017" w:rsidP="007D7777">
            <w:pPr>
              <w:spacing w:before="60" w:after="60"/>
              <w:ind w:left="709" w:hanging="709"/>
              <w:jc w:val="both"/>
              <w:rPr>
                <w:rFonts w:cs="Arial"/>
                <w:b/>
                <w:sz w:val="20"/>
                <w:lang w:val="en-US"/>
              </w:rPr>
            </w:pPr>
            <w:r w:rsidRPr="007E1F7B">
              <w:rPr>
                <w:rFonts w:cs="Arial"/>
                <w:b/>
                <w:sz w:val="20"/>
                <w:lang w:val="en-US"/>
              </w:rPr>
              <w:t>B</w:t>
            </w:r>
          </w:p>
        </w:tc>
      </w:tr>
      <w:tr w:rsidR="00AD6017" w:rsidRPr="00AD42B2" w14:paraId="2420373C" w14:textId="77777777" w:rsidTr="00D34BAC">
        <w:trPr>
          <w:trHeight w:hRule="exact" w:val="943"/>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34C1D6" w14:textId="41A12CA9" w:rsidR="00AD6017" w:rsidRPr="00FF187D" w:rsidRDefault="00AD6017" w:rsidP="00FF187D">
            <w:pPr>
              <w:pStyle w:val="ListParagraph"/>
              <w:numPr>
                <w:ilvl w:val="0"/>
                <w:numId w:val="46"/>
              </w:numPr>
              <w:spacing w:before="60" w:after="60"/>
              <w:jc w:val="both"/>
              <w:rPr>
                <w:rFonts w:eastAsia="Calibri" w:cs="Arial"/>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FD02A9" w14:textId="0A3D82C5" w:rsidR="00AD6017" w:rsidRPr="00017081" w:rsidRDefault="008D3203" w:rsidP="006E3D85">
            <w:pPr>
              <w:spacing w:before="60" w:after="60"/>
              <w:ind w:left="137" w:right="141"/>
              <w:rPr>
                <w:rFonts w:eastAsia="Calibri" w:cs="Arial"/>
                <w:spacing w:val="-1"/>
                <w:sz w:val="20"/>
                <w:lang w:val="en-US"/>
              </w:rPr>
            </w:pPr>
            <w:r w:rsidRPr="008D3203">
              <w:rPr>
                <w:rFonts w:eastAsia="Calibri" w:cs="Arial"/>
                <w:spacing w:val="-1"/>
                <w:sz w:val="20"/>
                <w:lang w:val="en-US"/>
              </w:rPr>
              <w:t>A</w:t>
            </w:r>
            <w:r>
              <w:rPr>
                <w:rFonts w:eastAsia="Calibri" w:cs="Arial"/>
                <w:spacing w:val="-1"/>
                <w:sz w:val="20"/>
                <w:lang w:val="en-US"/>
              </w:rPr>
              <w:t xml:space="preserve">sset and </w:t>
            </w:r>
            <w:r w:rsidR="00CB32E4">
              <w:rPr>
                <w:rFonts w:eastAsia="Calibri" w:cs="Arial"/>
                <w:spacing w:val="-1"/>
                <w:sz w:val="20"/>
                <w:lang w:val="en-US"/>
              </w:rPr>
              <w:t>l</w:t>
            </w:r>
            <w:r>
              <w:rPr>
                <w:rFonts w:eastAsia="Calibri" w:cs="Arial"/>
                <w:spacing w:val="-1"/>
                <w:sz w:val="20"/>
                <w:lang w:val="en-US"/>
              </w:rPr>
              <w:t xml:space="preserve">iability </w:t>
            </w:r>
            <w:r w:rsidR="00CB32E4">
              <w:rPr>
                <w:rFonts w:eastAsia="Calibri" w:cs="Arial"/>
                <w:spacing w:val="-1"/>
                <w:sz w:val="20"/>
                <w:lang w:val="en-US"/>
              </w:rPr>
              <w:t>m</w:t>
            </w:r>
            <w:r>
              <w:rPr>
                <w:rFonts w:eastAsia="Calibri" w:cs="Arial"/>
                <w:spacing w:val="-1"/>
                <w:sz w:val="20"/>
                <w:lang w:val="en-US"/>
              </w:rPr>
              <w:t>anagement (ALM)</w:t>
            </w:r>
            <w:r w:rsidRPr="008D3203">
              <w:rPr>
                <w:rFonts w:eastAsia="Calibri" w:cs="Arial"/>
                <w:spacing w:val="-1"/>
                <w:sz w:val="20"/>
                <w:lang w:val="en-US"/>
              </w:rPr>
              <w:t xml:space="preserve"> objectives and policies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5BF805" w14:textId="01379045" w:rsidR="00AD6017" w:rsidRPr="007E1F7B" w:rsidRDefault="00AD6017" w:rsidP="007D7777">
            <w:pPr>
              <w:spacing w:before="60" w:after="60"/>
              <w:ind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469D93" w14:textId="0ADDD784" w:rsidR="005E5E21" w:rsidRPr="007E1F7B" w:rsidRDefault="005E5E21" w:rsidP="00D34BAC">
            <w:pPr>
              <w:spacing w:before="60" w:after="60"/>
              <w:ind w:left="709" w:hanging="566"/>
              <w:jc w:val="both"/>
              <w:rPr>
                <w:rFonts w:eastAsia="Calibri" w:cs="Arial"/>
                <w:sz w:val="20"/>
                <w:lang w:val="en-US"/>
              </w:rPr>
            </w:pPr>
            <w:r>
              <w:rPr>
                <w:rFonts w:eastAsia="Calibri" w:cs="Arial"/>
                <w:sz w:val="20"/>
                <w:lang w:val="en-US"/>
              </w:rPr>
              <w:t>D1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17EE5E" w14:textId="77777777" w:rsidR="00AD6017" w:rsidRPr="007E1F7B" w:rsidRDefault="00AD6017" w:rsidP="007D7777">
            <w:pPr>
              <w:spacing w:before="60" w:after="60"/>
              <w:ind w:left="709" w:hanging="709"/>
              <w:jc w:val="both"/>
              <w:rPr>
                <w:rFonts w:cs="Arial"/>
                <w:bCs/>
                <w:sz w:val="20"/>
                <w:lang w:val="en-US"/>
              </w:rPr>
            </w:pPr>
          </w:p>
        </w:tc>
      </w:tr>
      <w:tr w:rsidR="00AD6017" w:rsidRPr="00AD42B2" w14:paraId="32262A11" w14:textId="77777777" w:rsidTr="007A3F28">
        <w:trPr>
          <w:trHeight w:hRule="exact" w:val="569"/>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58B776" w14:textId="7193D031" w:rsidR="00AD6017" w:rsidRPr="00FF187D" w:rsidRDefault="00AD6017" w:rsidP="00FF187D">
            <w:pPr>
              <w:pStyle w:val="ListParagraph"/>
              <w:numPr>
                <w:ilvl w:val="0"/>
                <w:numId w:val="46"/>
              </w:numPr>
              <w:spacing w:before="60" w:after="60"/>
              <w:jc w:val="both"/>
              <w:rPr>
                <w:b/>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82D313" w14:textId="3C71616E" w:rsidR="00AD6017" w:rsidRPr="00017081" w:rsidRDefault="00AD6017" w:rsidP="0074623B">
            <w:pPr>
              <w:spacing w:before="60" w:after="60"/>
              <w:ind w:left="137" w:right="141"/>
              <w:jc w:val="both"/>
              <w:rPr>
                <w:rFonts w:eastAsia="Calibri" w:cs="Arial"/>
                <w:spacing w:val="-1"/>
                <w:sz w:val="20"/>
                <w:lang w:val="en-US"/>
              </w:rPr>
            </w:pPr>
            <w:r w:rsidRPr="00017081">
              <w:rPr>
                <w:rFonts w:eastAsia="Calibri" w:cs="Arial"/>
                <w:spacing w:val="-1"/>
                <w:sz w:val="20"/>
                <w:lang w:val="en-US"/>
              </w:rPr>
              <w:t>Methodology</w:t>
            </w:r>
            <w:r w:rsidRPr="00017081">
              <w:rPr>
                <w:rFonts w:eastAsia="Calibri" w:cs="Arial"/>
                <w:spacing w:val="12"/>
                <w:sz w:val="20"/>
                <w:lang w:val="en-US"/>
              </w:rPr>
              <w:t xml:space="preserve"> </w:t>
            </w:r>
            <w:r w:rsidRPr="00017081">
              <w:rPr>
                <w:rFonts w:eastAsia="Calibri" w:cs="Arial"/>
                <w:sz w:val="20"/>
                <w:lang w:val="en-US"/>
              </w:rPr>
              <w:t>used</w:t>
            </w:r>
            <w:r w:rsidRPr="00017081">
              <w:rPr>
                <w:rFonts w:eastAsia="Calibri" w:cs="Arial"/>
                <w:spacing w:val="15"/>
                <w:sz w:val="20"/>
                <w:lang w:val="en-US"/>
              </w:rPr>
              <w:t xml:space="preserve"> </w:t>
            </w:r>
            <w:r w:rsidRPr="00017081">
              <w:rPr>
                <w:rFonts w:eastAsia="Calibri" w:cs="Arial"/>
                <w:spacing w:val="-2"/>
                <w:sz w:val="20"/>
                <w:lang w:val="en-US"/>
              </w:rPr>
              <w:t>and</w:t>
            </w:r>
            <w:r w:rsidRPr="00017081">
              <w:rPr>
                <w:rFonts w:eastAsia="Calibri" w:cs="Arial"/>
                <w:spacing w:val="15"/>
                <w:sz w:val="20"/>
                <w:lang w:val="en-US"/>
              </w:rPr>
              <w:t xml:space="preserve"> </w:t>
            </w:r>
            <w:r w:rsidRPr="00017081">
              <w:rPr>
                <w:rFonts w:eastAsia="Calibri" w:cs="Arial"/>
                <w:spacing w:val="-1"/>
                <w:sz w:val="20"/>
                <w:lang w:val="en-US"/>
              </w:rPr>
              <w:t>the</w:t>
            </w:r>
            <w:r w:rsidRPr="00017081">
              <w:rPr>
                <w:rFonts w:eastAsia="Calibri" w:cs="Arial"/>
                <w:spacing w:val="15"/>
                <w:sz w:val="20"/>
                <w:lang w:val="en-US"/>
              </w:rPr>
              <w:t xml:space="preserve"> </w:t>
            </w:r>
            <w:r w:rsidRPr="00017081">
              <w:rPr>
                <w:rFonts w:eastAsia="Calibri" w:cs="Arial"/>
                <w:sz w:val="20"/>
                <w:lang w:val="en-US"/>
              </w:rPr>
              <w:t>key</w:t>
            </w:r>
            <w:r w:rsidRPr="00017081">
              <w:rPr>
                <w:rFonts w:eastAsia="Calibri" w:cs="Arial"/>
                <w:spacing w:val="29"/>
                <w:sz w:val="20"/>
                <w:lang w:val="en-US"/>
              </w:rPr>
              <w:t xml:space="preserve"> </w:t>
            </w:r>
            <w:r w:rsidRPr="00017081">
              <w:rPr>
                <w:rFonts w:eastAsia="Calibri" w:cs="Arial"/>
                <w:spacing w:val="-1"/>
                <w:sz w:val="20"/>
                <w:lang w:val="en-US"/>
              </w:rPr>
              <w:t>assumptions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E87C5B"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F7A3F1" w14:textId="56456A3C" w:rsidR="00AD6017" w:rsidRPr="007E1F7B" w:rsidRDefault="00AD6017" w:rsidP="007D7777">
            <w:pPr>
              <w:spacing w:before="60" w:after="60"/>
              <w:ind w:left="709" w:hanging="566"/>
              <w:jc w:val="both"/>
              <w:rPr>
                <w:rFonts w:cs="Arial"/>
                <w:bCs/>
                <w:sz w:val="20"/>
                <w:lang w:val="en-US"/>
              </w:rPr>
            </w:pPr>
            <w:r w:rsidRPr="007E1F7B">
              <w:rPr>
                <w:rFonts w:eastAsia="Calibri" w:cs="Arial"/>
                <w:sz w:val="20"/>
                <w:lang w:val="en-US"/>
              </w:rPr>
              <w:t>D1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59628A" w14:textId="77777777" w:rsidR="00AD6017" w:rsidRPr="007E1F7B" w:rsidRDefault="00AD6017" w:rsidP="007D7777">
            <w:pPr>
              <w:spacing w:before="60" w:after="60"/>
              <w:ind w:left="709" w:hanging="709"/>
              <w:jc w:val="both"/>
              <w:rPr>
                <w:rFonts w:cs="Arial"/>
                <w:bCs/>
                <w:sz w:val="20"/>
                <w:lang w:val="en-US"/>
              </w:rPr>
            </w:pPr>
          </w:p>
        </w:tc>
      </w:tr>
      <w:tr w:rsidR="00AD6017" w:rsidRPr="00AD42B2" w14:paraId="0F910A73" w14:textId="77777777" w:rsidTr="007A3F28">
        <w:trPr>
          <w:trHeight w:hRule="exact" w:val="637"/>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289129" w14:textId="12B7E667" w:rsidR="00AD6017" w:rsidRPr="00FF187D" w:rsidRDefault="00AD6017" w:rsidP="00FF187D">
            <w:pPr>
              <w:pStyle w:val="ListParagraph"/>
              <w:numPr>
                <w:ilvl w:val="0"/>
                <w:numId w:val="46"/>
              </w:numPr>
              <w:spacing w:before="60" w:after="60"/>
              <w:jc w:val="both"/>
              <w:rPr>
                <w:b/>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55BA92" w14:textId="6F30E5F7" w:rsidR="00AD6017" w:rsidRPr="00C54149" w:rsidRDefault="00AD6017" w:rsidP="0074623B">
            <w:pPr>
              <w:spacing w:before="60" w:after="60"/>
              <w:ind w:left="137" w:right="141"/>
              <w:jc w:val="both"/>
              <w:rPr>
                <w:rFonts w:eastAsia="Calibri"/>
                <w:sz w:val="20"/>
              </w:rPr>
            </w:pPr>
            <w:r w:rsidRPr="00D06640">
              <w:rPr>
                <w:rFonts w:eastAsia="Calibri"/>
                <w:sz w:val="20"/>
              </w:rPr>
              <w:t>Management of assets and liabilities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E34370"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EF5B4" w14:textId="68E3E34B" w:rsidR="00AD6017" w:rsidRPr="007E1F7B" w:rsidRDefault="00AD6017" w:rsidP="007D7777">
            <w:pPr>
              <w:spacing w:before="60" w:after="60"/>
              <w:ind w:left="709" w:hanging="566"/>
              <w:jc w:val="both"/>
              <w:rPr>
                <w:rFonts w:cs="Arial"/>
                <w:bCs/>
                <w:sz w:val="20"/>
                <w:lang w:val="en-US"/>
              </w:rPr>
            </w:pPr>
            <w:r w:rsidRPr="007E1F7B">
              <w:rPr>
                <w:rFonts w:eastAsia="Calibri" w:cs="Arial"/>
                <w:sz w:val="20"/>
                <w:lang w:val="en-US"/>
              </w:rPr>
              <w:t>D1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44E850" w14:textId="77777777" w:rsidR="00AD6017" w:rsidRPr="007E1F7B" w:rsidRDefault="00AD6017" w:rsidP="007D7777">
            <w:pPr>
              <w:spacing w:before="60" w:after="60"/>
              <w:ind w:left="709" w:hanging="709"/>
              <w:jc w:val="both"/>
              <w:rPr>
                <w:rFonts w:cs="Arial"/>
                <w:bCs/>
                <w:sz w:val="20"/>
                <w:lang w:val="en-US"/>
              </w:rPr>
            </w:pPr>
          </w:p>
        </w:tc>
      </w:tr>
      <w:tr w:rsidR="00AD6017" w:rsidRPr="00AD42B2" w14:paraId="6BC427CA" w14:textId="77777777" w:rsidTr="007A3F28">
        <w:trPr>
          <w:trHeight w:hRule="exact" w:val="438"/>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5734CF9" w14:textId="0526ECF1" w:rsidR="00AD6017" w:rsidRPr="00563C58" w:rsidRDefault="00FF187D" w:rsidP="007D7777">
            <w:pPr>
              <w:spacing w:before="60" w:after="60"/>
              <w:ind w:left="709" w:hanging="567"/>
              <w:jc w:val="both"/>
              <w:rPr>
                <w:rFonts w:eastAsia="Calibri" w:cs="Arial"/>
                <w:b/>
                <w:bCs/>
                <w:sz w:val="20"/>
                <w:lang w:val="en-US"/>
              </w:rPr>
            </w:pPr>
            <w:r>
              <w:rPr>
                <w:b/>
                <w:bCs/>
                <w:sz w:val="20"/>
              </w:rPr>
              <w:t>7</w:t>
            </w:r>
            <w:r w:rsidR="006331C4">
              <w:rPr>
                <w:b/>
                <w:bCs/>
                <w:sz w:val="20"/>
              </w:rPr>
              <w:t>.3.5</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535CBBBB" w14:textId="789ECF18" w:rsidR="00AD6017" w:rsidRPr="00563C58" w:rsidRDefault="00AD6017" w:rsidP="007D7777">
            <w:pPr>
              <w:spacing w:before="60" w:after="60"/>
              <w:ind w:left="137" w:right="141"/>
              <w:rPr>
                <w:rFonts w:eastAsia="Calibri" w:cs="Arial"/>
                <w:b/>
                <w:bCs/>
                <w:sz w:val="20"/>
                <w:lang w:val="en-US"/>
              </w:rPr>
            </w:pPr>
            <w:r w:rsidRPr="00563C58">
              <w:rPr>
                <w:rFonts w:eastAsia="Calibri" w:cs="Arial"/>
                <w:b/>
                <w:bCs/>
                <w:sz w:val="20"/>
                <w:lang w:val="en-US"/>
              </w:rPr>
              <w:t>Liquidity risk</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79AD585" w14:textId="77777777" w:rsidR="00AD6017" w:rsidRPr="00563C58" w:rsidRDefault="00AD6017" w:rsidP="007D7777">
            <w:pPr>
              <w:spacing w:before="60" w:after="60"/>
              <w:ind w:left="709" w:hanging="566"/>
              <w:jc w:val="both"/>
              <w:rPr>
                <w:rFonts w:cs="Arial"/>
                <w:b/>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9FE07F6" w14:textId="77777777" w:rsidR="00AD6017" w:rsidRPr="00563C58" w:rsidRDefault="00AD6017" w:rsidP="007D7777">
            <w:pPr>
              <w:spacing w:before="60" w:after="60"/>
              <w:ind w:left="709" w:hanging="566"/>
              <w:jc w:val="both"/>
              <w:rPr>
                <w:rFonts w:eastAsia="Calibri" w:cs="Arial"/>
                <w:b/>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1844E7F" w14:textId="7D14710B" w:rsidR="00AD6017" w:rsidRPr="00563C58" w:rsidRDefault="00541688" w:rsidP="007D7777">
            <w:pPr>
              <w:spacing w:before="60" w:after="60"/>
              <w:ind w:left="709" w:hanging="709"/>
              <w:jc w:val="both"/>
              <w:rPr>
                <w:rFonts w:cs="Arial"/>
                <w:b/>
                <w:bCs/>
                <w:sz w:val="20"/>
                <w:lang w:val="en-US"/>
              </w:rPr>
            </w:pPr>
            <w:r w:rsidRPr="00563C58">
              <w:rPr>
                <w:rFonts w:cs="Arial"/>
                <w:b/>
                <w:bCs/>
                <w:sz w:val="20"/>
                <w:lang w:val="en-US"/>
              </w:rPr>
              <w:t>B</w:t>
            </w:r>
          </w:p>
        </w:tc>
      </w:tr>
      <w:tr w:rsidR="00AD6017" w:rsidRPr="00AD42B2" w14:paraId="3B0E3147" w14:textId="77777777" w:rsidTr="007A3F28">
        <w:trPr>
          <w:trHeight w:hRule="exact" w:val="758"/>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45C1CF" w14:textId="03CAED93" w:rsidR="00AD6017" w:rsidRPr="00FF187D" w:rsidRDefault="00AD6017" w:rsidP="00FF187D">
            <w:pPr>
              <w:pStyle w:val="ListParagraph"/>
              <w:numPr>
                <w:ilvl w:val="0"/>
                <w:numId w:val="47"/>
              </w:numPr>
              <w:spacing w:before="60" w:after="60"/>
              <w:jc w:val="both"/>
              <w:rPr>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2902A2" w14:textId="45F97AFA" w:rsidR="00AD6017" w:rsidRPr="00017081" w:rsidRDefault="00DE2BFA" w:rsidP="0074623B">
            <w:pPr>
              <w:spacing w:before="60" w:after="60"/>
              <w:ind w:left="137" w:right="141"/>
              <w:jc w:val="both"/>
              <w:rPr>
                <w:rFonts w:eastAsia="Calibri" w:cs="Arial"/>
                <w:sz w:val="20"/>
                <w:lang w:val="en-US"/>
              </w:rPr>
            </w:pPr>
            <w:r w:rsidRPr="00DE2BFA">
              <w:rPr>
                <w:rFonts w:eastAsia="Calibri" w:cs="Arial"/>
                <w:sz w:val="20"/>
              </w:rPr>
              <w:t>Nature and sources of liquidity risk</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56D1FF" w14:textId="37CB473B" w:rsidR="00AD6017" w:rsidRPr="007E1F7B" w:rsidRDefault="00AD6017" w:rsidP="007D7777">
            <w:pPr>
              <w:spacing w:before="60" w:after="60"/>
              <w:ind w:left="709" w:hanging="566"/>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C318FA" w14:textId="67CE1AD8" w:rsidR="00AD6017" w:rsidRPr="007E1F7B" w:rsidRDefault="00997FC8" w:rsidP="007D7777">
            <w:pPr>
              <w:spacing w:before="60" w:after="60"/>
              <w:ind w:left="709" w:hanging="566"/>
              <w:jc w:val="both"/>
              <w:rPr>
                <w:rFonts w:eastAsia="Calibri" w:cs="Arial"/>
                <w:sz w:val="20"/>
                <w:lang w:val="en-US"/>
              </w:rPr>
            </w:pPr>
            <w:r>
              <w:rPr>
                <w:rFonts w:eastAsia="Calibri" w:cs="Arial"/>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A1F3AF" w14:textId="77777777" w:rsidR="00AD6017" w:rsidRPr="007E1F7B" w:rsidRDefault="00AD6017" w:rsidP="007D7777">
            <w:pPr>
              <w:spacing w:before="60" w:after="60"/>
              <w:ind w:left="709" w:hanging="709"/>
              <w:jc w:val="both"/>
              <w:rPr>
                <w:rFonts w:cs="Arial"/>
                <w:bCs/>
                <w:sz w:val="20"/>
                <w:lang w:val="en-US"/>
              </w:rPr>
            </w:pPr>
          </w:p>
        </w:tc>
      </w:tr>
      <w:tr w:rsidR="00DE2BFA" w:rsidRPr="00AD42B2" w14:paraId="793FDF26" w14:textId="77777777" w:rsidTr="007A3F28">
        <w:trPr>
          <w:trHeight w:hRule="exact" w:val="713"/>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52D1CC" w14:textId="6AA0D3FA" w:rsidR="00DE2BFA" w:rsidRPr="00FF187D" w:rsidRDefault="00DE2BFA" w:rsidP="00FF187D">
            <w:pPr>
              <w:pStyle w:val="ListParagraph"/>
              <w:numPr>
                <w:ilvl w:val="0"/>
                <w:numId w:val="47"/>
              </w:numPr>
              <w:spacing w:before="60" w:after="60"/>
              <w:jc w:val="both"/>
              <w:rPr>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475B6B" w14:textId="0DB19011" w:rsidR="00DE2BFA" w:rsidRPr="00DE2BFA" w:rsidRDefault="0046044E" w:rsidP="0074623B">
            <w:pPr>
              <w:spacing w:before="60" w:after="60"/>
              <w:ind w:left="137" w:right="141"/>
              <w:jc w:val="both"/>
              <w:rPr>
                <w:rFonts w:eastAsia="Calibri" w:cs="Arial"/>
                <w:sz w:val="20"/>
              </w:rPr>
            </w:pPr>
            <w:r w:rsidRPr="0046044E">
              <w:rPr>
                <w:rFonts w:eastAsia="Calibri" w:cs="Arial"/>
                <w:sz w:val="20"/>
              </w:rPr>
              <w:t>Liquidity risk management framework</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B0FAE" w14:textId="6D4B633E" w:rsidR="00DE2BFA" w:rsidRDefault="00DE2BFA" w:rsidP="007D7777">
            <w:pPr>
              <w:spacing w:before="60" w:after="60"/>
              <w:ind w:left="709" w:hanging="566"/>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E57122" w14:textId="6143EBFA" w:rsidR="00DE2BFA" w:rsidRPr="007E1F7B" w:rsidRDefault="00F6193E" w:rsidP="007D7777">
            <w:pPr>
              <w:spacing w:before="60" w:after="60"/>
              <w:ind w:left="709" w:hanging="566"/>
              <w:jc w:val="both"/>
              <w:rPr>
                <w:rFonts w:eastAsia="Calibri" w:cs="Arial"/>
                <w:sz w:val="20"/>
                <w:lang w:val="en-US"/>
              </w:rPr>
            </w:pPr>
            <w:r>
              <w:rPr>
                <w:rFonts w:eastAsia="Calibri" w:cs="Arial"/>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206E8" w14:textId="77777777" w:rsidR="00DE2BFA" w:rsidRPr="007E1F7B" w:rsidRDefault="00DE2BFA" w:rsidP="007D7777">
            <w:pPr>
              <w:spacing w:before="60" w:after="60"/>
              <w:ind w:left="709" w:hanging="709"/>
              <w:jc w:val="both"/>
              <w:rPr>
                <w:rFonts w:cs="Arial"/>
                <w:bCs/>
                <w:sz w:val="20"/>
                <w:lang w:val="en-US"/>
              </w:rPr>
            </w:pPr>
          </w:p>
        </w:tc>
      </w:tr>
      <w:tr w:rsidR="00AD6017" w:rsidRPr="00AD42B2" w14:paraId="7060205C" w14:textId="77777777" w:rsidTr="007A3F28">
        <w:trPr>
          <w:trHeight w:hRule="exact" w:val="850"/>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FCF8C" w14:textId="04279D2E" w:rsidR="00AD6017" w:rsidRPr="00EC0B60" w:rsidRDefault="00AD6017" w:rsidP="00CA544A">
            <w:pPr>
              <w:pStyle w:val="ListParagraph"/>
              <w:numPr>
                <w:ilvl w:val="0"/>
                <w:numId w:val="47"/>
              </w:numPr>
              <w:spacing w:before="60" w:after="60"/>
              <w:jc w:val="both"/>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BA38B4" w14:textId="4D971583" w:rsidR="00AD6017" w:rsidRPr="00017081" w:rsidRDefault="00506F48" w:rsidP="006E3D85">
            <w:pPr>
              <w:spacing w:before="60" w:after="60"/>
              <w:ind w:left="137" w:right="141"/>
              <w:rPr>
                <w:rFonts w:eastAsia="Calibri" w:cs="Arial"/>
                <w:sz w:val="20"/>
                <w:lang w:val="en-US"/>
              </w:rPr>
            </w:pPr>
            <w:r w:rsidRPr="00506F48">
              <w:rPr>
                <w:rFonts w:eastAsia="Calibri" w:cs="Arial"/>
                <w:sz w:val="20"/>
              </w:rPr>
              <w:t>Trends, significant commitments and foreseeable events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1E1B33" w14:textId="002B3F08" w:rsidR="00AD6017" w:rsidRPr="007E1F7B" w:rsidRDefault="00AD6017" w:rsidP="007D7777">
            <w:pPr>
              <w:spacing w:before="60" w:after="60"/>
              <w:ind w:left="709" w:hanging="566"/>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0623C8" w14:textId="70EC8911" w:rsidR="00AD6017" w:rsidRPr="007E1F7B" w:rsidRDefault="00F6193E" w:rsidP="007D7777">
            <w:pPr>
              <w:spacing w:before="60" w:after="60"/>
              <w:ind w:left="709" w:hanging="566"/>
              <w:jc w:val="both"/>
              <w:rPr>
                <w:rFonts w:eastAsia="Calibri" w:cs="Arial"/>
                <w:sz w:val="20"/>
                <w:lang w:val="en-US"/>
              </w:rPr>
            </w:pPr>
            <w:r>
              <w:rPr>
                <w:rFonts w:eastAsia="Calibri" w:cs="Arial"/>
                <w:sz w:val="20"/>
                <w:lang w:val="en-US"/>
              </w:rPr>
              <w:t>F2</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978899" w14:textId="77777777" w:rsidR="00AD6017" w:rsidRPr="007E1F7B" w:rsidRDefault="00AD6017" w:rsidP="007D7777">
            <w:pPr>
              <w:spacing w:before="60" w:after="60"/>
              <w:ind w:left="709" w:hanging="709"/>
              <w:jc w:val="both"/>
              <w:rPr>
                <w:rFonts w:cs="Arial"/>
                <w:bCs/>
                <w:sz w:val="20"/>
                <w:lang w:val="en-US"/>
              </w:rPr>
            </w:pPr>
          </w:p>
        </w:tc>
      </w:tr>
      <w:tr w:rsidR="00AD6017" w:rsidRPr="00AD42B2" w14:paraId="5EA9AAE1" w14:textId="77777777" w:rsidTr="007A3F28">
        <w:trPr>
          <w:trHeight w:hRule="exact" w:val="427"/>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444531DE" w14:textId="5C7EAB1A" w:rsidR="00AD6017" w:rsidRPr="007E1F7B" w:rsidRDefault="009E3341" w:rsidP="0046044E">
            <w:pPr>
              <w:spacing w:before="60" w:after="60"/>
              <w:ind w:left="709" w:hanging="567"/>
              <w:jc w:val="both"/>
              <w:rPr>
                <w:b/>
                <w:spacing w:val="-1"/>
                <w:sz w:val="20"/>
              </w:rPr>
            </w:pPr>
            <w:r>
              <w:rPr>
                <w:b/>
                <w:spacing w:val="-1"/>
                <w:sz w:val="20"/>
              </w:rPr>
              <w:t>7</w:t>
            </w:r>
            <w:r w:rsidR="00C6090A">
              <w:rPr>
                <w:b/>
                <w:spacing w:val="-1"/>
                <w:sz w:val="20"/>
              </w:rPr>
              <w:t>.3.6</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2D96FC93" w14:textId="646307A8" w:rsidR="00AD6017" w:rsidRPr="007E1F7B" w:rsidRDefault="00AD6017" w:rsidP="007D7777">
            <w:pPr>
              <w:spacing w:before="60" w:after="60"/>
              <w:ind w:left="137" w:right="141"/>
              <w:rPr>
                <w:rFonts w:eastAsia="Calibri" w:hAnsi="Calibri"/>
                <w:spacing w:val="-1"/>
                <w:sz w:val="20"/>
                <w:lang w:val="en-US"/>
              </w:rPr>
            </w:pPr>
            <w:r w:rsidRPr="007E1F7B">
              <w:rPr>
                <w:rFonts w:cs="Arial"/>
                <w:b/>
                <w:bCs/>
                <w:sz w:val="20"/>
              </w:rPr>
              <w:t>Capital adequacy</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14644E99"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67280A16" w14:textId="77777777" w:rsidR="00AD6017" w:rsidRPr="007E1F7B" w:rsidRDefault="00AD6017"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0617EB47" w14:textId="040F18A8" w:rsidR="00AD6017" w:rsidRPr="007E1F7B" w:rsidRDefault="00AD6017" w:rsidP="007D7777">
            <w:pPr>
              <w:spacing w:before="60" w:after="60"/>
              <w:ind w:left="709" w:hanging="709"/>
              <w:jc w:val="both"/>
              <w:rPr>
                <w:rFonts w:cs="Arial"/>
                <w:b/>
                <w:sz w:val="20"/>
                <w:lang w:val="en-US"/>
              </w:rPr>
            </w:pPr>
            <w:r w:rsidRPr="007E1F7B">
              <w:rPr>
                <w:rFonts w:cs="Arial"/>
                <w:b/>
                <w:sz w:val="20"/>
                <w:lang w:val="en-US"/>
              </w:rPr>
              <w:t>B</w:t>
            </w:r>
          </w:p>
        </w:tc>
      </w:tr>
      <w:tr w:rsidR="00AD6017" w:rsidRPr="00AD42B2" w14:paraId="0335BBE2" w14:textId="77777777" w:rsidTr="009F33D2">
        <w:trPr>
          <w:trHeight w:hRule="exact" w:val="849"/>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99C311" w14:textId="5368FB70" w:rsidR="00AD6017" w:rsidRPr="00CA544A" w:rsidRDefault="00AD6017" w:rsidP="00CA544A">
            <w:pPr>
              <w:pStyle w:val="ListParagraph"/>
              <w:numPr>
                <w:ilvl w:val="0"/>
                <w:numId w:val="48"/>
              </w:numPr>
              <w:spacing w:before="60" w:after="60"/>
              <w:jc w:val="both"/>
              <w:rPr>
                <w:rFonts w:eastAsia="Calibri" w:cs="Arial"/>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DD62EE" w14:textId="34F97726" w:rsidR="00AD6017" w:rsidRPr="007E1F7B" w:rsidRDefault="003422B6" w:rsidP="006E3D85">
            <w:pPr>
              <w:spacing w:before="60" w:after="60"/>
              <w:ind w:left="137" w:right="141"/>
              <w:rPr>
                <w:rFonts w:eastAsia="Calibri" w:cs="Arial"/>
                <w:sz w:val="20"/>
                <w:lang w:val="en-US"/>
              </w:rPr>
            </w:pPr>
            <w:r w:rsidRPr="003422B6">
              <w:rPr>
                <w:rFonts w:eastAsia="Calibri" w:cs="Arial"/>
                <w:sz w:val="20"/>
                <w:lang w:val="en-US"/>
              </w:rPr>
              <w:t>Qualitative capital requirements disclosures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C571E9" w14:textId="161DD2FA" w:rsidR="00E23942" w:rsidRDefault="00E23942" w:rsidP="00E23942">
            <w:pPr>
              <w:spacing w:before="60" w:after="60"/>
              <w:ind w:left="709" w:hanging="566"/>
              <w:jc w:val="both"/>
              <w:rPr>
                <w:rFonts w:eastAsia="Calibri" w:hAnsi="Calibri"/>
                <w:spacing w:val="-1"/>
                <w:sz w:val="20"/>
                <w:lang w:val="en-US"/>
              </w:rPr>
            </w:pPr>
          </w:p>
          <w:p w14:paraId="657DD82C" w14:textId="7E380530" w:rsidR="00687505" w:rsidRDefault="00687505" w:rsidP="00E23942">
            <w:pPr>
              <w:spacing w:before="60" w:after="60"/>
              <w:ind w:left="709" w:hanging="566"/>
              <w:jc w:val="both"/>
              <w:rPr>
                <w:rFonts w:cs="Arial"/>
                <w:bCs/>
                <w:sz w:val="20"/>
                <w:lang w:val="en-US"/>
              </w:rPr>
            </w:pPr>
          </w:p>
          <w:p w14:paraId="0D74C757" w14:textId="462C03AC" w:rsidR="00687505" w:rsidRPr="00E23942" w:rsidRDefault="00687505" w:rsidP="00BD6DCF">
            <w:pPr>
              <w:spacing w:before="60" w:after="60"/>
              <w:ind w:left="709" w:hanging="566"/>
              <w:jc w:val="both"/>
              <w:rPr>
                <w:rFonts w:cs="Arial"/>
                <w:bCs/>
                <w:sz w:val="20"/>
                <w:lang w:val="en-US"/>
              </w:rPr>
            </w:pPr>
          </w:p>
          <w:p w14:paraId="6B57CB95" w14:textId="77777777" w:rsidR="00AD6017" w:rsidRPr="00E23942" w:rsidRDefault="00AD6017" w:rsidP="007D7777">
            <w:pPr>
              <w:widowControl w:val="0"/>
              <w:spacing w:before="60" w:after="60" w:line="271" w:lineRule="exact"/>
              <w:ind w:hanging="566"/>
              <w:rPr>
                <w:rFonts w:eastAsia="Calibri" w:hAnsi="Calibri"/>
                <w:spacing w:val="-1"/>
                <w:sz w:val="20"/>
                <w:lang w:val="en-US"/>
              </w:rPr>
            </w:pPr>
            <w:r w:rsidRPr="00E23942">
              <w:rPr>
                <w:rFonts w:eastAsia="Calibri" w:hAnsi="Calibri"/>
                <w:spacing w:val="-1"/>
                <w:sz w:val="20"/>
                <w:lang w:val="en-US"/>
              </w:rPr>
              <w:t>E4P</w:t>
            </w:r>
          </w:p>
          <w:p w14:paraId="172912C4" w14:textId="2229FC8E" w:rsidR="00AD6017" w:rsidRDefault="00AD6017" w:rsidP="007D7777">
            <w:pPr>
              <w:widowControl w:val="0"/>
              <w:spacing w:before="60" w:after="60" w:line="271" w:lineRule="exact"/>
              <w:ind w:hanging="566"/>
              <w:rPr>
                <w:rFonts w:eastAsia="Calibri" w:hAnsi="Calibri"/>
                <w:spacing w:val="-1"/>
                <w:sz w:val="20"/>
                <w:lang w:val="en-US"/>
              </w:rPr>
            </w:pPr>
            <w:r w:rsidRPr="00F44619">
              <w:rPr>
                <w:rFonts w:eastAsia="Calibri" w:hAnsi="Calibri"/>
                <w:spacing w:val="-1"/>
                <w:sz w:val="20"/>
                <w:lang w:val="en-US"/>
              </w:rPr>
              <w:t>F1</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C19590" w14:textId="692F6A77" w:rsidR="00E76155" w:rsidRPr="007E1F7B" w:rsidRDefault="002C4E24" w:rsidP="002C4E24">
            <w:pPr>
              <w:spacing w:before="60" w:after="60"/>
              <w:ind w:left="709" w:hanging="566"/>
              <w:jc w:val="both"/>
              <w:rPr>
                <w:rFonts w:cs="Arial"/>
                <w:bCs/>
                <w:sz w:val="20"/>
                <w:lang w:val="en-US"/>
              </w:rPr>
            </w:pPr>
            <w:r>
              <w:rPr>
                <w:rFonts w:cs="Arial"/>
                <w:bCs/>
                <w:sz w:val="20"/>
                <w:lang w:val="en-US"/>
              </w:rPr>
              <w:t>E4</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37D2C" w14:textId="77777777" w:rsidR="00AD6017" w:rsidRPr="007E1F7B" w:rsidRDefault="00AD6017" w:rsidP="007D7777">
            <w:pPr>
              <w:spacing w:before="60" w:after="60"/>
              <w:ind w:left="709" w:hanging="709"/>
              <w:jc w:val="both"/>
              <w:rPr>
                <w:rFonts w:cs="Arial"/>
                <w:bCs/>
                <w:sz w:val="20"/>
                <w:lang w:val="en-US"/>
              </w:rPr>
            </w:pPr>
          </w:p>
        </w:tc>
      </w:tr>
      <w:tr w:rsidR="00AD6017" w:rsidRPr="00AD42B2" w14:paraId="19FE3E97" w14:textId="77777777" w:rsidTr="00421E43">
        <w:trPr>
          <w:trHeight w:hRule="exact" w:val="1130"/>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CB9FD2" w14:textId="5AFC9B0F" w:rsidR="00AD6017" w:rsidRPr="00CA544A" w:rsidRDefault="00AD6017" w:rsidP="00CA544A">
            <w:pPr>
              <w:pStyle w:val="ListParagraph"/>
              <w:numPr>
                <w:ilvl w:val="0"/>
                <w:numId w:val="48"/>
              </w:numPr>
              <w:spacing w:before="60" w:after="60"/>
              <w:jc w:val="both"/>
              <w:rPr>
                <w:rFonts w:eastAsia="Calibri" w:cs="Arial"/>
                <w:sz w:val="20"/>
                <w:lang w:val="en-US"/>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F07B8" w14:textId="0C50CDF3" w:rsidR="00AD6017" w:rsidRPr="007E1F7B" w:rsidRDefault="00107130" w:rsidP="006E3D85">
            <w:pPr>
              <w:spacing w:before="60" w:after="60"/>
              <w:ind w:left="137" w:right="141"/>
              <w:rPr>
                <w:rFonts w:eastAsia="Calibri" w:cs="Arial"/>
                <w:sz w:val="20"/>
                <w:lang w:val="en-US"/>
              </w:rPr>
            </w:pPr>
            <w:r w:rsidRPr="00107130">
              <w:rPr>
                <w:rFonts w:eastAsia="Calibri" w:cs="Arial"/>
                <w:sz w:val="20"/>
                <w:lang w:val="en-US"/>
              </w:rPr>
              <w:t>Quantitative capital requirements disclosures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93AA7A" w14:textId="637B0568" w:rsidR="00E97709" w:rsidRDefault="00E97709" w:rsidP="00DE5C07">
            <w:pPr>
              <w:spacing w:before="60" w:after="60"/>
              <w:ind w:left="709" w:hanging="566"/>
              <w:jc w:val="both"/>
              <w:rPr>
                <w:rFonts w:eastAsia="Calibri" w:hAnsi="Calibri"/>
                <w:spacing w:val="-1"/>
                <w:sz w:val="20"/>
                <w:lang w:val="en-US"/>
              </w:rPr>
            </w:pPr>
            <w:r>
              <w:rPr>
                <w:rFonts w:eastAsia="Calibri" w:hAnsi="Calibri"/>
                <w:spacing w:val="-1"/>
                <w:sz w:val="20"/>
                <w:lang w:val="en-US"/>
              </w:rPr>
              <w:t>SCR</w:t>
            </w:r>
          </w:p>
          <w:p w14:paraId="15C39E2E" w14:textId="24DE1EA2" w:rsidR="00E97709" w:rsidRDefault="00E97709" w:rsidP="00E23942">
            <w:pPr>
              <w:spacing w:before="60" w:after="60"/>
              <w:ind w:left="709" w:hanging="566"/>
              <w:jc w:val="both"/>
              <w:rPr>
                <w:rFonts w:eastAsia="Calibri" w:hAnsi="Calibri"/>
                <w:spacing w:val="-1"/>
                <w:sz w:val="20"/>
                <w:lang w:val="en-US"/>
              </w:rPr>
            </w:pPr>
            <w:r>
              <w:rPr>
                <w:rFonts w:eastAsia="Calibri" w:hAnsi="Calibri"/>
                <w:spacing w:val="-1"/>
                <w:sz w:val="20"/>
                <w:lang w:val="en-US"/>
              </w:rPr>
              <w:t>MCR</w:t>
            </w:r>
          </w:p>
          <w:p w14:paraId="6597DBCF" w14:textId="5B144B11" w:rsidR="00D0486A" w:rsidRDefault="00D0486A" w:rsidP="00E23942">
            <w:pPr>
              <w:spacing w:before="60" w:after="60"/>
              <w:ind w:left="709" w:hanging="566"/>
              <w:jc w:val="both"/>
              <w:rPr>
                <w:rFonts w:eastAsia="Calibri" w:hAnsi="Calibri"/>
                <w:spacing w:val="-1"/>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D8765C" w14:textId="77777777" w:rsidR="00AD6017" w:rsidRPr="007E1F7B" w:rsidRDefault="00AD6017"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4158F3" w14:textId="77777777" w:rsidR="00AD6017" w:rsidRPr="007E1F7B" w:rsidRDefault="00AD6017" w:rsidP="007D7777">
            <w:pPr>
              <w:spacing w:before="60" w:after="60"/>
              <w:ind w:left="709" w:hanging="709"/>
              <w:jc w:val="both"/>
              <w:rPr>
                <w:rFonts w:cs="Arial"/>
                <w:bCs/>
                <w:sz w:val="20"/>
                <w:lang w:val="en-US"/>
              </w:rPr>
            </w:pPr>
          </w:p>
        </w:tc>
      </w:tr>
      <w:tr w:rsidR="00AD6017" w:rsidRPr="00AD42B2" w14:paraId="20E8EC3A" w14:textId="77777777" w:rsidTr="007A3F28">
        <w:trPr>
          <w:trHeight w:hRule="exact" w:val="562"/>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50599C9" w14:textId="53D6EE35" w:rsidR="00AD6017" w:rsidRPr="007E1F7B" w:rsidRDefault="007A0A62" w:rsidP="007D7777">
            <w:pPr>
              <w:spacing w:before="60" w:after="60"/>
              <w:ind w:left="709" w:hanging="567"/>
              <w:jc w:val="both"/>
              <w:rPr>
                <w:b/>
                <w:spacing w:val="-1"/>
                <w:sz w:val="20"/>
              </w:rPr>
            </w:pPr>
            <w:r>
              <w:rPr>
                <w:rFonts w:cs="Arial"/>
                <w:b/>
                <w:bCs/>
                <w:sz w:val="20"/>
              </w:rPr>
              <w:t>7</w:t>
            </w:r>
            <w:r w:rsidR="004A36E7">
              <w:rPr>
                <w:rFonts w:cs="Arial"/>
                <w:b/>
                <w:bCs/>
                <w:sz w:val="20"/>
              </w:rPr>
              <w:t>.3.7</w:t>
            </w: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2E99965" w14:textId="13B1178A" w:rsidR="00AD6017" w:rsidRPr="007E1F7B" w:rsidRDefault="00AD6017" w:rsidP="007D7777">
            <w:pPr>
              <w:spacing w:before="60" w:after="60"/>
              <w:ind w:left="137" w:right="141"/>
              <w:rPr>
                <w:rFonts w:eastAsia="Calibri" w:cs="Arial"/>
                <w:sz w:val="20"/>
                <w:lang w:val="en-US"/>
              </w:rPr>
            </w:pPr>
            <w:r w:rsidRPr="007E1F7B">
              <w:rPr>
                <w:rFonts w:cs="Arial"/>
                <w:b/>
                <w:bCs/>
                <w:sz w:val="20"/>
              </w:rPr>
              <w:t>Financial performance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06AEAEC2" w14:textId="77777777" w:rsidR="00AD6017" w:rsidRPr="007E1F7B" w:rsidRDefault="00AD6017" w:rsidP="007D7777">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7672EDB7" w14:textId="77777777" w:rsidR="00AD6017" w:rsidRPr="007E1F7B" w:rsidRDefault="00AD6017" w:rsidP="007D7777">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14:paraId="321669E3" w14:textId="06146B28" w:rsidR="00AD6017" w:rsidRPr="007E1F7B" w:rsidRDefault="00AD6017" w:rsidP="007D7777">
            <w:pPr>
              <w:spacing w:before="60" w:after="60"/>
              <w:ind w:left="709" w:hanging="709"/>
              <w:jc w:val="both"/>
              <w:rPr>
                <w:rFonts w:cs="Arial"/>
                <w:b/>
                <w:sz w:val="20"/>
                <w:lang w:val="en-US"/>
              </w:rPr>
            </w:pPr>
            <w:r w:rsidRPr="007E1F7B">
              <w:rPr>
                <w:rFonts w:cs="Arial"/>
                <w:b/>
                <w:sz w:val="20"/>
                <w:lang w:val="en-US"/>
              </w:rPr>
              <w:t>B</w:t>
            </w:r>
          </w:p>
        </w:tc>
      </w:tr>
      <w:tr w:rsidR="00AD6017" w:rsidRPr="00AD42B2" w14:paraId="68785534" w14:textId="77777777" w:rsidTr="007A3F28">
        <w:trPr>
          <w:trHeight w:hRule="exact" w:val="1030"/>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4FA6C2" w14:textId="17F6E69D" w:rsidR="00AD6017" w:rsidRPr="00C91041" w:rsidRDefault="00AD6017" w:rsidP="00C91041">
            <w:pPr>
              <w:pStyle w:val="ListParagraph"/>
              <w:numPr>
                <w:ilvl w:val="0"/>
                <w:numId w:val="49"/>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D3BD1" w14:textId="74C764F2" w:rsidR="00AD6017" w:rsidRPr="007E1F7B" w:rsidRDefault="005E423C" w:rsidP="00AD5A9F">
            <w:pPr>
              <w:spacing w:before="60" w:after="60"/>
              <w:ind w:left="137" w:right="141"/>
              <w:jc w:val="both"/>
              <w:rPr>
                <w:rFonts w:eastAsia="Calibri" w:cs="Arial"/>
                <w:sz w:val="20"/>
                <w:lang w:val="en-US"/>
              </w:rPr>
            </w:pPr>
            <w:r w:rsidRPr="005E423C">
              <w:rPr>
                <w:rFonts w:eastAsia="Calibri" w:cs="Arial"/>
                <w:sz w:val="20"/>
                <w:lang w:val="en-US"/>
              </w:rPr>
              <w:t>Overall financial performance (quantitative and qualitative)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2E779B" w14:textId="77777777" w:rsidR="00AD6017" w:rsidRDefault="001C314B" w:rsidP="007D7777">
            <w:pPr>
              <w:spacing w:before="60" w:after="60"/>
              <w:ind w:left="709" w:hanging="566"/>
              <w:jc w:val="both"/>
              <w:rPr>
                <w:rFonts w:cs="Arial"/>
                <w:bCs/>
                <w:sz w:val="20"/>
              </w:rPr>
            </w:pPr>
            <w:r w:rsidRPr="001C314B">
              <w:rPr>
                <w:rFonts w:cs="Arial"/>
                <w:bCs/>
                <w:sz w:val="20"/>
              </w:rPr>
              <w:t>OF4</w:t>
            </w:r>
          </w:p>
          <w:p w14:paraId="42AC8483" w14:textId="36F956F4" w:rsidR="001C314B" w:rsidRPr="007E1F7B" w:rsidRDefault="001C314B" w:rsidP="007D7777">
            <w:pPr>
              <w:spacing w:before="60" w:after="60"/>
              <w:ind w:left="709" w:hanging="566"/>
              <w:jc w:val="both"/>
              <w:rPr>
                <w:rFonts w:cs="Arial"/>
                <w:bCs/>
                <w:sz w:val="20"/>
                <w:lang w:val="en-US"/>
              </w:rPr>
            </w:pPr>
            <w:r w:rsidRPr="001C314B">
              <w:rPr>
                <w:rFonts w:cs="Arial"/>
                <w:bCs/>
                <w:sz w:val="20"/>
              </w:rPr>
              <w:t xml:space="preserve">OF4.3S </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646948" w14:textId="666AF240" w:rsidR="00AD6017" w:rsidRPr="007E1F7B" w:rsidRDefault="00916F3A" w:rsidP="007D7777">
            <w:pPr>
              <w:spacing w:before="60" w:after="60"/>
              <w:ind w:left="709" w:hanging="566"/>
              <w:jc w:val="both"/>
              <w:rPr>
                <w:rFonts w:cs="Arial"/>
                <w:bCs/>
                <w:sz w:val="20"/>
                <w:lang w:val="en-US"/>
              </w:rPr>
            </w:pPr>
            <w:r>
              <w:rPr>
                <w:rFonts w:cs="Arial"/>
                <w:bCs/>
                <w:sz w:val="20"/>
                <w:lang w:val="en-US"/>
              </w:rPr>
              <w:t>B1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27EB3C" w14:textId="77777777" w:rsidR="00AD6017" w:rsidRPr="007E1F7B" w:rsidRDefault="00AD6017" w:rsidP="007D7777">
            <w:pPr>
              <w:spacing w:before="60" w:after="60"/>
              <w:ind w:left="709" w:hanging="709"/>
              <w:jc w:val="both"/>
              <w:rPr>
                <w:rFonts w:cs="Arial"/>
                <w:bCs/>
                <w:sz w:val="20"/>
                <w:lang w:val="en-US"/>
              </w:rPr>
            </w:pPr>
          </w:p>
        </w:tc>
      </w:tr>
      <w:tr w:rsidR="005E423C" w:rsidRPr="00AD42B2" w14:paraId="499BB6DC" w14:textId="77777777" w:rsidTr="007A3F28">
        <w:trPr>
          <w:trHeight w:hRule="exact" w:val="1030"/>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715231" w14:textId="312E028B" w:rsidR="005E423C" w:rsidRPr="00C91041" w:rsidRDefault="005E423C" w:rsidP="00C91041">
            <w:pPr>
              <w:pStyle w:val="ListParagraph"/>
              <w:numPr>
                <w:ilvl w:val="0"/>
                <w:numId w:val="49"/>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6AEEE7" w14:textId="1B50FC03" w:rsidR="005E423C" w:rsidRDefault="005E423C" w:rsidP="005E423C">
            <w:pPr>
              <w:spacing w:before="60" w:after="60"/>
              <w:ind w:left="137" w:right="141"/>
              <w:jc w:val="both"/>
              <w:rPr>
                <w:rFonts w:eastAsia="Calibri" w:cs="Arial"/>
                <w:sz w:val="20"/>
                <w:lang w:val="en-US"/>
              </w:rPr>
            </w:pPr>
            <w:r w:rsidRPr="007663CB">
              <w:rPr>
                <w:rFonts w:eastAsia="Calibri" w:cs="Arial"/>
                <w:sz w:val="20"/>
              </w:rPr>
              <w:t>Underwriting performance (quantitative and qualitative)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B7206A" w14:textId="77777777" w:rsidR="00916F3A" w:rsidRDefault="00916F3A" w:rsidP="00916F3A">
            <w:pPr>
              <w:spacing w:before="60" w:after="60"/>
              <w:ind w:left="709" w:hanging="566"/>
              <w:jc w:val="both"/>
              <w:rPr>
                <w:rFonts w:cs="Arial"/>
                <w:bCs/>
                <w:sz w:val="20"/>
              </w:rPr>
            </w:pPr>
            <w:r w:rsidRPr="001C314B">
              <w:rPr>
                <w:rFonts w:cs="Arial"/>
                <w:bCs/>
                <w:sz w:val="20"/>
              </w:rPr>
              <w:t>OF4</w:t>
            </w:r>
          </w:p>
          <w:p w14:paraId="3C5BEA3C" w14:textId="3163693C" w:rsidR="005E423C" w:rsidRDefault="00916F3A" w:rsidP="00916F3A">
            <w:pPr>
              <w:spacing w:before="60" w:after="60"/>
              <w:ind w:left="709" w:hanging="566"/>
              <w:jc w:val="both"/>
              <w:rPr>
                <w:rFonts w:cs="Arial"/>
                <w:bCs/>
                <w:sz w:val="20"/>
                <w:lang w:val="en-US"/>
              </w:rPr>
            </w:pPr>
            <w:r w:rsidRPr="001C314B">
              <w:rPr>
                <w:rFonts w:cs="Arial"/>
                <w:bCs/>
                <w:sz w:val="20"/>
              </w:rPr>
              <w:t xml:space="preserve">OF4.3S </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35E33A" w14:textId="105CC363" w:rsidR="005E423C" w:rsidRPr="007E1F7B" w:rsidRDefault="00916F3A" w:rsidP="005E423C">
            <w:pPr>
              <w:spacing w:before="60" w:after="60"/>
              <w:ind w:left="709" w:hanging="566"/>
              <w:jc w:val="both"/>
              <w:rPr>
                <w:rFonts w:cs="Arial"/>
                <w:bCs/>
                <w:sz w:val="20"/>
                <w:lang w:val="en-US"/>
              </w:rPr>
            </w:pPr>
            <w:r>
              <w:rPr>
                <w:rFonts w:cs="Arial"/>
                <w:bCs/>
                <w:sz w:val="20"/>
                <w:lang w:val="en-US"/>
              </w:rPr>
              <w:t>B1</w:t>
            </w: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5B0356" w14:textId="77777777" w:rsidR="005E423C" w:rsidRPr="007E1F7B" w:rsidRDefault="005E423C" w:rsidP="005E423C">
            <w:pPr>
              <w:spacing w:before="60" w:after="60"/>
              <w:ind w:left="709" w:hanging="709"/>
              <w:jc w:val="both"/>
              <w:rPr>
                <w:rFonts w:cs="Arial"/>
                <w:bCs/>
                <w:sz w:val="20"/>
                <w:lang w:val="en-US"/>
              </w:rPr>
            </w:pPr>
          </w:p>
        </w:tc>
      </w:tr>
      <w:tr w:rsidR="005E423C" w:rsidRPr="00AD42B2" w14:paraId="57FFB0FF" w14:textId="77777777" w:rsidTr="00421E43">
        <w:trPr>
          <w:trHeight w:hRule="exact" w:val="645"/>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068E9" w14:textId="385043DF" w:rsidR="005E423C" w:rsidRPr="00C91041" w:rsidRDefault="005E423C" w:rsidP="00C91041">
            <w:pPr>
              <w:pStyle w:val="ListParagraph"/>
              <w:numPr>
                <w:ilvl w:val="0"/>
                <w:numId w:val="49"/>
              </w:numPr>
              <w:spacing w:before="60" w:after="60"/>
              <w:jc w:val="both"/>
              <w:rPr>
                <w:bCs/>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B5A043" w14:textId="548D29EB" w:rsidR="005E423C" w:rsidRDefault="005E423C" w:rsidP="005E423C">
            <w:pPr>
              <w:spacing w:before="60" w:after="60"/>
              <w:ind w:left="137" w:right="141"/>
              <w:jc w:val="both"/>
              <w:rPr>
                <w:rFonts w:eastAsia="Calibri" w:cs="Arial"/>
                <w:sz w:val="20"/>
                <w:lang w:val="en-US"/>
              </w:rPr>
            </w:pPr>
            <w:r>
              <w:rPr>
                <w:rFonts w:eastAsia="Calibri" w:cs="Arial"/>
                <w:sz w:val="20"/>
                <w:lang w:val="en-US"/>
              </w:rPr>
              <w:t>Source of e</w:t>
            </w:r>
            <w:r w:rsidRPr="007E1F7B">
              <w:rPr>
                <w:rFonts w:eastAsia="Calibri" w:cs="Arial"/>
                <w:sz w:val="20"/>
                <w:lang w:val="en-US"/>
              </w:rPr>
              <w:t>arnings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E0CEA" w14:textId="081AF521" w:rsidR="005E423C" w:rsidRPr="007E1F7B" w:rsidRDefault="005E423C" w:rsidP="005E423C">
            <w:pPr>
              <w:spacing w:before="60" w:after="60"/>
              <w:ind w:left="709" w:hanging="566"/>
              <w:jc w:val="both"/>
              <w:rPr>
                <w:rFonts w:cs="Arial"/>
                <w:bCs/>
                <w:sz w:val="20"/>
                <w:lang w:val="en-US"/>
              </w:rPr>
            </w:pPr>
            <w:r w:rsidRPr="007E1F7B">
              <w:rPr>
                <w:rFonts w:cs="Arial"/>
                <w:bCs/>
                <w:sz w:val="20"/>
                <w:lang w:val="en-US"/>
              </w:rPr>
              <w:t>OF4.2</w:t>
            </w:r>
          </w:p>
          <w:p w14:paraId="6AD22093" w14:textId="72D2896F" w:rsidR="005E423C" w:rsidRDefault="005E423C" w:rsidP="00557790">
            <w:pPr>
              <w:spacing w:before="60" w:after="60"/>
              <w:ind w:left="709" w:hanging="566"/>
              <w:jc w:val="both"/>
              <w:rPr>
                <w:rFonts w:cs="Arial"/>
                <w:bCs/>
                <w:sz w:val="20"/>
                <w:lang w:val="en-US"/>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389985" w14:textId="77777777" w:rsidR="005E423C" w:rsidRPr="007E1F7B" w:rsidRDefault="005E423C" w:rsidP="005E423C">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664F5F" w14:textId="77777777" w:rsidR="005E423C" w:rsidRPr="007E1F7B" w:rsidRDefault="005E423C" w:rsidP="005E423C">
            <w:pPr>
              <w:spacing w:before="60" w:after="60"/>
              <w:ind w:left="709" w:hanging="709"/>
              <w:jc w:val="both"/>
              <w:rPr>
                <w:rFonts w:cs="Arial"/>
                <w:bCs/>
                <w:sz w:val="20"/>
                <w:lang w:val="en-US"/>
              </w:rPr>
            </w:pPr>
          </w:p>
        </w:tc>
      </w:tr>
      <w:tr w:rsidR="005E423C" w:rsidRPr="00AD42B2" w14:paraId="3E4A99A3" w14:textId="77777777" w:rsidTr="007A3F28">
        <w:trPr>
          <w:trHeight w:hRule="exact" w:val="947"/>
          <w:jc w:val="center"/>
        </w:trPr>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CFC180" w14:textId="6899B403" w:rsidR="005E423C" w:rsidRPr="00AE0DF9" w:rsidRDefault="005E423C" w:rsidP="00AE0DF9">
            <w:pPr>
              <w:pStyle w:val="ListParagraph"/>
              <w:numPr>
                <w:ilvl w:val="0"/>
                <w:numId w:val="49"/>
              </w:numPr>
              <w:spacing w:before="60" w:after="60"/>
              <w:jc w:val="both"/>
              <w:rPr>
                <w:b/>
                <w:spacing w:val="-1"/>
                <w:sz w:val="20"/>
              </w:rPr>
            </w:pPr>
          </w:p>
        </w:tc>
        <w:tc>
          <w:tcPr>
            <w:tcW w:w="29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3F0BF0" w14:textId="1EF44236" w:rsidR="005E423C" w:rsidRPr="007E1F7B" w:rsidRDefault="005E423C" w:rsidP="005E423C">
            <w:pPr>
              <w:spacing w:before="60" w:after="60"/>
              <w:ind w:left="137" w:right="141"/>
              <w:jc w:val="both"/>
              <w:rPr>
                <w:rFonts w:eastAsia="Calibri" w:cs="Arial"/>
                <w:sz w:val="20"/>
                <w:lang w:val="en-US"/>
              </w:rPr>
            </w:pPr>
            <w:r w:rsidRPr="007E1F7B">
              <w:rPr>
                <w:rFonts w:eastAsia="Calibri" w:cs="Arial"/>
                <w:sz w:val="20"/>
                <w:lang w:val="en-US"/>
              </w:rPr>
              <w:t>Investment performance</w:t>
            </w:r>
            <w:r>
              <w:rPr>
                <w:rFonts w:eastAsia="Calibri" w:cs="Arial"/>
                <w:sz w:val="20"/>
                <w:lang w:val="en-US"/>
              </w:rPr>
              <w:t xml:space="preserve"> (qualitative and quantitative)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E6D026" w14:textId="11EF4B35" w:rsidR="005E423C" w:rsidRPr="007E1F7B" w:rsidRDefault="005E423C" w:rsidP="005E423C">
            <w:pPr>
              <w:spacing w:before="60" w:after="60"/>
              <w:ind w:left="709" w:hanging="566"/>
              <w:jc w:val="both"/>
              <w:rPr>
                <w:rFonts w:cs="Arial"/>
                <w:bCs/>
                <w:sz w:val="20"/>
                <w:lang w:val="en-US"/>
              </w:rPr>
            </w:pPr>
            <w:r w:rsidRPr="007E1F7B">
              <w:rPr>
                <w:rFonts w:cs="Arial"/>
                <w:bCs/>
                <w:sz w:val="20"/>
                <w:lang w:val="en-US"/>
              </w:rPr>
              <w:t>OF4</w:t>
            </w:r>
          </w:p>
          <w:p w14:paraId="1CB9D81F" w14:textId="1FCC295C" w:rsidR="005E423C" w:rsidRPr="007E1F7B" w:rsidRDefault="005E423C" w:rsidP="005E423C">
            <w:pPr>
              <w:spacing w:before="60" w:after="60"/>
              <w:ind w:left="709" w:hanging="566"/>
              <w:jc w:val="both"/>
              <w:rPr>
                <w:rFonts w:cs="Arial"/>
                <w:bCs/>
                <w:sz w:val="20"/>
                <w:lang w:val="en-US"/>
              </w:rPr>
            </w:pPr>
            <w:r w:rsidRPr="007E1F7B">
              <w:rPr>
                <w:rFonts w:cs="Arial"/>
                <w:bCs/>
                <w:sz w:val="20"/>
                <w:lang w:val="en-US"/>
              </w:rPr>
              <w:t>OF4.3S</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A4E040" w14:textId="77777777" w:rsidR="005E423C" w:rsidRPr="007E1F7B" w:rsidRDefault="005E423C" w:rsidP="005E423C">
            <w:pPr>
              <w:spacing w:before="60" w:after="60"/>
              <w:ind w:left="709" w:hanging="566"/>
              <w:jc w:val="both"/>
              <w:rPr>
                <w:rFonts w:cs="Arial"/>
                <w:bCs/>
                <w:sz w:val="20"/>
                <w:lang w:val="en-US"/>
              </w:rPr>
            </w:pPr>
          </w:p>
        </w:tc>
        <w:tc>
          <w:tcPr>
            <w:tcW w:w="29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3BB98F" w14:textId="77777777" w:rsidR="005E423C" w:rsidRPr="007E1F7B" w:rsidRDefault="005E423C" w:rsidP="005E423C">
            <w:pPr>
              <w:spacing w:before="60" w:after="60"/>
              <w:ind w:left="709" w:hanging="709"/>
              <w:jc w:val="both"/>
              <w:rPr>
                <w:rFonts w:cs="Arial"/>
                <w:bCs/>
                <w:sz w:val="20"/>
                <w:lang w:val="en-US"/>
              </w:rPr>
            </w:pPr>
          </w:p>
        </w:tc>
      </w:tr>
    </w:tbl>
    <w:p w14:paraId="2A075845" w14:textId="77777777" w:rsidR="00CF5DC5" w:rsidRPr="000D6097" w:rsidRDefault="00CF5DC5" w:rsidP="007D7777">
      <w:pPr>
        <w:jc w:val="both"/>
        <w:rPr>
          <w:rFonts w:eastAsia="Arial" w:cs="Arial"/>
          <w:szCs w:val="24"/>
          <w:lang w:val="en-US"/>
        </w:rPr>
      </w:pPr>
    </w:p>
    <w:p w14:paraId="22E3D982" w14:textId="0258F6F9" w:rsidR="006C4143" w:rsidRPr="00A52864" w:rsidRDefault="006C4143" w:rsidP="00972AC6">
      <w:pPr>
        <w:pStyle w:val="ListParagraph"/>
        <w:numPr>
          <w:ilvl w:val="1"/>
          <w:numId w:val="5"/>
        </w:numPr>
        <w:ind w:left="851" w:hanging="851"/>
        <w:jc w:val="both"/>
        <w:rPr>
          <w:rFonts w:eastAsia="Arial" w:cs="Arial"/>
          <w:b/>
          <w:bCs/>
          <w:szCs w:val="24"/>
          <w:lang w:val="en-US"/>
        </w:rPr>
      </w:pPr>
      <w:r w:rsidRPr="00A52864">
        <w:rPr>
          <w:rFonts w:eastAsia="Arial" w:cs="Arial"/>
          <w:b/>
          <w:bCs/>
          <w:lang w:val="en-US"/>
        </w:rPr>
        <w:t>Technical provisions</w:t>
      </w:r>
    </w:p>
    <w:p w14:paraId="53655456" w14:textId="46EEDBC4" w:rsidR="0081077B" w:rsidRPr="002A119C" w:rsidRDefault="0081077B" w:rsidP="002A119C">
      <w:pPr>
        <w:ind w:left="851" w:hanging="851"/>
        <w:jc w:val="both"/>
        <w:rPr>
          <w:rFonts w:eastAsia="Arial" w:cs="Arial"/>
          <w:szCs w:val="24"/>
          <w:lang w:val="en-US"/>
        </w:rPr>
      </w:pPr>
    </w:p>
    <w:p w14:paraId="0E22DABA" w14:textId="77777777" w:rsidR="00A147D9" w:rsidRPr="00DB6E86" w:rsidRDefault="00A147D9">
      <w:pPr>
        <w:pStyle w:val="ListParagraph"/>
        <w:numPr>
          <w:ilvl w:val="2"/>
          <w:numId w:val="5"/>
        </w:numPr>
        <w:ind w:left="851" w:hanging="851"/>
        <w:jc w:val="both"/>
        <w:rPr>
          <w:rFonts w:eastAsia="Arial" w:cs="Arial"/>
          <w:szCs w:val="24"/>
          <w:lang w:val="en-US"/>
        </w:rPr>
      </w:pPr>
      <w:r>
        <w:rPr>
          <w:rFonts w:eastAsia="Arial" w:cs="Arial"/>
          <w:lang w:val="en-US"/>
        </w:rPr>
        <w:t xml:space="preserve">Disclosures on technical provisions are intended to assist stakeholders in understanding the adequacy, reliability and uncertainty associated with an insurer’s insurance liabilities, as well as the methodologies applied in their calculation and management. </w:t>
      </w:r>
    </w:p>
    <w:p w14:paraId="413BD902" w14:textId="77777777" w:rsidR="00DB6E86" w:rsidRPr="00A147D9" w:rsidRDefault="00DB6E86" w:rsidP="00DB6E86">
      <w:pPr>
        <w:pStyle w:val="ListParagraph"/>
        <w:ind w:left="851"/>
        <w:jc w:val="both"/>
        <w:rPr>
          <w:rFonts w:eastAsia="Arial" w:cs="Arial"/>
          <w:szCs w:val="24"/>
          <w:lang w:val="en-US"/>
        </w:rPr>
      </w:pPr>
    </w:p>
    <w:p w14:paraId="62F23D43" w14:textId="3296671F" w:rsidR="00883B30" w:rsidRPr="00DB6E86" w:rsidRDefault="00A147D9" w:rsidP="00883B30">
      <w:pPr>
        <w:pStyle w:val="ListParagraph"/>
        <w:numPr>
          <w:ilvl w:val="2"/>
          <w:numId w:val="5"/>
        </w:numPr>
        <w:ind w:left="851" w:hanging="851"/>
        <w:jc w:val="both"/>
        <w:rPr>
          <w:rFonts w:eastAsia="Arial" w:cs="Arial"/>
          <w:szCs w:val="24"/>
          <w:lang w:val="en-US"/>
        </w:rPr>
      </w:pPr>
      <w:r>
        <w:rPr>
          <w:rFonts w:eastAsia="Arial" w:cs="Arial"/>
          <w:lang w:val="en-US"/>
        </w:rPr>
        <w:t xml:space="preserve">In practice, insurers typically support the quantitative disclosures required by the </w:t>
      </w:r>
      <w:r w:rsidR="00E5725D">
        <w:rPr>
          <w:rFonts w:eastAsia="Arial" w:cs="Arial"/>
          <w:lang w:val="en-US"/>
        </w:rPr>
        <w:t xml:space="preserve">Prudential </w:t>
      </w:r>
      <w:r>
        <w:rPr>
          <w:rFonts w:eastAsia="Arial" w:cs="Arial"/>
          <w:lang w:val="en-US"/>
        </w:rPr>
        <w:t>Standard with explanatory information that provides context on how technical provisions are determined and how they may change over time.</w:t>
      </w:r>
    </w:p>
    <w:p w14:paraId="26CBE946" w14:textId="77777777" w:rsidR="00DB6E86" w:rsidRPr="00883B30" w:rsidRDefault="00DB6E86" w:rsidP="00DB6E86">
      <w:pPr>
        <w:pStyle w:val="ListParagraph"/>
        <w:ind w:left="851"/>
        <w:jc w:val="both"/>
        <w:rPr>
          <w:rFonts w:eastAsia="Arial" w:cs="Arial"/>
          <w:szCs w:val="24"/>
          <w:lang w:val="en-US"/>
        </w:rPr>
      </w:pPr>
    </w:p>
    <w:p w14:paraId="1AEF3BED" w14:textId="74CE7A15" w:rsidR="006248D0" w:rsidRPr="00D50651" w:rsidRDefault="00A147D9" w:rsidP="006248D0">
      <w:pPr>
        <w:pStyle w:val="ListParagraph"/>
        <w:numPr>
          <w:ilvl w:val="2"/>
          <w:numId w:val="5"/>
        </w:numPr>
        <w:ind w:left="851" w:hanging="851"/>
        <w:jc w:val="both"/>
        <w:rPr>
          <w:rFonts w:eastAsia="Arial" w:cs="Arial"/>
          <w:szCs w:val="24"/>
          <w:lang w:val="en-US"/>
        </w:rPr>
      </w:pPr>
      <w:r w:rsidRPr="00D50651">
        <w:rPr>
          <w:rFonts w:eastAsia="Arial" w:cs="Arial"/>
          <w:b/>
          <w:bCs/>
          <w:lang w:val="en-US"/>
        </w:rPr>
        <w:t>Best estimate liability and risk margin</w:t>
      </w:r>
    </w:p>
    <w:p w14:paraId="3DE76996" w14:textId="6F9BB26C" w:rsidR="006248D0" w:rsidRPr="006248D0" w:rsidRDefault="00A147D9" w:rsidP="00BD6DCF">
      <w:pPr>
        <w:pStyle w:val="ListParagraph"/>
        <w:numPr>
          <w:ilvl w:val="0"/>
          <w:numId w:val="8"/>
        </w:numPr>
        <w:tabs>
          <w:tab w:val="left" w:pos="851"/>
        </w:tabs>
        <w:jc w:val="both"/>
        <w:rPr>
          <w:rFonts w:eastAsia="Arial" w:cs="Arial"/>
          <w:szCs w:val="24"/>
          <w:lang w:val="en-US"/>
        </w:rPr>
      </w:pPr>
      <w:r>
        <w:rPr>
          <w:rFonts w:eastAsia="Arial" w:cs="Arial"/>
          <w:lang w:val="en-US"/>
        </w:rPr>
        <w:t>Information relating to the best estimate liability and risk margin may include, for example:</w:t>
      </w:r>
    </w:p>
    <w:p w14:paraId="594EB914" w14:textId="3E7D9B3B" w:rsidR="006248D0" w:rsidRPr="00947EB7" w:rsidRDefault="00A147D9" w:rsidP="00BD6DCF">
      <w:pPr>
        <w:pStyle w:val="ListParagraph"/>
        <w:numPr>
          <w:ilvl w:val="0"/>
          <w:numId w:val="11"/>
        </w:numPr>
      </w:pPr>
      <w:r>
        <w:t xml:space="preserve">a description of the </w:t>
      </w:r>
      <w:r w:rsidR="00060C7B">
        <w:t>methods</w:t>
      </w:r>
      <w:r>
        <w:t xml:space="preserve"> and actuarial techniques used in their </w:t>
      </w:r>
      <w:proofErr w:type="gramStart"/>
      <w:r>
        <w:t>calculation;</w:t>
      </w:r>
      <w:proofErr w:type="gramEnd"/>
    </w:p>
    <w:p w14:paraId="7D92ADF6" w14:textId="35A0289F" w:rsidR="006248D0" w:rsidRPr="00947EB7" w:rsidRDefault="00A147D9" w:rsidP="00BD6DCF">
      <w:pPr>
        <w:pStyle w:val="ListParagraph"/>
        <w:numPr>
          <w:ilvl w:val="0"/>
          <w:numId w:val="11"/>
        </w:numPr>
      </w:pPr>
      <w:r>
        <w:t xml:space="preserve">an indication of </w:t>
      </w:r>
      <w:r w:rsidR="00D50651">
        <w:t>whether the</w:t>
      </w:r>
      <w:r w:rsidR="004B3B9A">
        <w:t xml:space="preserve"> components of the technical provisions are determined</w:t>
      </w:r>
      <w:r w:rsidR="5C6FF8B8">
        <w:t xml:space="preserve"> </w:t>
      </w:r>
      <w:r w:rsidR="004B3B9A">
        <w:t>separately</w:t>
      </w:r>
      <w:r>
        <w:t xml:space="preserve"> or on an aggregated basis</w:t>
      </w:r>
      <w:r w:rsidR="004B3B9A">
        <w:t>; and</w:t>
      </w:r>
    </w:p>
    <w:p w14:paraId="054028DC" w14:textId="00EBE13D" w:rsidR="00334496" w:rsidRPr="006248D0" w:rsidRDefault="00A147D9" w:rsidP="00BD6DCF">
      <w:pPr>
        <w:pStyle w:val="ListParagraph"/>
        <w:numPr>
          <w:ilvl w:val="0"/>
          <w:numId w:val="11"/>
        </w:numPr>
        <w:rPr>
          <w:rFonts w:eastAsia="Arial"/>
          <w:lang w:val="en-US"/>
        </w:rPr>
      </w:pPr>
      <w:r w:rsidRPr="006248D0">
        <w:rPr>
          <w:rFonts w:eastAsia="Arial"/>
          <w:lang w:val="en-US"/>
        </w:rPr>
        <w:t xml:space="preserve">an explanation of whether the methodologies </w:t>
      </w:r>
      <w:r w:rsidR="00D50651" w:rsidRPr="006248D0">
        <w:rPr>
          <w:rFonts w:eastAsia="Arial"/>
          <w:lang w:val="en-US"/>
        </w:rPr>
        <w:t>applied have</w:t>
      </w:r>
      <w:r w:rsidR="004B3B9A" w:rsidRPr="006248D0">
        <w:rPr>
          <w:rFonts w:eastAsia="Arial"/>
          <w:lang w:val="en-US"/>
        </w:rPr>
        <w:t xml:space="preserve"> changed since the </w:t>
      </w:r>
      <w:r w:rsidR="00C215CA" w:rsidRPr="006248D0">
        <w:rPr>
          <w:rFonts w:eastAsia="Arial"/>
          <w:lang w:val="en-US"/>
        </w:rPr>
        <w:t xml:space="preserve">previous </w:t>
      </w:r>
      <w:r w:rsidR="004B3B9A" w:rsidRPr="006248D0">
        <w:rPr>
          <w:rFonts w:eastAsia="Arial"/>
          <w:lang w:val="en-US"/>
        </w:rPr>
        <w:t>reporting period</w:t>
      </w:r>
      <w:r w:rsidR="00D303BB">
        <w:rPr>
          <w:rFonts w:eastAsia="Arial"/>
          <w:lang w:val="en-US"/>
        </w:rPr>
        <w:t>.</w:t>
      </w:r>
      <w:r w:rsidR="004B3B9A" w:rsidRPr="006248D0">
        <w:rPr>
          <w:rFonts w:eastAsia="Arial"/>
          <w:lang w:val="en-US"/>
        </w:rPr>
        <w:t xml:space="preserve"> </w:t>
      </w:r>
    </w:p>
    <w:p w14:paraId="4DF69C85" w14:textId="3CAE491A" w:rsidR="004B3B9A" w:rsidRDefault="00A147D9" w:rsidP="00BD6DCF">
      <w:pPr>
        <w:pStyle w:val="Heading4"/>
        <w:numPr>
          <w:ilvl w:val="0"/>
          <w:numId w:val="8"/>
        </w:numPr>
        <w:jc w:val="both"/>
        <w:rPr>
          <w:rFonts w:eastAsia="Arial"/>
          <w:lang w:val="en-US"/>
        </w:rPr>
      </w:pPr>
      <w:r>
        <w:rPr>
          <w:rFonts w:eastAsia="Arial"/>
          <w:lang w:val="en-US"/>
        </w:rPr>
        <w:t>W</w:t>
      </w:r>
      <w:r w:rsidR="004B3B9A" w:rsidRPr="004B3B9A">
        <w:rPr>
          <w:rFonts w:eastAsia="Arial"/>
          <w:lang w:val="en-US"/>
        </w:rPr>
        <w:t xml:space="preserve">here </w:t>
      </w:r>
      <w:r w:rsidR="00077B3D">
        <w:rPr>
          <w:rFonts w:eastAsia="Arial"/>
          <w:lang w:val="en-US"/>
        </w:rPr>
        <w:t>the</w:t>
      </w:r>
      <w:r w:rsidR="00077B3D" w:rsidRPr="004B3B9A">
        <w:rPr>
          <w:rFonts w:eastAsia="Arial"/>
          <w:lang w:val="en-US"/>
        </w:rPr>
        <w:t xml:space="preserve"> </w:t>
      </w:r>
      <w:r w:rsidR="004B3B9A" w:rsidRPr="004B3B9A">
        <w:rPr>
          <w:rFonts w:eastAsia="Arial"/>
          <w:lang w:val="en-US"/>
        </w:rPr>
        <w:t>methodolog</w:t>
      </w:r>
      <w:r>
        <w:rPr>
          <w:rFonts w:eastAsia="Arial"/>
          <w:lang w:val="en-US"/>
        </w:rPr>
        <w:t xml:space="preserve">ies </w:t>
      </w:r>
      <w:r w:rsidR="004B3B9A" w:rsidRPr="004B3B9A">
        <w:rPr>
          <w:rFonts w:eastAsia="Arial"/>
          <w:lang w:val="en-US"/>
        </w:rPr>
        <w:t>ha</w:t>
      </w:r>
      <w:r>
        <w:rPr>
          <w:rFonts w:eastAsia="Arial"/>
          <w:lang w:val="en-US"/>
        </w:rPr>
        <w:t>ve</w:t>
      </w:r>
      <w:r w:rsidR="004B3B9A" w:rsidRPr="004B3B9A">
        <w:rPr>
          <w:rFonts w:eastAsia="Arial"/>
          <w:lang w:val="en-US"/>
        </w:rPr>
        <w:t xml:space="preserve"> changed, the insurer </w:t>
      </w:r>
      <w:r w:rsidR="0063440B">
        <w:rPr>
          <w:rFonts w:eastAsia="Arial"/>
          <w:lang w:val="en-US"/>
        </w:rPr>
        <w:t xml:space="preserve">could consider </w:t>
      </w:r>
      <w:r w:rsidR="004B3B9A" w:rsidRPr="004B3B9A">
        <w:rPr>
          <w:rFonts w:eastAsia="Arial"/>
          <w:lang w:val="en-US"/>
        </w:rPr>
        <w:t>includ</w:t>
      </w:r>
      <w:r w:rsidR="0063440B">
        <w:rPr>
          <w:rFonts w:eastAsia="Arial"/>
          <w:lang w:val="en-US"/>
        </w:rPr>
        <w:t xml:space="preserve">ing </w:t>
      </w:r>
      <w:r>
        <w:rPr>
          <w:rFonts w:eastAsia="Arial"/>
          <w:lang w:val="en-US"/>
        </w:rPr>
        <w:t>an</w:t>
      </w:r>
      <w:r w:rsidR="004B3B9A" w:rsidRPr="004B3B9A">
        <w:rPr>
          <w:rFonts w:eastAsia="Arial"/>
          <w:lang w:val="en-US"/>
        </w:rPr>
        <w:t xml:space="preserve"> </w:t>
      </w:r>
      <w:r w:rsidR="0063440B">
        <w:rPr>
          <w:rFonts w:eastAsia="Arial"/>
          <w:lang w:val="en-US"/>
        </w:rPr>
        <w:t xml:space="preserve">explanation for the </w:t>
      </w:r>
      <w:r>
        <w:rPr>
          <w:rFonts w:eastAsia="Arial"/>
          <w:lang w:val="en-US"/>
        </w:rPr>
        <w:t xml:space="preserve">reasons for the change, </w:t>
      </w:r>
      <w:r w:rsidR="0063440B">
        <w:rPr>
          <w:rFonts w:eastAsia="Arial"/>
          <w:lang w:val="en-US"/>
        </w:rPr>
        <w:t xml:space="preserve">and </w:t>
      </w:r>
      <w:proofErr w:type="gramStart"/>
      <w:r w:rsidR="0063440B">
        <w:rPr>
          <w:rFonts w:eastAsia="Arial"/>
          <w:lang w:val="en-US"/>
        </w:rPr>
        <w:t>where</w:t>
      </w:r>
      <w:proofErr w:type="gramEnd"/>
      <w:r w:rsidR="0063440B">
        <w:rPr>
          <w:rFonts w:eastAsia="Arial"/>
          <w:lang w:val="en-US"/>
        </w:rPr>
        <w:t xml:space="preserve"> material, </w:t>
      </w:r>
      <w:r>
        <w:rPr>
          <w:rFonts w:eastAsia="Arial"/>
          <w:lang w:val="en-US"/>
        </w:rPr>
        <w:t xml:space="preserve">an indication of </w:t>
      </w:r>
      <w:r w:rsidR="0063440B">
        <w:rPr>
          <w:rFonts w:eastAsia="Arial"/>
          <w:lang w:val="en-US"/>
        </w:rPr>
        <w:t>the quantitative impact</w:t>
      </w:r>
      <w:r>
        <w:rPr>
          <w:rFonts w:eastAsia="Arial"/>
          <w:lang w:val="en-US"/>
        </w:rPr>
        <w:t xml:space="preserve">. Such information may </w:t>
      </w:r>
      <w:r w:rsidR="0063440B">
        <w:rPr>
          <w:rFonts w:eastAsia="Arial"/>
          <w:lang w:val="en-US"/>
        </w:rPr>
        <w:t xml:space="preserve">assist stakeholders in </w:t>
      </w:r>
      <w:r>
        <w:rPr>
          <w:rFonts w:eastAsia="Arial"/>
          <w:lang w:val="en-US"/>
        </w:rPr>
        <w:t xml:space="preserve">assessing </w:t>
      </w:r>
      <w:r w:rsidR="00D50651">
        <w:rPr>
          <w:rFonts w:eastAsia="Arial"/>
          <w:lang w:val="en-US"/>
        </w:rPr>
        <w:t xml:space="preserve">the </w:t>
      </w:r>
      <w:r w:rsidR="0063440B">
        <w:rPr>
          <w:rFonts w:eastAsia="Arial"/>
          <w:lang w:val="en-US"/>
        </w:rPr>
        <w:t xml:space="preserve">comparability </w:t>
      </w:r>
      <w:r>
        <w:rPr>
          <w:rFonts w:eastAsia="Arial"/>
          <w:lang w:val="en-US"/>
        </w:rPr>
        <w:t xml:space="preserve">of disclosures across </w:t>
      </w:r>
      <w:r w:rsidR="0063440B">
        <w:rPr>
          <w:rFonts w:eastAsia="Arial"/>
          <w:lang w:val="en-US"/>
        </w:rPr>
        <w:t>reporting periods</w:t>
      </w:r>
      <w:r w:rsidR="004B3B9A" w:rsidRPr="004B3B9A">
        <w:rPr>
          <w:rFonts w:eastAsia="Arial"/>
          <w:lang w:val="en-US"/>
        </w:rPr>
        <w:t>.</w:t>
      </w:r>
    </w:p>
    <w:p w14:paraId="3957A52F" w14:textId="77777777" w:rsidR="00BA1273" w:rsidRPr="00BA1273" w:rsidRDefault="00BA1273" w:rsidP="00DA1AB3">
      <w:pPr>
        <w:rPr>
          <w:rFonts w:eastAsia="Arial"/>
          <w:lang w:val="en-US"/>
        </w:rPr>
      </w:pPr>
    </w:p>
    <w:p w14:paraId="7F2F3E3C" w14:textId="742C85DF" w:rsidR="00096240" w:rsidRPr="00D50651" w:rsidRDefault="00A147D9" w:rsidP="00096240">
      <w:pPr>
        <w:pStyle w:val="ListParagraph"/>
        <w:numPr>
          <w:ilvl w:val="2"/>
          <w:numId w:val="5"/>
        </w:numPr>
        <w:ind w:left="851" w:hanging="851"/>
        <w:jc w:val="both"/>
        <w:rPr>
          <w:rFonts w:eastAsia="Arial"/>
          <w:lang w:val="en-US"/>
        </w:rPr>
      </w:pPr>
      <w:r w:rsidRPr="00D50651">
        <w:rPr>
          <w:rFonts w:eastAsia="Arial"/>
          <w:b/>
          <w:bCs/>
          <w:lang w:val="en-US"/>
        </w:rPr>
        <w:t>Surrender values</w:t>
      </w:r>
    </w:p>
    <w:p w14:paraId="09932542" w14:textId="1BFF8787" w:rsidR="00FE1749" w:rsidRDefault="00BA20A7" w:rsidP="00883B30">
      <w:pPr>
        <w:pStyle w:val="ListParagraph"/>
        <w:numPr>
          <w:ilvl w:val="0"/>
          <w:numId w:val="32"/>
        </w:numPr>
        <w:tabs>
          <w:tab w:val="left" w:pos="851"/>
        </w:tabs>
        <w:jc w:val="both"/>
        <w:rPr>
          <w:rFonts w:eastAsia="Arial"/>
          <w:lang w:val="en-US"/>
        </w:rPr>
      </w:pPr>
      <w:r w:rsidRPr="10B05773">
        <w:rPr>
          <w:rFonts w:eastAsia="Arial"/>
          <w:lang w:val="en-US"/>
        </w:rPr>
        <w:t>Where surrender values are material</w:t>
      </w:r>
      <w:r w:rsidR="00A147D9">
        <w:rPr>
          <w:rFonts w:eastAsia="Arial"/>
          <w:lang w:val="en-US"/>
        </w:rPr>
        <w:t xml:space="preserve"> to an insurer’s business, </w:t>
      </w:r>
      <w:r w:rsidRPr="10B05773">
        <w:rPr>
          <w:rFonts w:eastAsia="Arial"/>
          <w:lang w:val="en-US"/>
        </w:rPr>
        <w:t xml:space="preserve">disclosures may include </w:t>
      </w:r>
      <w:r w:rsidR="00A147D9">
        <w:rPr>
          <w:rFonts w:eastAsia="Arial"/>
          <w:lang w:val="en-US"/>
        </w:rPr>
        <w:t xml:space="preserve">information on surrender values payable, as this may be relevant to understanding policyholder </w:t>
      </w:r>
      <w:proofErr w:type="spellStart"/>
      <w:r w:rsidR="00A147D9">
        <w:rPr>
          <w:rFonts w:eastAsia="Arial"/>
          <w:lang w:val="en-US"/>
        </w:rPr>
        <w:t>behaviour</w:t>
      </w:r>
      <w:proofErr w:type="spellEnd"/>
      <w:r w:rsidR="00A147D9">
        <w:rPr>
          <w:rFonts w:eastAsia="Arial"/>
          <w:lang w:val="en-US"/>
        </w:rPr>
        <w:t xml:space="preserve"> assumptions</w:t>
      </w:r>
      <w:r w:rsidR="00DA6F50">
        <w:rPr>
          <w:rFonts w:eastAsia="Arial"/>
          <w:lang w:val="en-US"/>
        </w:rPr>
        <w:t xml:space="preserve"> and</w:t>
      </w:r>
      <w:r w:rsidR="00A147D9">
        <w:rPr>
          <w:rFonts w:eastAsia="Arial"/>
          <w:lang w:val="en-US"/>
        </w:rPr>
        <w:t xml:space="preserve"> the valuation of insurance liabilities. </w:t>
      </w:r>
    </w:p>
    <w:p w14:paraId="5041C4DA" w14:textId="77777777" w:rsidR="009420B9" w:rsidRPr="00195208" w:rsidRDefault="009420B9" w:rsidP="007D7777">
      <w:pPr>
        <w:jc w:val="both"/>
        <w:rPr>
          <w:rFonts w:eastAsia="Arial"/>
          <w:lang w:val="en-US"/>
        </w:rPr>
      </w:pPr>
    </w:p>
    <w:p w14:paraId="24647DE1" w14:textId="77777777" w:rsidR="00060C7B" w:rsidRPr="00DA6F50" w:rsidRDefault="00060C7B" w:rsidP="00972AC6">
      <w:pPr>
        <w:pStyle w:val="ListParagraph"/>
        <w:numPr>
          <w:ilvl w:val="2"/>
          <w:numId w:val="5"/>
        </w:numPr>
        <w:ind w:left="851" w:hanging="851"/>
        <w:jc w:val="both"/>
        <w:rPr>
          <w:b/>
          <w:bCs/>
        </w:rPr>
      </w:pPr>
      <w:bookmarkStart w:id="7" w:name="_Hlk167279050"/>
      <w:r w:rsidRPr="00DA6F50">
        <w:rPr>
          <w:b/>
          <w:bCs/>
        </w:rPr>
        <w:t>Presentation of quantitative information:</w:t>
      </w:r>
    </w:p>
    <w:p w14:paraId="2E13383D" w14:textId="5160A825" w:rsidR="00FE1749" w:rsidRPr="00BD6DCF" w:rsidRDefault="00FE1749" w:rsidP="00883B30">
      <w:pPr>
        <w:pStyle w:val="ListParagraph"/>
        <w:numPr>
          <w:ilvl w:val="0"/>
          <w:numId w:val="33"/>
        </w:numPr>
        <w:tabs>
          <w:tab w:val="left" w:pos="851"/>
        </w:tabs>
        <w:jc w:val="both"/>
        <w:rPr>
          <w:rFonts w:eastAsia="Arial"/>
          <w:lang w:val="en-US"/>
        </w:rPr>
      </w:pPr>
      <w:r w:rsidRPr="00BD6DCF">
        <w:rPr>
          <w:rFonts w:eastAsia="Arial"/>
          <w:lang w:val="en-US"/>
        </w:rPr>
        <w:t>T</w:t>
      </w:r>
      <w:r w:rsidR="00060C7B" w:rsidRPr="00BD6DCF">
        <w:rPr>
          <w:rFonts w:eastAsia="Arial"/>
          <w:lang w:val="en-US"/>
        </w:rPr>
        <w:t xml:space="preserve">o enhance clarity, </w:t>
      </w:r>
      <w:r w:rsidR="006248D0" w:rsidRPr="006248D0">
        <w:rPr>
          <w:rFonts w:eastAsia="Arial"/>
          <w:lang w:val="en-US"/>
        </w:rPr>
        <w:t>insurers</w:t>
      </w:r>
      <w:r w:rsidR="00060C7B" w:rsidRPr="00BD6DCF">
        <w:rPr>
          <w:rFonts w:eastAsia="Arial"/>
          <w:lang w:val="en-US"/>
        </w:rPr>
        <w:t xml:space="preserve"> often present quantitative information on technical provisions at an aggregated level, supported by additional breakdowns where relevant. This may assist stakeholders in forming a high-level view of the insurer’s insurance liabilities alongside the more granular disclosures required by the </w:t>
      </w:r>
      <w:r w:rsidR="00E5725D">
        <w:rPr>
          <w:rFonts w:eastAsia="Arial"/>
          <w:lang w:val="en-US"/>
        </w:rPr>
        <w:t xml:space="preserve">Prudential </w:t>
      </w:r>
      <w:r w:rsidR="00060C7B" w:rsidRPr="00BD6DCF">
        <w:rPr>
          <w:rFonts w:eastAsia="Arial"/>
          <w:lang w:val="en-US"/>
        </w:rPr>
        <w:t xml:space="preserve">Standard. </w:t>
      </w:r>
      <w:bookmarkEnd w:id="7"/>
    </w:p>
    <w:p w14:paraId="0F6D46DE" w14:textId="77777777" w:rsidR="008627B1" w:rsidRPr="008627B1" w:rsidRDefault="008627B1" w:rsidP="002A119C">
      <w:pPr>
        <w:ind w:left="851" w:hanging="851"/>
        <w:jc w:val="both"/>
        <w:rPr>
          <w:rFonts w:cs="Arial"/>
          <w:bCs/>
          <w:szCs w:val="24"/>
          <w:lang w:val="en-US"/>
        </w:rPr>
      </w:pPr>
    </w:p>
    <w:p w14:paraId="34B8B1DA" w14:textId="6B18BC5D" w:rsidR="00096240" w:rsidRPr="00DA6F50" w:rsidRDefault="00576F25" w:rsidP="00096240">
      <w:pPr>
        <w:pStyle w:val="Heading2"/>
        <w:keepNext w:val="0"/>
        <w:widowControl w:val="0"/>
        <w:numPr>
          <w:ilvl w:val="2"/>
          <w:numId w:val="5"/>
        </w:numPr>
        <w:tabs>
          <w:tab w:val="left" w:pos="1418"/>
        </w:tabs>
        <w:ind w:left="851" w:hanging="851"/>
        <w:jc w:val="both"/>
      </w:pPr>
      <w:r w:rsidRPr="00DA6F50">
        <w:rPr>
          <w:b/>
          <w:bCs/>
          <w:spacing w:val="-1"/>
          <w:u w:val="none"/>
        </w:rPr>
        <w:t>Life</w:t>
      </w:r>
      <w:r w:rsidRPr="00DA6F50">
        <w:rPr>
          <w:b/>
          <w:bCs/>
          <w:spacing w:val="1"/>
          <w:u w:val="none"/>
        </w:rPr>
        <w:t xml:space="preserve"> </w:t>
      </w:r>
      <w:r w:rsidRPr="00DA6F50">
        <w:rPr>
          <w:b/>
          <w:bCs/>
          <w:spacing w:val="-1"/>
          <w:u w:val="none"/>
        </w:rPr>
        <w:t>insurers</w:t>
      </w:r>
      <w:r w:rsidR="00D2240E">
        <w:rPr>
          <w:b/>
          <w:bCs/>
          <w:spacing w:val="-1"/>
          <w:u w:val="none"/>
        </w:rPr>
        <w:t>:</w:t>
      </w:r>
      <w:r w:rsidR="00060C7B" w:rsidRPr="00DA6F50">
        <w:rPr>
          <w:b/>
          <w:bCs/>
          <w:spacing w:val="-1"/>
          <w:u w:val="none"/>
        </w:rPr>
        <w:t xml:space="preserve"> participation features</w:t>
      </w:r>
    </w:p>
    <w:p w14:paraId="116413DD" w14:textId="34027E81" w:rsidR="00B21DC1" w:rsidRDefault="00060C7B" w:rsidP="00883B30">
      <w:pPr>
        <w:pStyle w:val="ListParagraph"/>
        <w:numPr>
          <w:ilvl w:val="0"/>
          <w:numId w:val="34"/>
        </w:numPr>
        <w:tabs>
          <w:tab w:val="left" w:pos="851"/>
        </w:tabs>
        <w:jc w:val="both"/>
        <w:rPr>
          <w:rFonts w:eastAsia="Arial"/>
        </w:rPr>
      </w:pPr>
      <w:r w:rsidRPr="00BD6DCF">
        <w:rPr>
          <w:rFonts w:eastAsia="Arial"/>
          <w:lang w:val="en-US"/>
        </w:rPr>
        <w:t>For life insurers, disclosures may include additional quantitative information on minimum participation features and actual distributions to policyholders. Such information is often presented by segment and may be distinguished between:</w:t>
      </w:r>
    </w:p>
    <w:p w14:paraId="7247DC9F" w14:textId="2EFF2702" w:rsidR="00096240" w:rsidRDefault="00D2240E" w:rsidP="00006697">
      <w:pPr>
        <w:pStyle w:val="ListParagraph"/>
        <w:numPr>
          <w:ilvl w:val="0"/>
          <w:numId w:val="35"/>
        </w:numPr>
      </w:pPr>
      <w:r>
        <w:t>g</w:t>
      </w:r>
      <w:r w:rsidR="005A5675" w:rsidRPr="00947EB7">
        <w:t>uaranteed policyholder benefits paid;</w:t>
      </w:r>
      <w:r w:rsidR="00096240">
        <w:t xml:space="preserve"> </w:t>
      </w:r>
      <w:r w:rsidR="005A5675" w:rsidRPr="00947EB7">
        <w:t>and</w:t>
      </w:r>
    </w:p>
    <w:p w14:paraId="146F3E6A" w14:textId="0D884EDF" w:rsidR="00060C7B" w:rsidRPr="00B21DC1" w:rsidRDefault="00D2240E" w:rsidP="00006697">
      <w:pPr>
        <w:pStyle w:val="ListParagraph"/>
        <w:numPr>
          <w:ilvl w:val="0"/>
          <w:numId w:val="35"/>
        </w:numPr>
      </w:pPr>
      <w:r>
        <w:lastRenderedPageBreak/>
        <w:t>a</w:t>
      </w:r>
      <w:r w:rsidR="00B67D82" w:rsidRPr="00B21DC1">
        <w:t>dditional policyholder benefits paid</w:t>
      </w:r>
      <w:r w:rsidR="00060C7B" w:rsidRPr="00B21DC1">
        <w:t xml:space="preserve">, including those </w:t>
      </w:r>
      <w:r w:rsidR="00B67D82" w:rsidRPr="00B21DC1">
        <w:t>aris</w:t>
      </w:r>
      <w:r w:rsidR="00060C7B" w:rsidRPr="00B21DC1">
        <w:t>ing</w:t>
      </w:r>
      <w:r w:rsidR="00B67D82" w:rsidRPr="00B21DC1">
        <w:t xml:space="preserve"> from profit-</w:t>
      </w:r>
      <w:r w:rsidR="00E8639D" w:rsidRPr="00B21DC1">
        <w:t xml:space="preserve">sharing </w:t>
      </w:r>
      <w:r w:rsidR="00060C7B" w:rsidRPr="00B21DC1">
        <w:t>arrangements.</w:t>
      </w:r>
    </w:p>
    <w:p w14:paraId="2CC6D6DB" w14:textId="6F356778" w:rsidR="00DC1D2A" w:rsidRPr="00947EB7" w:rsidRDefault="00060C7B" w:rsidP="006B71AB">
      <w:pPr>
        <w:pStyle w:val="ListParagraph"/>
        <w:numPr>
          <w:ilvl w:val="0"/>
          <w:numId w:val="34"/>
        </w:numPr>
        <w:tabs>
          <w:tab w:val="left" w:pos="851"/>
        </w:tabs>
        <w:jc w:val="both"/>
      </w:pPr>
      <w:r>
        <w:t xml:space="preserve">This information may assist stakeholders in understanding how participation features are reflected in technical provisions and how value is distributed </w:t>
      </w:r>
      <w:r w:rsidR="00006697">
        <w:t xml:space="preserve">to </w:t>
      </w:r>
      <w:r>
        <w:t>policyholders.</w:t>
      </w:r>
    </w:p>
    <w:p w14:paraId="72C998E8" w14:textId="1E3E5111" w:rsidR="00576F25" w:rsidRDefault="00576F25" w:rsidP="00A933A0">
      <w:pPr>
        <w:pStyle w:val="BodyText"/>
        <w:widowControl w:val="0"/>
        <w:tabs>
          <w:tab w:val="left" w:pos="1985"/>
        </w:tabs>
        <w:spacing w:before="21" w:line="274" w:lineRule="exact"/>
        <w:ind w:left="1843"/>
        <w:jc w:val="both"/>
        <w:rPr>
          <w:rFonts w:eastAsia="Arial"/>
        </w:rPr>
      </w:pPr>
    </w:p>
    <w:p w14:paraId="2E139A21" w14:textId="5D6AD877" w:rsidR="00DB6E86" w:rsidRDefault="007D09F5" w:rsidP="00DB6E86">
      <w:pPr>
        <w:pStyle w:val="Heading2"/>
        <w:keepNext w:val="0"/>
        <w:widowControl w:val="0"/>
        <w:numPr>
          <w:ilvl w:val="2"/>
          <w:numId w:val="5"/>
        </w:numPr>
        <w:tabs>
          <w:tab w:val="left" w:pos="1418"/>
        </w:tabs>
        <w:ind w:left="851" w:hanging="851"/>
        <w:jc w:val="both"/>
        <w:rPr>
          <w:rFonts w:eastAsia="Arial" w:cs="Arial"/>
          <w:b/>
          <w:bCs/>
          <w:u w:val="none"/>
          <w:lang w:val="en-US"/>
        </w:rPr>
      </w:pPr>
      <w:r w:rsidRPr="006B71AB">
        <w:rPr>
          <w:rFonts w:eastAsia="Arial" w:cs="Arial"/>
          <w:b/>
          <w:bCs/>
          <w:u w:val="none"/>
          <w:lang w:val="en-US"/>
        </w:rPr>
        <w:t>Non-life insurers</w:t>
      </w:r>
    </w:p>
    <w:p w14:paraId="68B54ABD" w14:textId="77777777" w:rsidR="00DB6E86" w:rsidRPr="00DB6E86" w:rsidRDefault="00DB6E86" w:rsidP="00DB6E86">
      <w:pPr>
        <w:rPr>
          <w:rFonts w:eastAsia="Arial"/>
          <w:lang w:val="en-US"/>
        </w:rPr>
      </w:pPr>
    </w:p>
    <w:p w14:paraId="0CFD0F5A" w14:textId="47C8B073" w:rsidR="00060C7B" w:rsidRPr="00BD6DCF" w:rsidRDefault="00B21DC1" w:rsidP="00CC37EF">
      <w:pPr>
        <w:pStyle w:val="ListParagraph"/>
        <w:numPr>
          <w:ilvl w:val="0"/>
          <w:numId w:val="36"/>
        </w:numPr>
        <w:tabs>
          <w:tab w:val="left" w:pos="851"/>
        </w:tabs>
        <w:jc w:val="both"/>
        <w:rPr>
          <w:rFonts w:eastAsia="Arial"/>
          <w:iCs/>
          <w:lang w:val="en-US"/>
        </w:rPr>
      </w:pPr>
      <w:r>
        <w:rPr>
          <w:rFonts w:eastAsia="Arial"/>
          <w:lang w:val="en-US"/>
        </w:rPr>
        <w:t>For</w:t>
      </w:r>
      <w:r w:rsidR="00060C7B" w:rsidRPr="00BD6DCF">
        <w:rPr>
          <w:rFonts w:eastAsia="Arial"/>
          <w:lang w:val="en-US"/>
        </w:rPr>
        <w:t xml:space="preserve"> non-life insurers, disclosures may include information illustrating how technical provisions develop over time, particularly for longer-tailed classes of business. Examples of </w:t>
      </w:r>
      <w:r w:rsidRPr="00B21DC1">
        <w:rPr>
          <w:rFonts w:eastAsia="Arial"/>
          <w:lang w:val="en-US"/>
        </w:rPr>
        <w:t>such</w:t>
      </w:r>
      <w:r w:rsidR="00060C7B" w:rsidRPr="00BD6DCF">
        <w:rPr>
          <w:rFonts w:eastAsia="Arial"/>
          <w:lang w:val="en-US"/>
        </w:rPr>
        <w:t xml:space="preserve"> information include:</w:t>
      </w:r>
    </w:p>
    <w:p w14:paraId="643746AF" w14:textId="41467E01" w:rsidR="00B21DC1" w:rsidRDefault="00D2240E" w:rsidP="00B21DC1">
      <w:pPr>
        <w:pStyle w:val="Heading4"/>
        <w:numPr>
          <w:ilvl w:val="0"/>
          <w:numId w:val="17"/>
        </w:numPr>
        <w:jc w:val="both"/>
      </w:pPr>
      <w:r>
        <w:t>s</w:t>
      </w:r>
      <w:r w:rsidR="00060C7B">
        <w:t xml:space="preserve">ummaries of run-off experience over </w:t>
      </w:r>
      <w:r w:rsidR="00006697">
        <w:t>several</w:t>
      </w:r>
      <w:r w:rsidR="00060C7B">
        <w:t xml:space="preserve"> years, the length of which typically reflects the loss development characteristics of the relevant classes of business; and </w:t>
      </w:r>
    </w:p>
    <w:p w14:paraId="2585BEAD" w14:textId="485CC0A8" w:rsidR="006248D0" w:rsidRDefault="00D2240E" w:rsidP="00BD6DCF">
      <w:pPr>
        <w:pStyle w:val="Heading4"/>
        <w:numPr>
          <w:ilvl w:val="0"/>
          <w:numId w:val="17"/>
        </w:numPr>
        <w:jc w:val="both"/>
      </w:pPr>
      <w:r>
        <w:t>i</w:t>
      </w:r>
      <w:r w:rsidR="00060C7B">
        <w:t>llustrative information on claims development, such as the evolution of estimated claims provisions and claims paid over successive reporting periods.</w:t>
      </w:r>
    </w:p>
    <w:p w14:paraId="061C1189" w14:textId="13A28B9D" w:rsidR="0036279B" w:rsidRPr="004B3B9A" w:rsidRDefault="006248D0" w:rsidP="00CC37EF">
      <w:pPr>
        <w:pStyle w:val="ListParagraph"/>
        <w:numPr>
          <w:ilvl w:val="0"/>
          <w:numId w:val="36"/>
        </w:numPr>
        <w:tabs>
          <w:tab w:val="left" w:pos="851"/>
        </w:tabs>
        <w:jc w:val="both"/>
        <w:rPr>
          <w:rFonts w:eastAsia="Arial"/>
          <w:lang w:val="en-US"/>
        </w:rPr>
      </w:pPr>
      <w:r>
        <w:t xml:space="preserve">Where such information is presented, insurers generally ensure that it is prepared </w:t>
      </w:r>
      <w:r w:rsidR="00006697">
        <w:t>consistently</w:t>
      </w:r>
      <w:r>
        <w:t xml:space="preserve"> (</w:t>
      </w:r>
      <w:r w:rsidR="00D2240E">
        <w:t>e.g.</w:t>
      </w:r>
      <w:r w:rsidR="005B324A">
        <w:t xml:space="preserve"> </w:t>
      </w:r>
      <w:r>
        <w:t>accident year or underwriting year) and is reconcilable to amounts reported in the financial statements to support transparency and understandability.</w:t>
      </w:r>
    </w:p>
    <w:p w14:paraId="0AB429DB" w14:textId="77777777" w:rsidR="00322A65" w:rsidRPr="00412275" w:rsidRDefault="00322A65" w:rsidP="00A52864">
      <w:pPr>
        <w:spacing w:before="8"/>
        <w:jc w:val="both"/>
        <w:rPr>
          <w:rFonts w:eastAsia="Arial" w:cs="Arial"/>
          <w:szCs w:val="24"/>
          <w:lang w:val="en-US"/>
        </w:rPr>
      </w:pPr>
    </w:p>
    <w:p w14:paraId="3A5B808D" w14:textId="713D6A5C" w:rsidR="006B17C4" w:rsidRPr="005A2997" w:rsidRDefault="006B17C4" w:rsidP="00972AC6">
      <w:pPr>
        <w:pStyle w:val="ListParagraph"/>
        <w:numPr>
          <w:ilvl w:val="1"/>
          <w:numId w:val="5"/>
        </w:numPr>
        <w:tabs>
          <w:tab w:val="left" w:pos="851"/>
        </w:tabs>
        <w:ind w:left="851" w:hanging="851"/>
        <w:jc w:val="both"/>
        <w:rPr>
          <w:b/>
          <w:bCs/>
          <w:szCs w:val="24"/>
        </w:rPr>
      </w:pPr>
      <w:r w:rsidRPr="00A52864">
        <w:rPr>
          <w:b/>
          <w:bCs/>
          <w:spacing w:val="-1"/>
        </w:rPr>
        <w:t>Insurance</w:t>
      </w:r>
      <w:r w:rsidRPr="00A52864">
        <w:rPr>
          <w:b/>
          <w:bCs/>
          <w:spacing w:val="1"/>
          <w:szCs w:val="24"/>
        </w:rPr>
        <w:t xml:space="preserve"> </w:t>
      </w:r>
      <w:r w:rsidRPr="00A52864">
        <w:rPr>
          <w:b/>
          <w:bCs/>
          <w:spacing w:val="-1"/>
        </w:rPr>
        <w:t>risk</w:t>
      </w:r>
      <w:r w:rsidRPr="00A52864">
        <w:rPr>
          <w:b/>
          <w:bCs/>
          <w:szCs w:val="24"/>
        </w:rPr>
        <w:t xml:space="preserve"> </w:t>
      </w:r>
      <w:r w:rsidRPr="00A52864">
        <w:rPr>
          <w:b/>
          <w:bCs/>
          <w:spacing w:val="-1"/>
        </w:rPr>
        <w:t>exposures</w:t>
      </w:r>
    </w:p>
    <w:p w14:paraId="635F8387" w14:textId="77777777" w:rsidR="006B17C4" w:rsidRPr="00412275" w:rsidRDefault="006B17C4" w:rsidP="002A119C">
      <w:pPr>
        <w:ind w:left="851" w:hanging="851"/>
        <w:jc w:val="both"/>
        <w:rPr>
          <w:rFonts w:eastAsia="Arial" w:cs="Arial"/>
          <w:szCs w:val="24"/>
        </w:rPr>
      </w:pPr>
    </w:p>
    <w:p w14:paraId="4AAE9F55" w14:textId="56956B15" w:rsidR="006E2990" w:rsidRDefault="006E2990" w:rsidP="00972AC6">
      <w:pPr>
        <w:pStyle w:val="BodyText"/>
        <w:widowControl w:val="0"/>
        <w:numPr>
          <w:ilvl w:val="2"/>
          <w:numId w:val="5"/>
        </w:numPr>
        <w:tabs>
          <w:tab w:val="left" w:pos="1134"/>
        </w:tabs>
        <w:ind w:left="851" w:hanging="851"/>
        <w:jc w:val="both"/>
        <w:rPr>
          <w:spacing w:val="-1"/>
          <w:sz w:val="24"/>
          <w:szCs w:val="24"/>
        </w:rPr>
      </w:pPr>
      <w:r>
        <w:rPr>
          <w:spacing w:val="-1"/>
          <w:sz w:val="24"/>
          <w:szCs w:val="24"/>
        </w:rPr>
        <w:t xml:space="preserve">Information on insurance risk exposure provides context for understanding the insurer’s risk profile and how its insurance </w:t>
      </w:r>
      <w:r w:rsidR="00006697">
        <w:rPr>
          <w:spacing w:val="-1"/>
          <w:sz w:val="24"/>
          <w:szCs w:val="24"/>
        </w:rPr>
        <w:t>risk</w:t>
      </w:r>
      <w:r>
        <w:rPr>
          <w:spacing w:val="-1"/>
          <w:sz w:val="24"/>
          <w:szCs w:val="24"/>
        </w:rPr>
        <w:t xml:space="preserve"> management practices support ongoing financial soundness.</w:t>
      </w:r>
    </w:p>
    <w:p w14:paraId="24BEE9E2" w14:textId="77777777" w:rsidR="008548B7" w:rsidRDefault="008548B7" w:rsidP="00BD6DCF">
      <w:pPr>
        <w:pStyle w:val="BodyText"/>
        <w:widowControl w:val="0"/>
        <w:tabs>
          <w:tab w:val="left" w:pos="1134"/>
        </w:tabs>
        <w:ind w:left="851"/>
        <w:jc w:val="both"/>
        <w:rPr>
          <w:spacing w:val="-1"/>
          <w:sz w:val="24"/>
          <w:szCs w:val="24"/>
        </w:rPr>
      </w:pPr>
    </w:p>
    <w:p w14:paraId="6245B7DE" w14:textId="14602E2A" w:rsidR="006B17C4" w:rsidRDefault="008548B7" w:rsidP="00972AC6">
      <w:pPr>
        <w:pStyle w:val="BodyText"/>
        <w:widowControl w:val="0"/>
        <w:numPr>
          <w:ilvl w:val="2"/>
          <w:numId w:val="5"/>
        </w:numPr>
        <w:tabs>
          <w:tab w:val="left" w:pos="1134"/>
        </w:tabs>
        <w:ind w:left="851" w:hanging="851"/>
        <w:jc w:val="both"/>
        <w:rPr>
          <w:spacing w:val="-1"/>
          <w:sz w:val="24"/>
          <w:szCs w:val="24"/>
        </w:rPr>
      </w:pPr>
      <w:r w:rsidRPr="006E3D85">
        <w:rPr>
          <w:spacing w:val="-1"/>
          <w:sz w:val="24"/>
          <w:szCs w:val="24"/>
        </w:rPr>
        <w:t>Risk concentration</w:t>
      </w:r>
      <w:r w:rsidRPr="005B324A">
        <w:rPr>
          <w:spacing w:val="-1"/>
          <w:sz w:val="24"/>
          <w:szCs w:val="24"/>
        </w:rPr>
        <w:t xml:space="preserve">: </w:t>
      </w:r>
      <w:r>
        <w:rPr>
          <w:spacing w:val="-1"/>
          <w:sz w:val="24"/>
          <w:szCs w:val="24"/>
        </w:rPr>
        <w:t>To support disclosures on</w:t>
      </w:r>
      <w:r w:rsidR="00BF2EEB">
        <w:rPr>
          <w:spacing w:val="-1"/>
          <w:sz w:val="24"/>
          <w:szCs w:val="24"/>
        </w:rPr>
        <w:t xml:space="preserve"> </w:t>
      </w:r>
      <w:r w:rsidR="00885728" w:rsidRPr="001E05E8">
        <w:rPr>
          <w:spacing w:val="-1"/>
          <w:sz w:val="24"/>
          <w:szCs w:val="24"/>
        </w:rPr>
        <w:t xml:space="preserve">significant </w:t>
      </w:r>
      <w:r w:rsidRPr="001E05E8">
        <w:rPr>
          <w:spacing w:val="-1"/>
          <w:sz w:val="24"/>
          <w:szCs w:val="24"/>
        </w:rPr>
        <w:t>risk concentrations</w:t>
      </w:r>
      <w:r>
        <w:rPr>
          <w:spacing w:val="-1"/>
          <w:sz w:val="24"/>
          <w:szCs w:val="24"/>
        </w:rPr>
        <w:t xml:space="preserve">, insurers may include additional contextual information on the nature and sources of concentration risk. This may, for example, cover concentrations arising from </w:t>
      </w:r>
      <w:proofErr w:type="gramStart"/>
      <w:r>
        <w:rPr>
          <w:spacing w:val="-1"/>
          <w:sz w:val="24"/>
          <w:szCs w:val="24"/>
        </w:rPr>
        <w:t>particular</w:t>
      </w:r>
      <w:r w:rsidR="00BF3F37">
        <w:rPr>
          <w:spacing w:val="-1"/>
          <w:sz w:val="24"/>
          <w:szCs w:val="24"/>
        </w:rPr>
        <w:t xml:space="preserve"> </w:t>
      </w:r>
      <w:r>
        <w:rPr>
          <w:spacing w:val="-1"/>
          <w:sz w:val="24"/>
          <w:szCs w:val="24"/>
        </w:rPr>
        <w:t>product</w:t>
      </w:r>
      <w:proofErr w:type="gramEnd"/>
      <w:r>
        <w:rPr>
          <w:spacing w:val="-1"/>
          <w:sz w:val="24"/>
          <w:szCs w:val="24"/>
        </w:rPr>
        <w:t xml:space="preserve"> lines, geographic regions or portfolios, and how such concentrations are affected by reinsurance or other risk mitigation techniques.</w:t>
      </w:r>
    </w:p>
    <w:p w14:paraId="796C171A" w14:textId="77777777" w:rsidR="008548B7" w:rsidRDefault="008548B7" w:rsidP="00BD6DCF">
      <w:pPr>
        <w:pStyle w:val="ListParagraph"/>
        <w:rPr>
          <w:spacing w:val="-1"/>
          <w:szCs w:val="24"/>
        </w:rPr>
      </w:pPr>
    </w:p>
    <w:p w14:paraId="032339C6" w14:textId="7BBC8576" w:rsidR="008548B7" w:rsidRDefault="008548B7" w:rsidP="00BD6DCF">
      <w:pPr>
        <w:pStyle w:val="BodyText"/>
        <w:widowControl w:val="0"/>
        <w:tabs>
          <w:tab w:val="left" w:pos="1134"/>
        </w:tabs>
        <w:ind w:left="851"/>
        <w:jc w:val="both"/>
        <w:rPr>
          <w:spacing w:val="-1"/>
          <w:sz w:val="24"/>
          <w:szCs w:val="24"/>
        </w:rPr>
      </w:pPr>
      <w:r>
        <w:rPr>
          <w:spacing w:val="-1"/>
          <w:sz w:val="24"/>
          <w:szCs w:val="24"/>
        </w:rPr>
        <w:t>Where reinsurance arrangements give rise to material counterparty or concentration risk, insurers may also explain how these risks are identified and managed within the overall insurance risk framework.</w:t>
      </w:r>
    </w:p>
    <w:p w14:paraId="636E4E92" w14:textId="77777777" w:rsidR="00F41510" w:rsidRPr="00412275" w:rsidRDefault="00F41510" w:rsidP="002A119C">
      <w:pPr>
        <w:pStyle w:val="BodyText"/>
        <w:widowControl w:val="0"/>
        <w:tabs>
          <w:tab w:val="left" w:pos="1134"/>
        </w:tabs>
        <w:ind w:left="851" w:hanging="851"/>
        <w:jc w:val="both"/>
        <w:rPr>
          <w:spacing w:val="-1"/>
          <w:sz w:val="24"/>
          <w:szCs w:val="24"/>
        </w:rPr>
      </w:pPr>
    </w:p>
    <w:p w14:paraId="56ADA57E" w14:textId="5DD2C9D8" w:rsidR="0081349E" w:rsidRPr="005B324A" w:rsidRDefault="008548B7" w:rsidP="008253DB">
      <w:pPr>
        <w:pStyle w:val="BodyText"/>
        <w:widowControl w:val="0"/>
        <w:numPr>
          <w:ilvl w:val="2"/>
          <w:numId w:val="5"/>
        </w:numPr>
        <w:tabs>
          <w:tab w:val="left" w:pos="1134"/>
        </w:tabs>
        <w:ind w:left="851" w:hanging="851"/>
        <w:jc w:val="both"/>
        <w:rPr>
          <w:spacing w:val="-1"/>
          <w:sz w:val="24"/>
          <w:szCs w:val="24"/>
        </w:rPr>
      </w:pPr>
      <w:r w:rsidRPr="006E3D85">
        <w:rPr>
          <w:spacing w:val="-1"/>
          <w:sz w:val="24"/>
          <w:szCs w:val="24"/>
        </w:rPr>
        <w:t>Life and non-life risk sensitivities</w:t>
      </w:r>
      <w:r w:rsidRPr="005B324A">
        <w:rPr>
          <w:spacing w:val="-1"/>
          <w:sz w:val="24"/>
          <w:szCs w:val="24"/>
        </w:rPr>
        <w:t>: Disclosures may include illustrative information on how changes in key assumptions could affect insurance risk exposure. For example, life insurers may present sensitivities to changes in mortality, longevity or disability assumptions, while non-life i</w:t>
      </w:r>
      <w:r w:rsidR="00347BD0" w:rsidRPr="005B324A">
        <w:rPr>
          <w:spacing w:val="-1"/>
          <w:sz w:val="24"/>
          <w:szCs w:val="24"/>
        </w:rPr>
        <w:t>n</w:t>
      </w:r>
      <w:r w:rsidRPr="005B324A">
        <w:rPr>
          <w:spacing w:val="-1"/>
          <w:sz w:val="24"/>
          <w:szCs w:val="24"/>
        </w:rPr>
        <w:t>surers may present</w:t>
      </w:r>
      <w:r w:rsidR="00347BD0" w:rsidRPr="005B324A">
        <w:rPr>
          <w:spacing w:val="-1"/>
          <w:sz w:val="24"/>
          <w:szCs w:val="24"/>
        </w:rPr>
        <w:t xml:space="preserve"> sensitivities</w:t>
      </w:r>
      <w:r w:rsidRPr="005B324A">
        <w:rPr>
          <w:spacing w:val="-1"/>
          <w:sz w:val="24"/>
          <w:szCs w:val="24"/>
        </w:rPr>
        <w:t xml:space="preserve"> to changes in claims inflation or assumptions </w:t>
      </w:r>
      <w:r w:rsidR="00347BD0" w:rsidRPr="005B324A">
        <w:rPr>
          <w:spacing w:val="-1"/>
          <w:sz w:val="24"/>
          <w:szCs w:val="24"/>
        </w:rPr>
        <w:t>relating</w:t>
      </w:r>
      <w:r w:rsidRPr="005B324A">
        <w:rPr>
          <w:spacing w:val="-1"/>
          <w:sz w:val="24"/>
          <w:szCs w:val="24"/>
        </w:rPr>
        <w:t xml:space="preserve"> </w:t>
      </w:r>
      <w:r w:rsidR="00006697" w:rsidRPr="005B324A">
        <w:rPr>
          <w:spacing w:val="-1"/>
          <w:sz w:val="24"/>
          <w:szCs w:val="24"/>
        </w:rPr>
        <w:t>to</w:t>
      </w:r>
      <w:r w:rsidRPr="005B324A">
        <w:rPr>
          <w:spacing w:val="-1"/>
          <w:sz w:val="24"/>
          <w:szCs w:val="24"/>
        </w:rPr>
        <w:t xml:space="preserve"> loss frequency and severity</w:t>
      </w:r>
      <w:r w:rsidR="00347BD0" w:rsidRPr="005B324A">
        <w:rPr>
          <w:spacing w:val="-1"/>
          <w:sz w:val="24"/>
          <w:szCs w:val="24"/>
        </w:rPr>
        <w:t xml:space="preserve">. </w:t>
      </w:r>
    </w:p>
    <w:p w14:paraId="0B17E806" w14:textId="77777777" w:rsidR="002A0242" w:rsidRPr="005B324A" w:rsidRDefault="002A0242" w:rsidP="008435DF">
      <w:pPr>
        <w:pStyle w:val="ListParagraph"/>
        <w:rPr>
          <w:spacing w:val="-1"/>
          <w:szCs w:val="24"/>
        </w:rPr>
      </w:pPr>
    </w:p>
    <w:p w14:paraId="5BE7B7C2" w14:textId="2A5B8A6B" w:rsidR="002A0242" w:rsidRPr="005B324A" w:rsidRDefault="00347BD0" w:rsidP="00972AC6">
      <w:pPr>
        <w:pStyle w:val="ListParagraph"/>
        <w:numPr>
          <w:ilvl w:val="2"/>
          <w:numId w:val="5"/>
        </w:numPr>
        <w:ind w:left="851" w:hanging="851"/>
        <w:jc w:val="both"/>
        <w:rPr>
          <w:spacing w:val="-1"/>
          <w:szCs w:val="24"/>
        </w:rPr>
      </w:pPr>
      <w:r w:rsidRPr="006E3D85">
        <w:rPr>
          <w:spacing w:val="-1"/>
        </w:rPr>
        <w:t>Reinsurance and risk transfer arrangements</w:t>
      </w:r>
      <w:r w:rsidRPr="005B324A">
        <w:rPr>
          <w:spacing w:val="-1"/>
        </w:rPr>
        <w:t xml:space="preserve">: Quantitative information on reinsurance and other risk transfer arrangements may include </w:t>
      </w:r>
      <w:r w:rsidR="00006697" w:rsidRPr="005B324A">
        <w:rPr>
          <w:spacing w:val="-1"/>
        </w:rPr>
        <w:t>high-level</w:t>
      </w:r>
      <w:r w:rsidRPr="005B324A">
        <w:rPr>
          <w:spacing w:val="-1"/>
        </w:rPr>
        <w:t xml:space="preserve"> information on the types of arrangements in place, such as treaty or facultative reinsurance, and proportional or non-proportional structures. This information may assist stakeholders in understanding how insurance risks are shared or transferred and how these arrangements support the insurer’s risk management approach. </w:t>
      </w:r>
    </w:p>
    <w:p w14:paraId="5BE0B5DC" w14:textId="77777777" w:rsidR="0081349E" w:rsidRPr="005B324A" w:rsidRDefault="0081349E" w:rsidP="00220709">
      <w:pPr>
        <w:pStyle w:val="BodyText"/>
        <w:widowControl w:val="0"/>
        <w:tabs>
          <w:tab w:val="left" w:pos="1134"/>
        </w:tabs>
        <w:jc w:val="both"/>
        <w:rPr>
          <w:spacing w:val="-1"/>
          <w:sz w:val="24"/>
          <w:szCs w:val="24"/>
        </w:rPr>
      </w:pPr>
    </w:p>
    <w:p w14:paraId="6D495EBD" w14:textId="70448E81" w:rsidR="00347BD0" w:rsidRPr="00BD6DCF" w:rsidRDefault="00347BD0" w:rsidP="00347BD0">
      <w:pPr>
        <w:pStyle w:val="BodyText"/>
        <w:widowControl w:val="0"/>
        <w:numPr>
          <w:ilvl w:val="2"/>
          <w:numId w:val="5"/>
        </w:numPr>
        <w:tabs>
          <w:tab w:val="left" w:pos="1134"/>
        </w:tabs>
        <w:ind w:left="851" w:hanging="851"/>
        <w:jc w:val="both"/>
        <w:rPr>
          <w:spacing w:val="-1"/>
          <w:szCs w:val="24"/>
        </w:rPr>
      </w:pPr>
      <w:r w:rsidRPr="006E3D85">
        <w:rPr>
          <w:spacing w:val="-1"/>
          <w:sz w:val="24"/>
          <w:szCs w:val="24"/>
        </w:rPr>
        <w:t>Reinsurance concentration</w:t>
      </w:r>
      <w:r w:rsidRPr="005B324A">
        <w:rPr>
          <w:spacing w:val="-1"/>
          <w:sz w:val="24"/>
          <w:szCs w:val="24"/>
        </w:rPr>
        <w:t>: Where reinsurance is material to the insurer’s business model, disclosures may include illustrative information on the</w:t>
      </w:r>
      <w:r w:rsidRPr="00347BD0">
        <w:rPr>
          <w:spacing w:val="-1"/>
          <w:sz w:val="24"/>
          <w:szCs w:val="24"/>
        </w:rPr>
        <w:t xml:space="preserve"> concentration of </w:t>
      </w:r>
      <w:r w:rsidRPr="00347BD0">
        <w:rPr>
          <w:spacing w:val="-1"/>
          <w:sz w:val="24"/>
          <w:szCs w:val="24"/>
        </w:rPr>
        <w:lastRenderedPageBreak/>
        <w:t xml:space="preserve">reinsurance exposure, such as the proportion of reinsurance premiums ceded to the largest reinsurers. This may assist stakeholders in assessing reliance on individual counterparties and the resilience of the insurer’s risk transfer arrangements. </w:t>
      </w:r>
    </w:p>
    <w:p w14:paraId="18BA7B15" w14:textId="2A1B437E" w:rsidR="004A4328" w:rsidRDefault="00EB102F" w:rsidP="00BD6DCF">
      <w:pPr>
        <w:pStyle w:val="BodyText"/>
        <w:widowControl w:val="0"/>
        <w:tabs>
          <w:tab w:val="left" w:pos="1134"/>
        </w:tabs>
        <w:ind w:left="851"/>
        <w:jc w:val="both"/>
        <w:rPr>
          <w:rFonts w:eastAsia="Arial" w:cs="Arial"/>
          <w:szCs w:val="24"/>
          <w:lang w:val="en-US"/>
        </w:rPr>
      </w:pPr>
      <w:r>
        <w:rPr>
          <w:spacing w:val="-1"/>
          <w:sz w:val="24"/>
          <w:szCs w:val="24"/>
        </w:rPr>
        <w:t xml:space="preserve"> </w:t>
      </w:r>
    </w:p>
    <w:p w14:paraId="3C031DA5" w14:textId="2C351353" w:rsidR="000C1248" w:rsidRPr="00A52864" w:rsidRDefault="000C1248" w:rsidP="00972AC6">
      <w:pPr>
        <w:pStyle w:val="ListParagraph"/>
        <w:numPr>
          <w:ilvl w:val="1"/>
          <w:numId w:val="5"/>
        </w:numPr>
        <w:tabs>
          <w:tab w:val="left" w:pos="851"/>
        </w:tabs>
        <w:ind w:left="851" w:hanging="851"/>
        <w:jc w:val="both"/>
        <w:rPr>
          <w:rFonts w:eastAsia="Arial" w:cs="Arial"/>
          <w:b/>
          <w:bCs/>
          <w:szCs w:val="24"/>
          <w:lang w:val="en-US"/>
        </w:rPr>
      </w:pPr>
      <w:r w:rsidRPr="00A52864">
        <w:rPr>
          <w:rFonts w:eastAsia="Arial" w:cs="Arial"/>
          <w:b/>
          <w:bCs/>
          <w:lang w:val="en-US"/>
        </w:rPr>
        <w:t>Financial instruments and other investments</w:t>
      </w:r>
    </w:p>
    <w:p w14:paraId="51093607" w14:textId="77777777" w:rsidR="00E87FF3" w:rsidRDefault="00E87FF3" w:rsidP="00E87FF3">
      <w:pPr>
        <w:rPr>
          <w:rFonts w:eastAsia="Arial"/>
          <w:lang w:val="en-US"/>
        </w:rPr>
      </w:pPr>
    </w:p>
    <w:p w14:paraId="14F334D5" w14:textId="21060127" w:rsidR="00F85F10" w:rsidRPr="001A36DC" w:rsidRDefault="00F85F10" w:rsidP="006E3D85">
      <w:pPr>
        <w:pStyle w:val="ListParagraph"/>
        <w:numPr>
          <w:ilvl w:val="2"/>
          <w:numId w:val="5"/>
        </w:numPr>
        <w:ind w:left="851" w:hanging="851"/>
        <w:jc w:val="both"/>
        <w:rPr>
          <w:rFonts w:eastAsia="Arial"/>
          <w:szCs w:val="24"/>
          <w:lang w:val="en-US"/>
        </w:rPr>
      </w:pPr>
      <w:r w:rsidRPr="001A36DC">
        <w:rPr>
          <w:rFonts w:eastAsia="Arial"/>
          <w:szCs w:val="24"/>
          <w:lang w:val="en-US"/>
        </w:rPr>
        <w:t xml:space="preserve">Information on financial instruments and other investments provides context for understanding the composition of an insurer’s investment portfolio and how investment activities may affect financial performance, </w:t>
      </w:r>
      <w:r w:rsidRPr="00AA264A">
        <w:rPr>
          <w:rFonts w:eastAsia="Arial"/>
          <w:szCs w:val="24"/>
          <w:lang w:val="en-US"/>
        </w:rPr>
        <w:t>financial and solvency</w:t>
      </w:r>
      <w:r w:rsidR="00885728">
        <w:rPr>
          <w:rFonts w:eastAsia="Arial"/>
          <w:szCs w:val="24"/>
          <w:lang w:val="en-US"/>
        </w:rPr>
        <w:t xml:space="preserve"> position</w:t>
      </w:r>
      <w:r w:rsidRPr="001A36DC">
        <w:rPr>
          <w:rFonts w:eastAsia="Arial"/>
          <w:szCs w:val="24"/>
          <w:lang w:val="en-US"/>
        </w:rPr>
        <w:t>.</w:t>
      </w:r>
    </w:p>
    <w:p w14:paraId="43B2248F" w14:textId="77777777" w:rsidR="00DB6E86" w:rsidRPr="001A36DC" w:rsidRDefault="00DB6E86" w:rsidP="00DB6E86">
      <w:pPr>
        <w:pStyle w:val="ListParagraph"/>
        <w:ind w:left="851"/>
        <w:rPr>
          <w:rFonts w:eastAsia="Arial"/>
          <w:szCs w:val="24"/>
          <w:lang w:val="en-US"/>
        </w:rPr>
      </w:pPr>
    </w:p>
    <w:p w14:paraId="7FE7FD95" w14:textId="00161BF8" w:rsidR="003B2D0A" w:rsidRPr="001A36DC" w:rsidRDefault="00CC609D" w:rsidP="00EC7645">
      <w:pPr>
        <w:pStyle w:val="BodyText"/>
        <w:widowControl w:val="0"/>
        <w:numPr>
          <w:ilvl w:val="2"/>
          <w:numId w:val="5"/>
        </w:numPr>
        <w:tabs>
          <w:tab w:val="left" w:pos="1134"/>
        </w:tabs>
        <w:ind w:left="851" w:hanging="851"/>
        <w:jc w:val="both"/>
        <w:rPr>
          <w:rFonts w:eastAsia="Arial"/>
          <w:sz w:val="24"/>
          <w:szCs w:val="24"/>
          <w:lang w:val="en-US"/>
        </w:rPr>
      </w:pPr>
      <w:r w:rsidRPr="006E3D85">
        <w:rPr>
          <w:rFonts w:eastAsia="Arial"/>
          <w:sz w:val="24"/>
          <w:szCs w:val="24"/>
          <w:lang w:val="en-US"/>
        </w:rPr>
        <w:t>Classification of investments</w:t>
      </w:r>
      <w:r w:rsidRPr="001A36DC">
        <w:rPr>
          <w:rFonts w:eastAsia="Arial"/>
          <w:sz w:val="24"/>
          <w:szCs w:val="24"/>
          <w:lang w:val="en-US"/>
        </w:rPr>
        <w:t xml:space="preserve">: </w:t>
      </w:r>
      <w:r w:rsidR="00D34DEC" w:rsidRPr="001A36DC">
        <w:rPr>
          <w:rFonts w:eastAsia="Arial"/>
          <w:sz w:val="24"/>
          <w:szCs w:val="24"/>
          <w:lang w:val="en-US"/>
        </w:rPr>
        <w:t xml:space="preserve">For </w:t>
      </w:r>
      <w:r w:rsidR="0066589B" w:rsidRPr="001A36DC">
        <w:rPr>
          <w:rFonts w:eastAsia="Arial"/>
          <w:sz w:val="24"/>
          <w:szCs w:val="24"/>
          <w:lang w:val="en-US"/>
        </w:rPr>
        <w:t>these</w:t>
      </w:r>
      <w:r w:rsidR="00D34DEC" w:rsidRPr="001A36DC">
        <w:rPr>
          <w:rFonts w:eastAsia="Arial"/>
          <w:sz w:val="24"/>
          <w:szCs w:val="24"/>
          <w:lang w:val="en-US"/>
        </w:rPr>
        <w:t xml:space="preserve"> disclosures, </w:t>
      </w:r>
      <w:r w:rsidR="00EC7645" w:rsidRPr="001A36DC">
        <w:rPr>
          <w:rFonts w:eastAsia="Arial"/>
          <w:sz w:val="24"/>
          <w:szCs w:val="24"/>
          <w:lang w:val="en-US"/>
        </w:rPr>
        <w:t>insurers</w:t>
      </w:r>
      <w:r w:rsidR="00D34DEC" w:rsidRPr="001A36DC">
        <w:rPr>
          <w:rFonts w:eastAsia="Arial"/>
          <w:sz w:val="24"/>
          <w:szCs w:val="24"/>
          <w:lang w:val="en-US"/>
        </w:rPr>
        <w:t xml:space="preserve"> may group </w:t>
      </w:r>
      <w:r w:rsidRPr="001A36DC">
        <w:rPr>
          <w:rFonts w:eastAsia="Arial"/>
          <w:sz w:val="24"/>
          <w:szCs w:val="24"/>
          <w:lang w:val="en-US"/>
        </w:rPr>
        <w:t xml:space="preserve">financial instruments and other investments </w:t>
      </w:r>
      <w:r w:rsidR="00D34DEC" w:rsidRPr="001A36DC">
        <w:rPr>
          <w:rFonts w:eastAsia="Arial"/>
          <w:sz w:val="24"/>
          <w:szCs w:val="24"/>
          <w:lang w:val="en-US"/>
        </w:rPr>
        <w:t>with similar characteristics or</w:t>
      </w:r>
      <w:r w:rsidRPr="001A36DC">
        <w:rPr>
          <w:rFonts w:eastAsia="Arial"/>
          <w:sz w:val="24"/>
          <w:szCs w:val="24"/>
          <w:lang w:val="en-US"/>
        </w:rPr>
        <w:t xml:space="preserve"> risk profiles</w:t>
      </w:r>
      <w:r w:rsidR="00D34DEC" w:rsidRPr="001A36DC">
        <w:rPr>
          <w:rFonts w:eastAsia="Arial"/>
          <w:sz w:val="24"/>
          <w:szCs w:val="24"/>
          <w:lang w:val="en-US"/>
        </w:rPr>
        <w:t xml:space="preserve"> into classes</w:t>
      </w:r>
      <w:r w:rsidRPr="001A36DC">
        <w:rPr>
          <w:rFonts w:eastAsia="Arial"/>
          <w:sz w:val="24"/>
          <w:szCs w:val="24"/>
          <w:lang w:val="en-US"/>
        </w:rPr>
        <w:t xml:space="preserve"> or categories. This may be broadly aligned with internal or regulatory reporting classifications, where such alignment assists in explaining the composition of the investment portfolio. Presenting information on this basis may assist stakeholders in identifying material exposures, concentrations and sources of investment risk.</w:t>
      </w:r>
    </w:p>
    <w:p w14:paraId="1713899B" w14:textId="77777777" w:rsidR="00DB6E86" w:rsidRPr="001A36DC" w:rsidRDefault="00DB6E86" w:rsidP="00DB6E86">
      <w:pPr>
        <w:pStyle w:val="BodyText"/>
        <w:widowControl w:val="0"/>
        <w:tabs>
          <w:tab w:val="left" w:pos="1134"/>
        </w:tabs>
        <w:jc w:val="both"/>
        <w:rPr>
          <w:rFonts w:eastAsia="Arial"/>
          <w:sz w:val="24"/>
          <w:szCs w:val="24"/>
          <w:lang w:val="en-US"/>
        </w:rPr>
      </w:pPr>
    </w:p>
    <w:p w14:paraId="025D50AD" w14:textId="5E7F5D8D" w:rsidR="00FF4D53" w:rsidRPr="001A36DC" w:rsidRDefault="00CC609D" w:rsidP="00972AC6">
      <w:pPr>
        <w:pStyle w:val="BodyText"/>
        <w:widowControl w:val="0"/>
        <w:numPr>
          <w:ilvl w:val="2"/>
          <w:numId w:val="5"/>
        </w:numPr>
        <w:tabs>
          <w:tab w:val="left" w:pos="1134"/>
        </w:tabs>
        <w:ind w:left="851" w:hanging="851"/>
        <w:jc w:val="both"/>
        <w:rPr>
          <w:rFonts w:eastAsia="Arial"/>
          <w:sz w:val="24"/>
          <w:szCs w:val="24"/>
          <w:lang w:val="en-US"/>
        </w:rPr>
      </w:pPr>
      <w:r w:rsidRPr="006E3D85">
        <w:rPr>
          <w:rFonts w:eastAsia="Arial"/>
          <w:sz w:val="24"/>
          <w:szCs w:val="24"/>
          <w:lang w:val="en-US"/>
        </w:rPr>
        <w:t>Investment objectives, strategies and policies</w:t>
      </w:r>
      <w:r w:rsidRPr="001A36DC">
        <w:rPr>
          <w:rFonts w:eastAsia="Arial"/>
          <w:sz w:val="24"/>
          <w:szCs w:val="24"/>
          <w:lang w:val="en-US"/>
        </w:rPr>
        <w:t>: W</w:t>
      </w:r>
      <w:r w:rsidR="00FF4D53" w:rsidRPr="001A36DC">
        <w:rPr>
          <w:rFonts w:eastAsia="Arial"/>
          <w:sz w:val="24"/>
          <w:szCs w:val="24"/>
          <w:lang w:val="en-US"/>
        </w:rPr>
        <w:t xml:space="preserve">here investment management objectives, </w:t>
      </w:r>
      <w:r w:rsidRPr="001A36DC">
        <w:rPr>
          <w:rFonts w:eastAsia="Arial"/>
          <w:sz w:val="24"/>
          <w:szCs w:val="24"/>
          <w:lang w:val="en-US"/>
        </w:rPr>
        <w:t xml:space="preserve">strategies or </w:t>
      </w:r>
      <w:r w:rsidR="00FF4D53" w:rsidRPr="001A36DC">
        <w:rPr>
          <w:rFonts w:eastAsia="Arial"/>
          <w:sz w:val="24"/>
          <w:szCs w:val="24"/>
          <w:lang w:val="en-US"/>
        </w:rPr>
        <w:t xml:space="preserve">policies </w:t>
      </w:r>
      <w:r w:rsidRPr="001A36DC">
        <w:rPr>
          <w:rFonts w:eastAsia="Arial"/>
          <w:sz w:val="24"/>
          <w:szCs w:val="24"/>
          <w:lang w:val="en-US"/>
        </w:rPr>
        <w:t xml:space="preserve">differ across </w:t>
      </w:r>
      <w:r w:rsidR="00FF4D53" w:rsidRPr="001A36DC">
        <w:rPr>
          <w:rFonts w:eastAsia="Arial"/>
          <w:sz w:val="24"/>
          <w:szCs w:val="24"/>
          <w:lang w:val="en-US"/>
        </w:rPr>
        <w:t xml:space="preserve">classes </w:t>
      </w:r>
      <w:r w:rsidRPr="001A36DC">
        <w:rPr>
          <w:rFonts w:eastAsia="Arial"/>
          <w:sz w:val="24"/>
          <w:szCs w:val="24"/>
          <w:lang w:val="en-US"/>
        </w:rPr>
        <w:t xml:space="preserve">or </w:t>
      </w:r>
      <w:r w:rsidR="00FF4D53" w:rsidRPr="001A36DC">
        <w:rPr>
          <w:rFonts w:eastAsia="Arial"/>
          <w:sz w:val="24"/>
          <w:szCs w:val="24"/>
          <w:lang w:val="en-US"/>
        </w:rPr>
        <w:t>subclasses of an insurer’s investment portfolio, the disclosures m</w:t>
      </w:r>
      <w:r w:rsidRPr="001A36DC">
        <w:rPr>
          <w:rFonts w:eastAsia="Arial"/>
          <w:sz w:val="24"/>
          <w:szCs w:val="24"/>
          <w:lang w:val="en-US"/>
        </w:rPr>
        <w:t xml:space="preserve">ay include explanatory information highlighting these differences. Such information may assist stakeholders in understanding how different segments of the investment portfolio are managed and how those approaches relate to the insurer’s overall risk profile, liquidity management practices and financial objectives. </w:t>
      </w:r>
      <w:r w:rsidR="00FF4D53" w:rsidRPr="001A36DC">
        <w:rPr>
          <w:rFonts w:eastAsia="Arial"/>
          <w:sz w:val="24"/>
          <w:szCs w:val="24"/>
          <w:lang w:val="en-US"/>
        </w:rPr>
        <w:t xml:space="preserve"> </w:t>
      </w:r>
    </w:p>
    <w:p w14:paraId="0083564D" w14:textId="77777777" w:rsidR="00DA0EF0" w:rsidRPr="007D7777" w:rsidRDefault="00DA0EF0" w:rsidP="002F70A5">
      <w:pPr>
        <w:pStyle w:val="BodyText"/>
        <w:widowControl w:val="0"/>
        <w:tabs>
          <w:tab w:val="left" w:pos="1134"/>
        </w:tabs>
        <w:ind w:left="851"/>
        <w:jc w:val="both"/>
        <w:rPr>
          <w:rFonts w:eastAsia="Arial"/>
          <w:sz w:val="24"/>
          <w:szCs w:val="24"/>
          <w:lang w:val="en-US"/>
        </w:rPr>
      </w:pPr>
    </w:p>
    <w:p w14:paraId="1DE08875" w14:textId="28B8876A" w:rsidR="00DA1CE7" w:rsidRPr="005A2997" w:rsidRDefault="00C9250D" w:rsidP="00972AC6">
      <w:pPr>
        <w:pStyle w:val="ListParagraph"/>
        <w:numPr>
          <w:ilvl w:val="1"/>
          <w:numId w:val="5"/>
        </w:numPr>
        <w:tabs>
          <w:tab w:val="left" w:pos="1134"/>
        </w:tabs>
        <w:spacing w:before="8"/>
        <w:ind w:left="851" w:hanging="851"/>
        <w:jc w:val="both"/>
        <w:rPr>
          <w:rFonts w:eastAsia="Arial" w:cs="Arial"/>
          <w:b/>
          <w:bCs/>
          <w:szCs w:val="24"/>
          <w:lang w:val="en-US"/>
        </w:rPr>
      </w:pPr>
      <w:r w:rsidRPr="00A52864">
        <w:rPr>
          <w:rFonts w:eastAsia="Arial" w:cs="Arial"/>
          <w:b/>
          <w:bCs/>
          <w:lang w:val="en-US"/>
        </w:rPr>
        <w:t>Investment risk exposures</w:t>
      </w:r>
    </w:p>
    <w:p w14:paraId="436C06AC" w14:textId="77777777" w:rsidR="00C9250D" w:rsidRPr="00412275" w:rsidRDefault="00C9250D" w:rsidP="002A119C">
      <w:pPr>
        <w:tabs>
          <w:tab w:val="left" w:pos="1134"/>
        </w:tabs>
        <w:spacing w:before="8"/>
        <w:jc w:val="both"/>
        <w:rPr>
          <w:rFonts w:eastAsia="Arial" w:cs="Arial"/>
          <w:szCs w:val="24"/>
          <w:lang w:val="en-US"/>
        </w:rPr>
      </w:pPr>
    </w:p>
    <w:p w14:paraId="0B2CBCBA" w14:textId="2A0D66B0" w:rsidR="00C049CD" w:rsidRDefault="00582DA3" w:rsidP="00EC7645">
      <w:pPr>
        <w:pStyle w:val="BodyText"/>
        <w:widowControl w:val="0"/>
        <w:numPr>
          <w:ilvl w:val="2"/>
          <w:numId w:val="5"/>
        </w:numPr>
        <w:tabs>
          <w:tab w:val="left" w:pos="1134"/>
        </w:tabs>
        <w:ind w:left="851" w:hanging="851"/>
        <w:jc w:val="both"/>
        <w:rPr>
          <w:rFonts w:eastAsia="Arial"/>
          <w:sz w:val="24"/>
          <w:szCs w:val="24"/>
          <w:lang w:val="en-US"/>
        </w:rPr>
      </w:pPr>
      <w:r w:rsidRPr="00582DA3">
        <w:rPr>
          <w:rFonts w:eastAsia="Arial"/>
          <w:sz w:val="24"/>
          <w:szCs w:val="24"/>
          <w:lang w:val="en-US"/>
        </w:rPr>
        <w:t xml:space="preserve">Information on investment risk exposures provides context for understanding the nature and scale of risks arising from an insurer’s investment activities and how those risks are managed in support of financial performance, </w:t>
      </w:r>
      <w:r w:rsidRPr="002A10CD">
        <w:rPr>
          <w:rFonts w:eastAsia="Arial"/>
          <w:sz w:val="24"/>
          <w:szCs w:val="24"/>
          <w:lang w:val="en-US"/>
        </w:rPr>
        <w:t xml:space="preserve">financial </w:t>
      </w:r>
      <w:r w:rsidR="005D512F" w:rsidRPr="002A10CD">
        <w:rPr>
          <w:rFonts w:eastAsia="Arial"/>
          <w:sz w:val="24"/>
          <w:szCs w:val="24"/>
          <w:lang w:val="en-US"/>
        </w:rPr>
        <w:t>soundness</w:t>
      </w:r>
      <w:r w:rsidRPr="002A10CD">
        <w:rPr>
          <w:rFonts w:eastAsia="Arial"/>
          <w:sz w:val="24"/>
          <w:szCs w:val="24"/>
          <w:lang w:val="en-US"/>
        </w:rPr>
        <w:t xml:space="preserve"> and solvency</w:t>
      </w:r>
      <w:r w:rsidR="005D512F" w:rsidRPr="002A10CD">
        <w:rPr>
          <w:rFonts w:eastAsia="Arial"/>
          <w:sz w:val="24"/>
          <w:szCs w:val="24"/>
          <w:lang w:val="en-US"/>
        </w:rPr>
        <w:t xml:space="preserve"> position</w:t>
      </w:r>
      <w:r w:rsidRPr="002A10CD">
        <w:rPr>
          <w:rFonts w:eastAsia="Arial"/>
          <w:sz w:val="24"/>
          <w:szCs w:val="24"/>
          <w:lang w:val="en-US"/>
        </w:rPr>
        <w:t>. Disclosures may include qualitative and quantitative information illustrating how investment risk exposures arise from both assets and liabilities. For example, market risk associated with changes in interest rates</w:t>
      </w:r>
      <w:r w:rsidRPr="00582DA3">
        <w:rPr>
          <w:rFonts w:eastAsia="Arial"/>
          <w:sz w:val="24"/>
          <w:szCs w:val="24"/>
          <w:lang w:val="en-US"/>
        </w:rPr>
        <w:t xml:space="preserve"> may be reflected in movements in the valuation of fixed-income investments and, where applicable, insurance liabilities that are discounted using market interest rates.</w:t>
      </w:r>
    </w:p>
    <w:p w14:paraId="3D0040F4" w14:textId="77777777" w:rsidR="00DB6E86" w:rsidRPr="00EC7645" w:rsidRDefault="00DB6E86" w:rsidP="00DB6E86">
      <w:pPr>
        <w:pStyle w:val="BodyText"/>
        <w:widowControl w:val="0"/>
        <w:tabs>
          <w:tab w:val="left" w:pos="1134"/>
        </w:tabs>
        <w:ind w:left="851"/>
        <w:jc w:val="both"/>
        <w:rPr>
          <w:rFonts w:eastAsia="Arial"/>
          <w:sz w:val="24"/>
          <w:szCs w:val="24"/>
          <w:lang w:val="en-US"/>
        </w:rPr>
      </w:pPr>
    </w:p>
    <w:p w14:paraId="56B7B8E3" w14:textId="7A964C11" w:rsidR="00C049CD" w:rsidRPr="001A36DC" w:rsidRDefault="00582DA3" w:rsidP="00EC7645">
      <w:pPr>
        <w:pStyle w:val="BodyText"/>
        <w:widowControl w:val="0"/>
        <w:numPr>
          <w:ilvl w:val="2"/>
          <w:numId w:val="5"/>
        </w:numPr>
        <w:tabs>
          <w:tab w:val="left" w:pos="1134"/>
        </w:tabs>
        <w:ind w:left="851" w:hanging="851"/>
        <w:jc w:val="both"/>
        <w:rPr>
          <w:rFonts w:eastAsia="Arial"/>
          <w:sz w:val="24"/>
          <w:szCs w:val="24"/>
          <w:lang w:val="en-US"/>
        </w:rPr>
      </w:pPr>
      <w:r w:rsidRPr="006E3D85">
        <w:rPr>
          <w:rFonts w:eastAsia="Arial"/>
          <w:sz w:val="24"/>
          <w:szCs w:val="24"/>
          <w:lang w:val="en-US"/>
        </w:rPr>
        <w:t>Market, credit and liquidity risks</w:t>
      </w:r>
      <w:r w:rsidRPr="001A36DC">
        <w:rPr>
          <w:rFonts w:eastAsia="Arial"/>
          <w:sz w:val="24"/>
          <w:szCs w:val="24"/>
          <w:lang w:val="en-US"/>
        </w:rPr>
        <w:t>: Disclosures may include information on exposure to key categories of investment risk, such as market risk (including interest rate, equity, currency and commodity risks), credit risk and liquidity risk. Where relevant, this information may be presented in a manner that highlights material concentration, diversification effects and the interaction between different sources of investment risk.</w:t>
      </w:r>
    </w:p>
    <w:p w14:paraId="259769FD" w14:textId="77777777" w:rsidR="00DB6E86" w:rsidRPr="001A36DC" w:rsidRDefault="00DB6E86" w:rsidP="00DB6E86">
      <w:pPr>
        <w:pStyle w:val="BodyText"/>
        <w:widowControl w:val="0"/>
        <w:tabs>
          <w:tab w:val="left" w:pos="1134"/>
        </w:tabs>
        <w:jc w:val="both"/>
        <w:rPr>
          <w:rFonts w:eastAsia="Arial"/>
          <w:sz w:val="24"/>
          <w:szCs w:val="24"/>
          <w:lang w:val="en-US"/>
        </w:rPr>
      </w:pPr>
    </w:p>
    <w:p w14:paraId="3315074F" w14:textId="5813E08A" w:rsidR="00DA1CE7" w:rsidRPr="001A36DC" w:rsidRDefault="00582DA3" w:rsidP="00EC7645">
      <w:pPr>
        <w:pStyle w:val="BodyText"/>
        <w:widowControl w:val="0"/>
        <w:numPr>
          <w:ilvl w:val="2"/>
          <w:numId w:val="5"/>
        </w:numPr>
        <w:tabs>
          <w:tab w:val="left" w:pos="1134"/>
        </w:tabs>
        <w:ind w:left="851" w:hanging="851"/>
        <w:jc w:val="both"/>
        <w:rPr>
          <w:rFonts w:eastAsia="Arial"/>
          <w:sz w:val="24"/>
          <w:szCs w:val="24"/>
          <w:lang w:val="en-US"/>
        </w:rPr>
      </w:pPr>
      <w:r w:rsidRPr="006E3D85">
        <w:rPr>
          <w:rFonts w:eastAsia="Arial"/>
          <w:sz w:val="24"/>
          <w:szCs w:val="24"/>
          <w:lang w:val="en-US"/>
        </w:rPr>
        <w:t>Changes in investment risk exposures</w:t>
      </w:r>
      <w:r w:rsidRPr="001A36DC">
        <w:rPr>
          <w:rFonts w:eastAsia="Arial"/>
          <w:sz w:val="24"/>
          <w:szCs w:val="24"/>
          <w:lang w:val="en-US"/>
        </w:rPr>
        <w:t xml:space="preserve">: To support the assessment of changes in investment risk over time, disclosures may include information illustrating how exposures have evolved since the previous reporting period. This may </w:t>
      </w:r>
      <w:proofErr w:type="gramStart"/>
      <w:r w:rsidRPr="001A36DC">
        <w:rPr>
          <w:rFonts w:eastAsia="Arial"/>
          <w:sz w:val="24"/>
          <w:szCs w:val="24"/>
          <w:lang w:val="en-US"/>
        </w:rPr>
        <w:t>include, where</w:t>
      </w:r>
      <w:proofErr w:type="gramEnd"/>
      <w:r w:rsidRPr="001A36DC">
        <w:rPr>
          <w:rFonts w:eastAsia="Arial"/>
          <w:sz w:val="24"/>
          <w:szCs w:val="24"/>
          <w:lang w:val="en-US"/>
        </w:rPr>
        <w:t xml:space="preserve"> material, indicative ranges or measures of variability for significant investment </w:t>
      </w:r>
      <w:r w:rsidR="009F4694" w:rsidRPr="001A36DC">
        <w:rPr>
          <w:rFonts w:eastAsia="Arial"/>
          <w:sz w:val="24"/>
          <w:szCs w:val="24"/>
          <w:lang w:val="en-US"/>
        </w:rPr>
        <w:t>risks and</w:t>
      </w:r>
      <w:r w:rsidRPr="001A36DC">
        <w:rPr>
          <w:rFonts w:eastAsia="Arial"/>
          <w:sz w:val="24"/>
          <w:szCs w:val="24"/>
          <w:lang w:val="en-US"/>
        </w:rPr>
        <w:t xml:space="preserve"> context on the extent of fluctuation in exposures during the period.</w:t>
      </w:r>
    </w:p>
    <w:p w14:paraId="070E5539" w14:textId="77777777" w:rsidR="00DB6E86" w:rsidRPr="00EC7645" w:rsidRDefault="00DB6E86" w:rsidP="00DB6E86">
      <w:pPr>
        <w:pStyle w:val="BodyText"/>
        <w:widowControl w:val="0"/>
        <w:tabs>
          <w:tab w:val="left" w:pos="1134"/>
        </w:tabs>
        <w:jc w:val="both"/>
        <w:rPr>
          <w:rFonts w:eastAsia="Arial"/>
          <w:sz w:val="24"/>
          <w:szCs w:val="24"/>
          <w:lang w:val="en-US"/>
        </w:rPr>
      </w:pPr>
    </w:p>
    <w:p w14:paraId="584636BB" w14:textId="262E7F70" w:rsidR="00C049CD" w:rsidRPr="0025625D" w:rsidRDefault="00582DA3" w:rsidP="00EC7645">
      <w:pPr>
        <w:pStyle w:val="ListParagraph"/>
        <w:numPr>
          <w:ilvl w:val="2"/>
          <w:numId w:val="5"/>
        </w:numPr>
        <w:tabs>
          <w:tab w:val="left" w:pos="1134"/>
        </w:tabs>
        <w:spacing w:before="8"/>
        <w:ind w:left="851" w:hanging="851"/>
        <w:jc w:val="both"/>
        <w:rPr>
          <w:rFonts w:eastAsia="Arial" w:cs="Arial"/>
        </w:rPr>
      </w:pPr>
      <w:r w:rsidRPr="006E3D85">
        <w:rPr>
          <w:rFonts w:eastAsia="Arial" w:cs="Arial"/>
          <w:lang w:val="en-US"/>
        </w:rPr>
        <w:t>Stress testing and sensitivity analysis</w:t>
      </w:r>
      <w:r w:rsidRPr="0025625D">
        <w:rPr>
          <w:rFonts w:eastAsia="Arial" w:cs="Arial"/>
          <w:lang w:val="en-US"/>
        </w:rPr>
        <w:t xml:space="preserve">: </w:t>
      </w:r>
      <w:r w:rsidRPr="0025625D">
        <w:rPr>
          <w:rFonts w:eastAsia="Arial" w:cs="Arial"/>
        </w:rPr>
        <w:t>Disclosures may include information on whether stress</w:t>
      </w:r>
      <w:r w:rsidR="0025625D">
        <w:rPr>
          <w:rFonts w:eastAsia="Arial" w:cs="Arial"/>
        </w:rPr>
        <w:t>-</w:t>
      </w:r>
      <w:r w:rsidRPr="0025625D">
        <w:rPr>
          <w:rFonts w:eastAsia="Arial" w:cs="Arial"/>
        </w:rPr>
        <w:t xml:space="preserve">testing or sensitivity analysis is applied to the investment portfolio </w:t>
      </w:r>
      <w:r w:rsidRPr="0025625D">
        <w:rPr>
          <w:rFonts w:eastAsia="Arial" w:cs="Arial"/>
        </w:rPr>
        <w:lastRenderedPageBreak/>
        <w:t>and the types of scenarios or risk factors considered. Such information may assist stakeholders in understanding the insurer’s preparedness to manage adverse investment outcomes. Where stress</w:t>
      </w:r>
      <w:r w:rsidR="0025625D">
        <w:rPr>
          <w:rFonts w:eastAsia="Arial" w:cs="Arial"/>
        </w:rPr>
        <w:t>-</w:t>
      </w:r>
      <w:r w:rsidRPr="0025625D">
        <w:rPr>
          <w:rFonts w:eastAsia="Arial" w:cs="Arial"/>
        </w:rPr>
        <w:t>testing or sensitivity analysis is used, insurers may also describe, at a high level, how the results inform investment risk management and decision-making.</w:t>
      </w:r>
    </w:p>
    <w:p w14:paraId="0456AD52" w14:textId="77777777" w:rsidR="00DB6E86" w:rsidRPr="0025625D" w:rsidRDefault="00DB6E86" w:rsidP="00DB6E86">
      <w:pPr>
        <w:tabs>
          <w:tab w:val="left" w:pos="1134"/>
        </w:tabs>
        <w:spacing w:before="8"/>
        <w:jc w:val="both"/>
        <w:rPr>
          <w:rFonts w:eastAsia="Arial" w:cs="Arial"/>
        </w:rPr>
      </w:pPr>
    </w:p>
    <w:p w14:paraId="3F4C24BB" w14:textId="60DBBE08" w:rsidR="00C049CD" w:rsidRDefault="00582DA3" w:rsidP="00972AC6">
      <w:pPr>
        <w:pStyle w:val="ListParagraph"/>
        <w:numPr>
          <w:ilvl w:val="2"/>
          <w:numId w:val="5"/>
        </w:numPr>
        <w:tabs>
          <w:tab w:val="left" w:pos="1134"/>
        </w:tabs>
        <w:spacing w:before="8"/>
        <w:ind w:left="851" w:hanging="851"/>
        <w:jc w:val="both"/>
        <w:rPr>
          <w:rFonts w:eastAsia="Arial" w:cs="Arial"/>
          <w:szCs w:val="24"/>
          <w:lang w:val="en-US"/>
        </w:rPr>
      </w:pPr>
      <w:r w:rsidRPr="006E3D85">
        <w:rPr>
          <w:rFonts w:eastAsia="Arial" w:cs="Arial"/>
          <w:szCs w:val="24"/>
          <w:lang w:val="en-US"/>
        </w:rPr>
        <w:t>Credit risk characteristics</w:t>
      </w:r>
      <w:r w:rsidRPr="0025625D">
        <w:rPr>
          <w:rFonts w:eastAsia="Arial" w:cs="Arial"/>
          <w:szCs w:val="24"/>
          <w:lang w:val="en-US"/>
        </w:rPr>
        <w:t xml:space="preserve">: </w:t>
      </w:r>
      <w:r w:rsidRPr="0025625D">
        <w:rPr>
          <w:rFonts w:eastAsia="Arial" w:cs="Arial"/>
          <w:szCs w:val="24"/>
        </w:rPr>
        <w:t>Where credit risk is material, disclosures may include illustrative information on the credit charact</w:t>
      </w:r>
      <w:r w:rsidRPr="00582DA3">
        <w:rPr>
          <w:rFonts w:eastAsia="Arial" w:cs="Arial"/>
          <w:szCs w:val="24"/>
        </w:rPr>
        <w:t>eristics of investment exposures, such as the distribution of exposures by credit quality, type of issuer (</w:t>
      </w:r>
      <w:r w:rsidR="0025625D">
        <w:rPr>
          <w:rFonts w:eastAsia="Arial" w:cs="Arial"/>
          <w:szCs w:val="24"/>
        </w:rPr>
        <w:t>e.g.</w:t>
      </w:r>
      <w:r w:rsidRPr="00582DA3">
        <w:rPr>
          <w:rFonts w:eastAsia="Arial" w:cs="Arial"/>
          <w:szCs w:val="24"/>
        </w:rPr>
        <w:t xml:space="preserve"> government or corporate) or maturity profile. This may assist stakeholders in assessing the insurer’s exposure to default and spread risk arising from both on- and off-balance-sheet positions.</w:t>
      </w:r>
    </w:p>
    <w:p w14:paraId="13ABA947" w14:textId="77777777" w:rsidR="00B1376D" w:rsidRPr="00ED1F3D" w:rsidRDefault="00B1376D" w:rsidP="00ED1F3D">
      <w:pPr>
        <w:tabs>
          <w:tab w:val="left" w:pos="1134"/>
        </w:tabs>
        <w:spacing w:before="8"/>
        <w:jc w:val="both"/>
        <w:rPr>
          <w:rFonts w:eastAsia="Arial"/>
          <w:lang w:val="en-US"/>
        </w:rPr>
      </w:pPr>
    </w:p>
    <w:p w14:paraId="228F7164" w14:textId="41E05B5A" w:rsidR="00AC6A46" w:rsidRPr="00A52864" w:rsidRDefault="00AC6A46" w:rsidP="00972AC6">
      <w:pPr>
        <w:pStyle w:val="ListParagraph"/>
        <w:numPr>
          <w:ilvl w:val="1"/>
          <w:numId w:val="5"/>
        </w:numPr>
        <w:tabs>
          <w:tab w:val="left" w:pos="1134"/>
        </w:tabs>
        <w:spacing w:before="8"/>
        <w:ind w:left="851" w:hanging="851"/>
        <w:jc w:val="both"/>
        <w:rPr>
          <w:rFonts w:eastAsia="Arial"/>
          <w:b/>
          <w:bCs/>
          <w:lang w:val="en-US"/>
        </w:rPr>
      </w:pPr>
      <w:r w:rsidRPr="00A52864">
        <w:rPr>
          <w:rFonts w:eastAsia="Arial"/>
          <w:b/>
          <w:bCs/>
          <w:lang w:val="en-US"/>
        </w:rPr>
        <w:t xml:space="preserve">Financial performance </w:t>
      </w:r>
    </w:p>
    <w:p w14:paraId="3096F2C4" w14:textId="77777777" w:rsidR="008875E9" w:rsidRPr="00AC6A46" w:rsidRDefault="008875E9" w:rsidP="00C04833">
      <w:pPr>
        <w:pStyle w:val="ListParagraph"/>
        <w:ind w:left="1571"/>
        <w:rPr>
          <w:rFonts w:eastAsia="Arial"/>
          <w:lang w:val="en-US"/>
        </w:rPr>
      </w:pPr>
    </w:p>
    <w:p w14:paraId="3D24A793" w14:textId="1A6CAC78" w:rsidR="00CF5DC5" w:rsidRDefault="0099524E" w:rsidP="00972AC6">
      <w:pPr>
        <w:pStyle w:val="ListParagraph"/>
        <w:numPr>
          <w:ilvl w:val="2"/>
          <w:numId w:val="5"/>
        </w:numPr>
        <w:tabs>
          <w:tab w:val="left" w:pos="1134"/>
        </w:tabs>
        <w:spacing w:before="8"/>
        <w:ind w:left="851" w:hanging="851"/>
        <w:jc w:val="both"/>
        <w:rPr>
          <w:rFonts w:eastAsia="Arial"/>
          <w:lang w:val="en-US"/>
        </w:rPr>
      </w:pPr>
      <w:r w:rsidRPr="0099524E">
        <w:rPr>
          <w:rFonts w:eastAsia="Arial"/>
          <w:lang w:val="en-US"/>
        </w:rPr>
        <w:t xml:space="preserve">Information on financial performance provides context for understanding an insurer’s profitability, sources of earnings and how financial results are generated over the reporting period, including the </w:t>
      </w:r>
      <w:proofErr w:type="gramStart"/>
      <w:r w:rsidRPr="0099524E">
        <w:rPr>
          <w:rFonts w:eastAsia="Arial"/>
          <w:lang w:val="en-US"/>
        </w:rPr>
        <w:t>manner in which</w:t>
      </w:r>
      <w:proofErr w:type="gramEnd"/>
      <w:r w:rsidRPr="0099524E">
        <w:rPr>
          <w:rFonts w:eastAsia="Arial"/>
          <w:lang w:val="en-US"/>
        </w:rPr>
        <w:t xml:space="preserve"> profit emerges from new and in-force insurance policies.</w:t>
      </w:r>
    </w:p>
    <w:p w14:paraId="0DD5D9ED" w14:textId="77777777" w:rsidR="008373F9" w:rsidRDefault="008373F9" w:rsidP="007D7777">
      <w:pPr>
        <w:pStyle w:val="ListParagraph"/>
        <w:tabs>
          <w:tab w:val="left" w:pos="1134"/>
        </w:tabs>
        <w:spacing w:before="8"/>
        <w:ind w:left="851"/>
        <w:jc w:val="both"/>
        <w:rPr>
          <w:rFonts w:eastAsia="Arial"/>
          <w:lang w:val="en-US"/>
        </w:rPr>
      </w:pPr>
    </w:p>
    <w:p w14:paraId="78C4F85F" w14:textId="77777777" w:rsidR="0099524E" w:rsidRPr="0025625D" w:rsidRDefault="0099524E" w:rsidP="006E3D85">
      <w:pPr>
        <w:pStyle w:val="ListParagraph"/>
        <w:numPr>
          <w:ilvl w:val="2"/>
          <w:numId w:val="5"/>
        </w:numPr>
        <w:ind w:left="851" w:hanging="851"/>
        <w:jc w:val="both"/>
        <w:rPr>
          <w:rFonts w:eastAsia="Arial"/>
          <w:lang w:val="en-US"/>
        </w:rPr>
      </w:pPr>
      <w:r w:rsidRPr="006E3D85">
        <w:rPr>
          <w:rFonts w:eastAsia="Arial"/>
          <w:lang w:val="en-US"/>
        </w:rPr>
        <w:t>Overall financial performance</w:t>
      </w:r>
      <w:r w:rsidRPr="0025625D">
        <w:rPr>
          <w:rFonts w:eastAsia="Arial"/>
          <w:lang w:val="en-US"/>
        </w:rPr>
        <w:t>: Disclosures may include quantitative information on overall financial performance for the reporting period, supported by qualitative explanations of the key drivers of results. Such explanations may assist stakeholders in understanding material components of income and expenses and the factors that influenced profitability during the period.</w:t>
      </w:r>
    </w:p>
    <w:p w14:paraId="45C207EE" w14:textId="77777777" w:rsidR="0099524E" w:rsidRPr="0025625D" w:rsidRDefault="0099524E" w:rsidP="00BD6DCF">
      <w:pPr>
        <w:pStyle w:val="ListParagraph"/>
        <w:ind w:left="851"/>
        <w:rPr>
          <w:rFonts w:eastAsia="Arial"/>
          <w:lang w:val="en-US"/>
        </w:rPr>
      </w:pPr>
    </w:p>
    <w:p w14:paraId="51C045FF" w14:textId="14615E99" w:rsidR="0099524E" w:rsidRPr="0025625D" w:rsidRDefault="0099524E" w:rsidP="004A65F7">
      <w:pPr>
        <w:pStyle w:val="ListParagraph"/>
        <w:numPr>
          <w:ilvl w:val="2"/>
          <w:numId w:val="5"/>
        </w:numPr>
        <w:tabs>
          <w:tab w:val="left" w:pos="1134"/>
        </w:tabs>
        <w:spacing w:before="8"/>
        <w:ind w:left="851" w:hanging="851"/>
        <w:jc w:val="both"/>
        <w:rPr>
          <w:rFonts w:eastAsia="Arial"/>
          <w:lang w:val="en-US"/>
        </w:rPr>
      </w:pPr>
      <w:r w:rsidRPr="006E3D85">
        <w:rPr>
          <w:rFonts w:eastAsia="Arial"/>
          <w:lang w:val="en-US"/>
        </w:rPr>
        <w:t>Underwriting performance</w:t>
      </w:r>
      <w:r w:rsidRPr="0025625D">
        <w:rPr>
          <w:rFonts w:eastAsia="Arial"/>
          <w:lang w:val="en-US"/>
        </w:rPr>
        <w:t>: Disclosures may include information on underwriting performance, such as earned premiums, claims incurred</w:t>
      </w:r>
      <w:r w:rsidR="00DF7731" w:rsidRPr="0025625D">
        <w:rPr>
          <w:rFonts w:eastAsia="Arial"/>
          <w:lang w:val="en-US"/>
        </w:rPr>
        <w:t xml:space="preserve"> </w:t>
      </w:r>
      <w:r w:rsidR="00437E8A" w:rsidRPr="0025625D">
        <w:rPr>
          <w:rFonts w:eastAsia="Arial"/>
          <w:lang w:val="en-US"/>
        </w:rPr>
        <w:t>and</w:t>
      </w:r>
      <w:r w:rsidR="005814C4">
        <w:rPr>
          <w:rFonts w:eastAsia="Arial"/>
          <w:lang w:val="en-US"/>
        </w:rPr>
        <w:t xml:space="preserve"> the ensuing</w:t>
      </w:r>
      <w:r w:rsidR="00437E8A" w:rsidRPr="0025625D">
        <w:rPr>
          <w:rFonts w:eastAsia="Arial"/>
          <w:lang w:val="en-US"/>
        </w:rPr>
        <w:t xml:space="preserve"> </w:t>
      </w:r>
      <w:r w:rsidRPr="0025625D">
        <w:rPr>
          <w:rFonts w:eastAsia="Arial"/>
          <w:lang w:val="en-US"/>
        </w:rPr>
        <w:t>underwriting result</w:t>
      </w:r>
      <w:r w:rsidR="00C1611F" w:rsidRPr="0025625D">
        <w:rPr>
          <w:rFonts w:eastAsia="Arial"/>
          <w:lang w:val="en-US"/>
        </w:rPr>
        <w:t>s</w:t>
      </w:r>
      <w:r w:rsidRPr="0025625D">
        <w:rPr>
          <w:rFonts w:eastAsia="Arial"/>
          <w:lang w:val="en-US"/>
        </w:rPr>
        <w:t>, together with qualitative discussion of material factors influencing underwriting outcomes. This may assist stakeholders in understanding how underwriting performance contributes to overall financial performance and the emergence of profit from insurance policies.</w:t>
      </w:r>
    </w:p>
    <w:p w14:paraId="1101DE72" w14:textId="77777777" w:rsidR="00A56339" w:rsidRPr="0025625D" w:rsidRDefault="00A56339" w:rsidP="00BD6DCF">
      <w:pPr>
        <w:pStyle w:val="ListParagraph"/>
        <w:tabs>
          <w:tab w:val="left" w:pos="1134"/>
        </w:tabs>
        <w:spacing w:before="8"/>
        <w:ind w:left="851"/>
        <w:jc w:val="both"/>
        <w:rPr>
          <w:rFonts w:eastAsia="Arial"/>
          <w:lang w:val="en-US"/>
        </w:rPr>
      </w:pPr>
    </w:p>
    <w:p w14:paraId="26AA6C9E" w14:textId="220258DE" w:rsidR="0099524E" w:rsidRPr="0025625D" w:rsidRDefault="0099524E" w:rsidP="002B4CAC">
      <w:pPr>
        <w:pStyle w:val="ListParagraph"/>
        <w:numPr>
          <w:ilvl w:val="2"/>
          <w:numId w:val="5"/>
        </w:numPr>
        <w:tabs>
          <w:tab w:val="left" w:pos="1134"/>
        </w:tabs>
        <w:spacing w:before="8"/>
        <w:ind w:left="851" w:hanging="851"/>
        <w:jc w:val="both"/>
        <w:rPr>
          <w:rFonts w:eastAsia="Arial"/>
          <w:lang w:val="en-US"/>
        </w:rPr>
      </w:pPr>
      <w:r w:rsidRPr="006E3D85">
        <w:rPr>
          <w:rFonts w:eastAsia="Arial"/>
          <w:lang w:val="en-US"/>
        </w:rPr>
        <w:t>Sources of earnings</w:t>
      </w:r>
      <w:r w:rsidRPr="0025625D">
        <w:rPr>
          <w:rFonts w:eastAsia="Arial"/>
          <w:lang w:val="en-US"/>
        </w:rPr>
        <w:t xml:space="preserve">: Disclosures may include contextual information on the main sources of earnings for the reporting period, including, where relevant, earnings from insurance activities and investment activities. For life insurers, such disclosures may include high-level explanations of the principal sources of earnings arising from new and in-force policies. Where material, insurers may also describe the impact of </w:t>
      </w:r>
      <w:r w:rsidR="005814C4">
        <w:rPr>
          <w:rFonts w:eastAsia="Arial"/>
          <w:lang w:val="en-US"/>
        </w:rPr>
        <w:t xml:space="preserve">underwriting </w:t>
      </w:r>
      <w:r w:rsidRPr="0025625D">
        <w:rPr>
          <w:rFonts w:eastAsia="Arial"/>
          <w:lang w:val="en-US"/>
        </w:rPr>
        <w:t>experience, management actions and changes in assumptions on earnings during the reporting period.</w:t>
      </w:r>
    </w:p>
    <w:p w14:paraId="4C58596A" w14:textId="77777777" w:rsidR="0099524E" w:rsidRPr="0025625D" w:rsidRDefault="0099524E" w:rsidP="00BD6DCF">
      <w:pPr>
        <w:pStyle w:val="ListParagraph"/>
        <w:tabs>
          <w:tab w:val="left" w:pos="1134"/>
        </w:tabs>
        <w:spacing w:before="8"/>
        <w:ind w:left="993"/>
        <w:jc w:val="both"/>
        <w:rPr>
          <w:rFonts w:eastAsia="Arial"/>
          <w:lang w:val="en-US"/>
        </w:rPr>
      </w:pPr>
    </w:p>
    <w:p w14:paraId="1DD3EEE3" w14:textId="13CDD42D" w:rsidR="00141B75" w:rsidRPr="0025625D" w:rsidRDefault="0099524E" w:rsidP="002B4CAC">
      <w:pPr>
        <w:pStyle w:val="ListParagraph"/>
        <w:numPr>
          <w:ilvl w:val="2"/>
          <w:numId w:val="5"/>
        </w:numPr>
        <w:tabs>
          <w:tab w:val="left" w:pos="1134"/>
        </w:tabs>
        <w:spacing w:before="8"/>
        <w:ind w:left="851" w:hanging="851"/>
        <w:jc w:val="both"/>
        <w:rPr>
          <w:rFonts w:eastAsia="Arial"/>
          <w:lang w:val="en-US"/>
        </w:rPr>
      </w:pPr>
      <w:r w:rsidRPr="006E3D85">
        <w:rPr>
          <w:rFonts w:eastAsia="Arial"/>
          <w:lang w:val="en-US"/>
        </w:rPr>
        <w:t>Investment performance</w:t>
      </w:r>
      <w:r w:rsidRPr="0025625D">
        <w:rPr>
          <w:rFonts w:eastAsia="Arial"/>
          <w:lang w:val="en-US"/>
        </w:rPr>
        <w:t>: Disclosures may include quantitative and qualitative information on investment performance for the reporting period, such as investment income and gains or losses, together with explanations of material factors affecting investment results and how these outcomes contributed to overall financial performance.</w:t>
      </w:r>
      <w:bookmarkStart w:id="8" w:name="_Hlk183167472"/>
    </w:p>
    <w:p w14:paraId="680AFB11" w14:textId="77777777" w:rsidR="00A56339" w:rsidRPr="0025625D" w:rsidRDefault="00A56339" w:rsidP="007D7777">
      <w:pPr>
        <w:pStyle w:val="ListParagraph"/>
        <w:tabs>
          <w:tab w:val="left" w:pos="1134"/>
        </w:tabs>
        <w:spacing w:before="8"/>
        <w:ind w:left="851"/>
        <w:jc w:val="both"/>
        <w:rPr>
          <w:rFonts w:eastAsia="Arial"/>
          <w:lang w:val="en-US"/>
        </w:rPr>
      </w:pPr>
    </w:p>
    <w:bookmarkEnd w:id="8"/>
    <w:p w14:paraId="40878F6A" w14:textId="41710A20" w:rsidR="00C750F4" w:rsidRPr="006B2605" w:rsidRDefault="0099524E" w:rsidP="006B2605">
      <w:pPr>
        <w:pStyle w:val="ListParagraph"/>
        <w:numPr>
          <w:ilvl w:val="2"/>
          <w:numId w:val="5"/>
        </w:numPr>
        <w:tabs>
          <w:tab w:val="left" w:pos="1134"/>
        </w:tabs>
        <w:spacing w:before="8"/>
        <w:ind w:left="851" w:hanging="851"/>
        <w:jc w:val="both"/>
        <w:rPr>
          <w:rFonts w:eastAsia="Arial"/>
          <w:lang w:val="en-US"/>
        </w:rPr>
      </w:pPr>
      <w:r w:rsidRPr="006E3D85">
        <w:rPr>
          <w:rFonts w:eastAsia="Arial"/>
          <w:lang w:val="en-US"/>
        </w:rPr>
        <w:t>Material items and significant loss events</w:t>
      </w:r>
      <w:r w:rsidRPr="0025625D">
        <w:rPr>
          <w:rFonts w:eastAsia="Arial"/>
          <w:lang w:val="en-US"/>
        </w:rPr>
        <w:t xml:space="preserve">: </w:t>
      </w:r>
      <w:r w:rsidR="008B5438">
        <w:rPr>
          <w:rFonts w:eastAsia="Arial"/>
          <w:lang w:val="en-US"/>
        </w:rPr>
        <w:t>M</w:t>
      </w:r>
      <w:r w:rsidR="00E5725D" w:rsidRPr="0099524E">
        <w:rPr>
          <w:rFonts w:eastAsia="Arial"/>
          <w:lang w:val="en-US"/>
        </w:rPr>
        <w:t>aterial</w:t>
      </w:r>
      <w:r w:rsidRPr="0099524E">
        <w:rPr>
          <w:rFonts w:eastAsia="Arial"/>
          <w:lang w:val="en-US"/>
        </w:rPr>
        <w:t xml:space="preserve"> disclosures may include information on items that had a significant impact on financial performance during the reporting period, such as impairments, </w:t>
      </w:r>
      <w:proofErr w:type="spellStart"/>
      <w:r w:rsidR="00ED1F3D">
        <w:rPr>
          <w:rFonts w:eastAsia="Arial"/>
          <w:lang w:val="en-US"/>
        </w:rPr>
        <w:t>amortisation</w:t>
      </w:r>
      <w:proofErr w:type="spellEnd"/>
      <w:r w:rsidRPr="0099524E">
        <w:rPr>
          <w:rFonts w:eastAsia="Arial"/>
          <w:lang w:val="en-US"/>
        </w:rPr>
        <w:t xml:space="preserve"> of intangible assets or significant loss events, including catastrophe losses. Qualitative explanations of the effect of such items may assist stakeholders in understanding variability in financial performance across reporting periods.</w:t>
      </w:r>
    </w:p>
    <w:sectPr w:rsidR="00C750F4" w:rsidRPr="006B2605" w:rsidSect="007C1E68">
      <w:headerReference w:type="even" r:id="rId11"/>
      <w:headerReference w:type="default" r:id="rId12"/>
      <w:footerReference w:type="even" r:id="rId13"/>
      <w:footerReference w:type="default" r:id="rId14"/>
      <w:headerReference w:type="first" r:id="rId15"/>
      <w:footerReference w:type="first" r:id="rId16"/>
      <w:pgSz w:w="11900" w:h="16820" w:code="9"/>
      <w:pgMar w:top="1134" w:right="1134" w:bottom="851" w:left="1134" w:header="56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D254" w14:textId="77777777" w:rsidR="00B64537" w:rsidRDefault="00B64537">
      <w:r>
        <w:separator/>
      </w:r>
    </w:p>
  </w:endnote>
  <w:endnote w:type="continuationSeparator" w:id="0">
    <w:p w14:paraId="6E920094" w14:textId="77777777" w:rsidR="00B64537" w:rsidRDefault="00B64537">
      <w:r>
        <w:continuationSeparator/>
      </w:r>
    </w:p>
  </w:endnote>
  <w:endnote w:type="continuationNotice" w:id="1">
    <w:p w14:paraId="46416332" w14:textId="77777777" w:rsidR="00B64537" w:rsidRDefault="00B64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0B6D" w14:textId="77777777" w:rsidR="006A5A9F" w:rsidRDefault="006A5A9F">
    <w:pPr>
      <w:pStyle w:val="Footer"/>
    </w:pPr>
  </w:p>
  <w:p w14:paraId="3388FB06" w14:textId="77777777" w:rsidR="006A5A9F" w:rsidRDefault="006A5A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08971"/>
      <w:docPartObj>
        <w:docPartGallery w:val="Page Numbers (Bottom of Page)"/>
        <w:docPartUnique/>
      </w:docPartObj>
    </w:sdtPr>
    <w:sdtEndPr>
      <w:rPr>
        <w:noProof/>
      </w:rPr>
    </w:sdtEndPr>
    <w:sdtContent>
      <w:p w14:paraId="3F0AA3A8" w14:textId="4CA7D698" w:rsidR="006A5A9F" w:rsidRDefault="006A5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0D0877" w14:textId="77777777" w:rsidR="006A5A9F" w:rsidRDefault="006A5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50FE" w14:textId="66EC4442" w:rsidR="006A5A9F" w:rsidRPr="005126B8" w:rsidRDefault="006A5A9F" w:rsidP="00D76E3E">
    <w:pPr>
      <w:pStyle w:val="Footer"/>
      <w:tabs>
        <w:tab w:val="clear" w:pos="4153"/>
        <w:tab w:val="clear" w:pos="8306"/>
        <w:tab w:val="center" w:pos="9498"/>
        <w:tab w:val="right" w:pos="9632"/>
      </w:tabs>
      <w:spacing w:after="120"/>
      <w:rPr>
        <w:rFonts w:cs="Arial"/>
        <w:sz w:val="14"/>
      </w:rPr>
    </w:pPr>
    <w:r>
      <w:rPr>
        <w:rFonts w:eastAsiaTheme="minorEastAsia" w:cs="Arial"/>
        <w:sz w:val="20"/>
      </w:rPr>
      <w:tab/>
    </w:r>
    <w:r w:rsidRPr="0065107B">
      <w:rPr>
        <w:rFonts w:eastAsiaTheme="minorEastAsia" w:cs="Arial"/>
        <w:color w:val="2B579A"/>
        <w:szCs w:val="24"/>
        <w:shd w:val="clear" w:color="auto" w:fill="E6E6E6"/>
      </w:rPr>
      <w:fldChar w:fldCharType="begin"/>
    </w:r>
    <w:r w:rsidRPr="0065107B">
      <w:rPr>
        <w:rFonts w:cs="Arial"/>
        <w:szCs w:val="24"/>
      </w:rPr>
      <w:instrText xml:space="preserve"> PAGE    \* MERGEFORMAT </w:instrText>
    </w:r>
    <w:r w:rsidRPr="0065107B">
      <w:rPr>
        <w:rFonts w:eastAsiaTheme="minorEastAsia" w:cs="Arial"/>
        <w:color w:val="2B579A"/>
        <w:szCs w:val="24"/>
        <w:shd w:val="clear" w:color="auto" w:fill="E6E6E6"/>
      </w:rPr>
      <w:fldChar w:fldCharType="separate"/>
    </w:r>
    <w:r w:rsidRPr="0065107B">
      <w:rPr>
        <w:rFonts w:eastAsiaTheme="majorEastAsia" w:cs="Arial"/>
        <w:noProof/>
        <w:szCs w:val="24"/>
      </w:rPr>
      <w:t>1</w:t>
    </w:r>
    <w:r w:rsidRPr="0065107B">
      <w:rPr>
        <w:rFonts w:eastAsiaTheme="majorEastAsia" w:cs="Arial"/>
        <w:noProof/>
        <w:color w:val="2B579A"/>
        <w:szCs w:val="24"/>
        <w:shd w:val="clear" w:color="auto" w:fill="E6E6E6"/>
      </w:rPr>
      <w:fldChar w:fldCharType="end"/>
    </w:r>
  </w:p>
  <w:p w14:paraId="5BFACB1A" w14:textId="77777777" w:rsidR="006A5A9F" w:rsidRDefault="006A5A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648E" w14:textId="77777777" w:rsidR="00B64537" w:rsidRDefault="00B64537">
      <w:r>
        <w:separator/>
      </w:r>
    </w:p>
  </w:footnote>
  <w:footnote w:type="continuationSeparator" w:id="0">
    <w:p w14:paraId="6277FD29" w14:textId="77777777" w:rsidR="00B64537" w:rsidRDefault="00B64537">
      <w:r>
        <w:continuationSeparator/>
      </w:r>
    </w:p>
  </w:footnote>
  <w:footnote w:type="continuationNotice" w:id="1">
    <w:p w14:paraId="71118BCB" w14:textId="77777777" w:rsidR="00B64537" w:rsidRDefault="00B64537"/>
  </w:footnote>
  <w:footnote w:id="2">
    <w:p w14:paraId="6E35B2A8" w14:textId="50CF1085" w:rsidR="006A5A9F" w:rsidRPr="008532FC" w:rsidRDefault="006A5A9F" w:rsidP="00A53DD9">
      <w:pPr>
        <w:pStyle w:val="FootnoteText"/>
      </w:pPr>
      <w:r>
        <w:rPr>
          <w:rStyle w:val="FootnoteReference"/>
        </w:rPr>
        <w:footnoteRef/>
      </w:r>
      <w:r>
        <w:t xml:space="preserve"> B = both (life and non-life); LI = life insurance and NL = non-life 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51BC" w14:textId="53108691" w:rsidR="006A5A9F" w:rsidRDefault="006A5A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C29A05" w14:textId="77777777" w:rsidR="006A5A9F" w:rsidRDefault="006A5A9F">
    <w:pPr>
      <w:pStyle w:val="Header"/>
    </w:pPr>
  </w:p>
  <w:p w14:paraId="3160FADE" w14:textId="77777777" w:rsidR="006A5A9F" w:rsidRDefault="006A5A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B222" w14:textId="1C268DD9" w:rsidR="006A5A9F" w:rsidRPr="006A7A75" w:rsidRDefault="006A5A9F" w:rsidP="006A7A75">
    <w:pPr>
      <w:jc w:val="center"/>
      <w:rPr>
        <w:b/>
        <w:sz w:val="20"/>
      </w:rPr>
    </w:pPr>
  </w:p>
  <w:p w14:paraId="07EACD0B" w14:textId="77777777" w:rsidR="006A5A9F" w:rsidRDefault="006A5A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3031" w14:textId="14D30230" w:rsidR="006A5A9F" w:rsidRPr="007465B5" w:rsidRDefault="006A5A9F" w:rsidP="007465B5">
    <w:pPr>
      <w:jc w:val="center"/>
      <w:rPr>
        <w:b/>
        <w:sz w:val="20"/>
      </w:rPr>
    </w:pPr>
    <w:r>
      <w:rPr>
        <w:rFonts w:cs="Arial"/>
        <w:noProof/>
        <w:color w:val="FF0000"/>
        <w:sz w:val="20"/>
        <w:shd w:val="clear" w:color="auto" w:fill="E6E6E6"/>
        <w:lang w:eastAsia="en-ZA"/>
      </w:rPr>
      <w:drawing>
        <wp:anchor distT="0" distB="0" distL="114300" distR="114300" simplePos="0" relativeHeight="251658240" behindDoc="1" locked="0" layoutInCell="1" allowOverlap="1" wp14:anchorId="38E29221" wp14:editId="0BF5B354">
          <wp:simplePos x="0" y="0"/>
          <wp:positionH relativeFrom="margin">
            <wp:posOffset>-710565</wp:posOffset>
          </wp:positionH>
          <wp:positionV relativeFrom="margin">
            <wp:posOffset>-2013585</wp:posOffset>
          </wp:positionV>
          <wp:extent cx="331200" cy="16861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1200" cy="1686109"/>
                  </a:xfrm>
                  <a:prstGeom prst="rect">
                    <a:avLst/>
                  </a:prstGeom>
                </pic:spPr>
              </pic:pic>
            </a:graphicData>
          </a:graphic>
          <wp14:sizeRelH relativeFrom="margin">
            <wp14:pctWidth>0</wp14:pctWidth>
          </wp14:sizeRelH>
          <wp14:sizeRelV relativeFrom="margin">
            <wp14:pctHeight>0</wp14:pctHeight>
          </wp14:sizeRelV>
        </wp:anchor>
      </w:drawing>
    </w:r>
  </w:p>
  <w:p w14:paraId="6AE0E26D" w14:textId="14DF2089" w:rsidR="006A5A9F" w:rsidRPr="007465B5" w:rsidRDefault="006A5A9F" w:rsidP="007465B5">
    <w:pPr>
      <w:pStyle w:val="Header"/>
      <w:jc w:val="right"/>
      <w:rPr>
        <w:bCs/>
        <w:sz w:val="20"/>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6109"/>
    </w:tblGrid>
    <w:tr w:rsidR="006A5A9F" w14:paraId="1DFD8B4A" w14:textId="77777777" w:rsidTr="003E6F89">
      <w:trPr>
        <w:trHeight w:val="324"/>
      </w:trPr>
      <w:tc>
        <w:tcPr>
          <w:tcW w:w="327" w:type="dxa"/>
        </w:tcPr>
        <w:p w14:paraId="505B672F" w14:textId="77777777" w:rsidR="006A5A9F" w:rsidRDefault="006A5A9F" w:rsidP="007465B5">
          <w:pPr>
            <w:jc w:val="center"/>
            <w:rPr>
              <w:rFonts w:cs="Arial"/>
              <w:noProof/>
              <w:sz w:val="16"/>
              <w:szCs w:val="16"/>
            </w:rPr>
          </w:pPr>
          <w:r>
            <w:rPr>
              <w:rFonts w:cs="Arial"/>
              <w:noProof/>
              <w:color w:val="2B579A"/>
              <w:sz w:val="16"/>
              <w:szCs w:val="16"/>
              <w:shd w:val="clear" w:color="auto" w:fill="E6E6E6"/>
              <w:lang w:eastAsia="en-ZA"/>
            </w:rPr>
            <w:drawing>
              <wp:inline distT="0" distB="0" distL="0" distR="0" wp14:anchorId="6717907B" wp14:editId="0E0EB346">
                <wp:extent cx="194310" cy="4572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194310" cy="45720"/>
                        </a:xfrm>
                        <a:prstGeom prst="rect">
                          <a:avLst/>
                        </a:prstGeom>
                      </pic:spPr>
                    </pic:pic>
                  </a:graphicData>
                </a:graphic>
              </wp:inline>
            </w:drawing>
          </w:r>
        </w:p>
      </w:tc>
      <w:tc>
        <w:tcPr>
          <w:tcW w:w="3487" w:type="dxa"/>
          <w:tcMar>
            <w:left w:w="113" w:type="dxa"/>
          </w:tcMar>
        </w:tcPr>
        <w:p w14:paraId="5D924C04" w14:textId="77777777" w:rsidR="006A5A9F" w:rsidRPr="0083109A" w:rsidRDefault="006A5A9F" w:rsidP="007465B5">
          <w:pPr>
            <w:jc w:val="center"/>
            <w:rPr>
              <w:rFonts w:cs="Arial"/>
              <w:sz w:val="16"/>
              <w:szCs w:val="16"/>
            </w:rPr>
          </w:pPr>
        </w:p>
      </w:tc>
      <w:tc>
        <w:tcPr>
          <w:tcW w:w="6109" w:type="dxa"/>
          <w:vMerge w:val="restart"/>
        </w:tcPr>
        <w:p w14:paraId="507B1C67" w14:textId="51DAFD12" w:rsidR="006A5A9F" w:rsidRDefault="006A5A9F" w:rsidP="007465B5">
          <w:pPr>
            <w:jc w:val="right"/>
            <w:rPr>
              <w:noProof/>
              <w:lang w:eastAsia="en-ZA"/>
            </w:rPr>
          </w:pPr>
          <w:r w:rsidRPr="00D14EAF">
            <w:rPr>
              <w:noProof/>
              <w:color w:val="2B579A"/>
              <w:shd w:val="clear" w:color="auto" w:fill="E6E6E6"/>
              <w:lang w:eastAsia="en-ZA"/>
            </w:rPr>
            <w:drawing>
              <wp:anchor distT="0" distB="0" distL="114300" distR="114300" simplePos="0" relativeHeight="251658245" behindDoc="1" locked="0" layoutInCell="1" allowOverlap="1" wp14:anchorId="32A3FD6E" wp14:editId="02FE281B">
                <wp:simplePos x="0" y="0"/>
                <wp:positionH relativeFrom="column">
                  <wp:posOffset>2575079</wp:posOffset>
                </wp:positionH>
                <wp:positionV relativeFrom="paragraph">
                  <wp:posOffset>-9593</wp:posOffset>
                </wp:positionV>
                <wp:extent cx="1257429" cy="1010400"/>
                <wp:effectExtent l="0" t="0" r="0" b="0"/>
                <wp:wrapNone/>
                <wp:docPr id="3" name="Picture 3" descr="I:\SARB NEW CI\PA Logos\PA logo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RB NEW CI\PA Logos\PA logo gold.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60188" cy="101261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A5A9F" w:rsidRPr="006D7A8B" w14:paraId="2C65EE37" w14:textId="77777777" w:rsidTr="003E6F89">
      <w:trPr>
        <w:trHeight w:hRule="exact" w:val="326"/>
      </w:trPr>
      <w:tc>
        <w:tcPr>
          <w:tcW w:w="327" w:type="dxa"/>
          <w:noWrap/>
          <w:tcMar>
            <w:bottom w:w="17" w:type="dxa"/>
          </w:tcMar>
          <w:vAlign w:val="bottom"/>
        </w:tcPr>
        <w:p w14:paraId="22D550A1" w14:textId="77777777" w:rsidR="006A5A9F" w:rsidRDefault="006A5A9F" w:rsidP="007465B5">
          <w:pPr>
            <w:jc w:val="center"/>
          </w:pPr>
          <w:r>
            <w:rPr>
              <w:rFonts w:cs="Arial"/>
              <w:noProof/>
              <w:color w:val="2B579A"/>
              <w:sz w:val="16"/>
              <w:szCs w:val="16"/>
              <w:shd w:val="clear" w:color="auto" w:fill="E6E6E6"/>
              <w:lang w:eastAsia="en-ZA"/>
            </w:rPr>
            <w:drawing>
              <wp:anchor distT="0" distB="0" distL="114300" distR="114300" simplePos="0" relativeHeight="251658241" behindDoc="1" locked="1" layoutInCell="1" allowOverlap="1" wp14:anchorId="6500502E" wp14:editId="5810E70D">
                <wp:simplePos x="0" y="0"/>
                <wp:positionH relativeFrom="column">
                  <wp:posOffset>26670</wp:posOffset>
                </wp:positionH>
                <wp:positionV relativeFrom="paragraph">
                  <wp:posOffset>60960</wp:posOffset>
                </wp:positionV>
                <wp:extent cx="147600" cy="144000"/>
                <wp:effectExtent l="0" t="0" r="508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C82F38C" w14:textId="4C314046" w:rsidR="006A5A9F" w:rsidRPr="000D059B" w:rsidRDefault="006A5A9F" w:rsidP="007465B5">
          <w:pPr>
            <w:rPr>
              <w:lang w:val="pt-BR"/>
            </w:rPr>
          </w:pPr>
          <w:r w:rsidRPr="000D059B">
            <w:rPr>
              <w:rFonts w:cs="Arial"/>
              <w:sz w:val="16"/>
              <w:szCs w:val="16"/>
              <w:lang w:val="pt-BR"/>
            </w:rPr>
            <w:t>P O Box 427 Pretoria  0001 South Africa</w:t>
          </w:r>
        </w:p>
      </w:tc>
      <w:tc>
        <w:tcPr>
          <w:tcW w:w="6109" w:type="dxa"/>
          <w:vMerge/>
        </w:tcPr>
        <w:p w14:paraId="76C63180" w14:textId="77777777" w:rsidR="006A5A9F" w:rsidRPr="000D059B" w:rsidRDefault="006A5A9F" w:rsidP="007465B5">
          <w:pPr>
            <w:jc w:val="right"/>
            <w:rPr>
              <w:rFonts w:cs="Arial"/>
              <w:sz w:val="16"/>
              <w:szCs w:val="16"/>
              <w:lang w:val="pt-BR"/>
            </w:rPr>
          </w:pPr>
        </w:p>
      </w:tc>
    </w:tr>
    <w:tr w:rsidR="006A5A9F" w14:paraId="72911A6F" w14:textId="77777777" w:rsidTr="003E6F89">
      <w:trPr>
        <w:trHeight w:hRule="exact" w:val="326"/>
      </w:trPr>
      <w:tc>
        <w:tcPr>
          <w:tcW w:w="327" w:type="dxa"/>
          <w:noWrap/>
          <w:tcMar>
            <w:bottom w:w="17" w:type="dxa"/>
          </w:tcMar>
          <w:vAlign w:val="bottom"/>
        </w:tcPr>
        <w:p w14:paraId="5D70916A" w14:textId="77777777" w:rsidR="006A5A9F" w:rsidRPr="000D059B" w:rsidRDefault="006A5A9F" w:rsidP="007465B5">
          <w:pPr>
            <w:jc w:val="center"/>
            <w:rPr>
              <w:lang w:val="pt-BR"/>
            </w:rPr>
          </w:pPr>
          <w:r>
            <w:rPr>
              <w:rFonts w:cs="Arial"/>
              <w:noProof/>
              <w:color w:val="2B579A"/>
              <w:sz w:val="16"/>
              <w:szCs w:val="16"/>
              <w:shd w:val="clear" w:color="auto" w:fill="E6E6E6"/>
              <w:lang w:eastAsia="en-ZA"/>
            </w:rPr>
            <w:drawing>
              <wp:anchor distT="0" distB="0" distL="114300" distR="114300" simplePos="0" relativeHeight="251658242" behindDoc="1" locked="0" layoutInCell="1" allowOverlap="1" wp14:anchorId="1B7CBE9C" wp14:editId="1BA914D5">
                <wp:simplePos x="0" y="0"/>
                <wp:positionH relativeFrom="column">
                  <wp:posOffset>46990</wp:posOffset>
                </wp:positionH>
                <wp:positionV relativeFrom="paragraph">
                  <wp:posOffset>63500</wp:posOffset>
                </wp:positionV>
                <wp:extent cx="111600" cy="14400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2877CC1" w14:textId="6B56D15C" w:rsidR="006A5A9F" w:rsidRDefault="006A5A9F" w:rsidP="007465B5">
          <w:r w:rsidRPr="0083109A">
            <w:rPr>
              <w:rFonts w:cs="Arial"/>
              <w:sz w:val="16"/>
              <w:szCs w:val="16"/>
            </w:rPr>
            <w:t xml:space="preserve">370 Helen Joseph </w:t>
          </w:r>
          <w:r w:rsidR="0092550B" w:rsidRPr="0083109A">
            <w:rPr>
              <w:rFonts w:cs="Arial"/>
              <w:sz w:val="16"/>
              <w:szCs w:val="16"/>
            </w:rPr>
            <w:t>Street Pretoria</w:t>
          </w:r>
          <w:r w:rsidRPr="0083109A">
            <w:rPr>
              <w:rFonts w:cs="Arial"/>
              <w:sz w:val="16"/>
              <w:szCs w:val="16"/>
            </w:rPr>
            <w:t xml:space="preserve"> 0002</w:t>
          </w:r>
        </w:p>
      </w:tc>
      <w:tc>
        <w:tcPr>
          <w:tcW w:w="6109" w:type="dxa"/>
          <w:vMerge/>
        </w:tcPr>
        <w:p w14:paraId="62C9CB82" w14:textId="77777777" w:rsidR="006A5A9F" w:rsidRPr="0083109A" w:rsidRDefault="006A5A9F" w:rsidP="007465B5">
          <w:pPr>
            <w:rPr>
              <w:rFonts w:cs="Arial"/>
              <w:sz w:val="16"/>
              <w:szCs w:val="16"/>
            </w:rPr>
          </w:pPr>
        </w:p>
      </w:tc>
    </w:tr>
    <w:tr w:rsidR="006A5A9F" w14:paraId="4C2673D5" w14:textId="77777777" w:rsidTr="003E6F89">
      <w:trPr>
        <w:trHeight w:hRule="exact" w:val="326"/>
      </w:trPr>
      <w:tc>
        <w:tcPr>
          <w:tcW w:w="327" w:type="dxa"/>
          <w:noWrap/>
          <w:tcMar>
            <w:bottom w:w="17" w:type="dxa"/>
          </w:tcMar>
          <w:vAlign w:val="bottom"/>
        </w:tcPr>
        <w:p w14:paraId="43AFF6DB" w14:textId="77777777" w:rsidR="006A5A9F" w:rsidRDefault="006A5A9F" w:rsidP="007465B5">
          <w:pPr>
            <w:jc w:val="center"/>
          </w:pPr>
          <w:r>
            <w:rPr>
              <w:rFonts w:cs="Arial"/>
              <w:noProof/>
              <w:color w:val="2B579A"/>
              <w:sz w:val="16"/>
              <w:szCs w:val="16"/>
              <w:shd w:val="clear" w:color="auto" w:fill="E6E6E6"/>
              <w:lang w:eastAsia="en-ZA"/>
            </w:rPr>
            <w:drawing>
              <wp:anchor distT="0" distB="0" distL="114300" distR="114300" simplePos="0" relativeHeight="251658243" behindDoc="1" locked="1" layoutInCell="1" allowOverlap="1" wp14:anchorId="4090DEA9" wp14:editId="10BAC47A">
                <wp:simplePos x="0" y="0"/>
                <wp:positionH relativeFrom="column">
                  <wp:posOffset>19050</wp:posOffset>
                </wp:positionH>
                <wp:positionV relativeFrom="paragraph">
                  <wp:posOffset>64135</wp:posOffset>
                </wp:positionV>
                <wp:extent cx="169200" cy="144000"/>
                <wp:effectExtent l="0" t="0" r="889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09E0401" w14:textId="77777777" w:rsidR="006A5A9F" w:rsidRDefault="006A5A9F" w:rsidP="007465B5">
          <w:r w:rsidRPr="0083109A">
            <w:rPr>
              <w:rFonts w:cs="Arial"/>
              <w:sz w:val="16"/>
              <w:szCs w:val="16"/>
            </w:rPr>
            <w:t>+27 12 313</w:t>
          </w:r>
          <w:r>
            <w:rPr>
              <w:rFonts w:cs="Arial"/>
              <w:sz w:val="16"/>
              <w:szCs w:val="16"/>
            </w:rPr>
            <w:t xml:space="preserve"> </w:t>
          </w:r>
          <w:r w:rsidRPr="0083109A">
            <w:rPr>
              <w:rFonts w:cs="Arial"/>
              <w:sz w:val="16"/>
              <w:szCs w:val="16"/>
            </w:rPr>
            <w:t>3911 / 0861 12 7272</w:t>
          </w:r>
        </w:p>
      </w:tc>
      <w:tc>
        <w:tcPr>
          <w:tcW w:w="6109" w:type="dxa"/>
          <w:vMerge/>
        </w:tcPr>
        <w:p w14:paraId="590C6909" w14:textId="77777777" w:rsidR="006A5A9F" w:rsidRPr="0083109A" w:rsidRDefault="006A5A9F" w:rsidP="007465B5">
          <w:pPr>
            <w:rPr>
              <w:rFonts w:cs="Arial"/>
              <w:sz w:val="16"/>
              <w:szCs w:val="16"/>
            </w:rPr>
          </w:pPr>
        </w:p>
      </w:tc>
    </w:tr>
    <w:tr w:rsidR="006A5A9F" w14:paraId="7F0FA7F4" w14:textId="77777777" w:rsidTr="003E6F89">
      <w:trPr>
        <w:trHeight w:hRule="exact" w:val="326"/>
      </w:trPr>
      <w:tc>
        <w:tcPr>
          <w:tcW w:w="327" w:type="dxa"/>
          <w:noWrap/>
          <w:tcMar>
            <w:bottom w:w="17" w:type="dxa"/>
          </w:tcMar>
          <w:vAlign w:val="bottom"/>
        </w:tcPr>
        <w:p w14:paraId="7A368BFD" w14:textId="77777777" w:rsidR="006A5A9F" w:rsidRDefault="006A5A9F" w:rsidP="007465B5">
          <w:pPr>
            <w:jc w:val="center"/>
          </w:pPr>
          <w:r w:rsidRPr="005055C4">
            <w:rPr>
              <w:noProof/>
              <w:color w:val="2B579A"/>
              <w:shd w:val="clear" w:color="auto" w:fill="E6E6E6"/>
              <w:lang w:eastAsia="en-ZA"/>
            </w:rPr>
            <w:drawing>
              <wp:anchor distT="0" distB="0" distL="114300" distR="114300" simplePos="0" relativeHeight="251658244" behindDoc="1" locked="1" layoutInCell="1" allowOverlap="1" wp14:anchorId="68102FF2" wp14:editId="500C3686">
                <wp:simplePos x="0" y="0"/>
                <wp:positionH relativeFrom="column">
                  <wp:posOffset>31750</wp:posOffset>
                </wp:positionH>
                <wp:positionV relativeFrom="paragraph">
                  <wp:posOffset>64770</wp:posOffset>
                </wp:positionV>
                <wp:extent cx="144000" cy="144000"/>
                <wp:effectExtent l="0" t="0" r="8890" b="8890"/>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9A57268" w14:textId="2DF3F100" w:rsidR="006A5A9F" w:rsidRDefault="006A5A9F" w:rsidP="00A771FC">
          <w:r w:rsidRPr="007E323D">
            <w:rPr>
              <w:rFonts w:cs="Arial"/>
              <w:iCs/>
              <w:sz w:val="16"/>
              <w:szCs w:val="16"/>
            </w:rPr>
            <w:t>www.resbank.co.za</w:t>
          </w:r>
        </w:p>
      </w:tc>
      <w:tc>
        <w:tcPr>
          <w:tcW w:w="6109" w:type="dxa"/>
          <w:vMerge/>
        </w:tcPr>
        <w:p w14:paraId="7B22BF3E" w14:textId="77777777" w:rsidR="006A5A9F" w:rsidRPr="0083109A" w:rsidRDefault="006A5A9F" w:rsidP="007465B5">
          <w:pPr>
            <w:rPr>
              <w:rFonts w:cs="Arial"/>
              <w:iCs/>
              <w:sz w:val="16"/>
              <w:szCs w:val="16"/>
            </w:rPr>
          </w:pPr>
        </w:p>
      </w:tc>
    </w:tr>
  </w:tbl>
  <w:p w14:paraId="16B5C108" w14:textId="77777777" w:rsidR="006A5A9F" w:rsidRPr="007465B5" w:rsidRDefault="006A5A9F" w:rsidP="007465B5">
    <w:pPr>
      <w:rPr>
        <w:b/>
        <w:sz w:val="20"/>
      </w:rPr>
    </w:pPr>
  </w:p>
  <w:p w14:paraId="66BE4A74" w14:textId="77777777" w:rsidR="006A5A9F" w:rsidRDefault="006A5A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772"/>
    <w:multiLevelType w:val="hybridMultilevel"/>
    <w:tmpl w:val="3CA29AE0"/>
    <w:lvl w:ilvl="0" w:tplc="1BA4C810">
      <w:start w:val="1"/>
      <w:numFmt w:val="decimal"/>
      <w:lvlText w:val="%1."/>
      <w:lvlJc w:val="left"/>
      <w:pPr>
        <w:ind w:left="1020" w:hanging="360"/>
      </w:pPr>
    </w:lvl>
    <w:lvl w:ilvl="1" w:tplc="93C0CEA6">
      <w:start w:val="1"/>
      <w:numFmt w:val="decimal"/>
      <w:lvlText w:val="%2."/>
      <w:lvlJc w:val="left"/>
      <w:pPr>
        <w:ind w:left="1020" w:hanging="360"/>
      </w:pPr>
    </w:lvl>
    <w:lvl w:ilvl="2" w:tplc="686EC9CC">
      <w:start w:val="1"/>
      <w:numFmt w:val="decimal"/>
      <w:lvlText w:val="%3."/>
      <w:lvlJc w:val="left"/>
      <w:pPr>
        <w:ind w:left="1020" w:hanging="360"/>
      </w:pPr>
    </w:lvl>
    <w:lvl w:ilvl="3" w:tplc="54E0AF6A">
      <w:start w:val="1"/>
      <w:numFmt w:val="decimal"/>
      <w:lvlText w:val="%4."/>
      <w:lvlJc w:val="left"/>
      <w:pPr>
        <w:ind w:left="1020" w:hanging="360"/>
      </w:pPr>
    </w:lvl>
    <w:lvl w:ilvl="4" w:tplc="11B81362">
      <w:start w:val="1"/>
      <w:numFmt w:val="decimal"/>
      <w:lvlText w:val="%5."/>
      <w:lvlJc w:val="left"/>
      <w:pPr>
        <w:ind w:left="1020" w:hanging="360"/>
      </w:pPr>
    </w:lvl>
    <w:lvl w:ilvl="5" w:tplc="0B5E6A26">
      <w:start w:val="1"/>
      <w:numFmt w:val="decimal"/>
      <w:lvlText w:val="%6."/>
      <w:lvlJc w:val="left"/>
      <w:pPr>
        <w:ind w:left="1020" w:hanging="360"/>
      </w:pPr>
    </w:lvl>
    <w:lvl w:ilvl="6" w:tplc="BD167274">
      <w:start w:val="1"/>
      <w:numFmt w:val="decimal"/>
      <w:lvlText w:val="%7."/>
      <w:lvlJc w:val="left"/>
      <w:pPr>
        <w:ind w:left="1020" w:hanging="360"/>
      </w:pPr>
    </w:lvl>
    <w:lvl w:ilvl="7" w:tplc="25907ADC">
      <w:start w:val="1"/>
      <w:numFmt w:val="decimal"/>
      <w:lvlText w:val="%8."/>
      <w:lvlJc w:val="left"/>
      <w:pPr>
        <w:ind w:left="1020" w:hanging="360"/>
      </w:pPr>
    </w:lvl>
    <w:lvl w:ilvl="8" w:tplc="C02276FC">
      <w:start w:val="1"/>
      <w:numFmt w:val="decimal"/>
      <w:lvlText w:val="%9."/>
      <w:lvlJc w:val="left"/>
      <w:pPr>
        <w:ind w:left="1020" w:hanging="360"/>
      </w:pPr>
    </w:lvl>
  </w:abstractNum>
  <w:abstractNum w:abstractNumId="1" w15:restartNumberingAfterBreak="0">
    <w:nsid w:val="05F94C0C"/>
    <w:multiLevelType w:val="hybridMultilevel"/>
    <w:tmpl w:val="42BECFE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15:restartNumberingAfterBreak="0">
    <w:nsid w:val="090C548D"/>
    <w:multiLevelType w:val="hybridMultilevel"/>
    <w:tmpl w:val="EB8A944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92C08F5"/>
    <w:multiLevelType w:val="hybridMultilevel"/>
    <w:tmpl w:val="8CAA02AC"/>
    <w:lvl w:ilvl="0" w:tplc="1C09001B">
      <w:start w:val="1"/>
      <w:numFmt w:val="lowerRoman"/>
      <w:lvlText w:val="%1."/>
      <w:lvlJc w:val="right"/>
      <w:pPr>
        <w:ind w:left="2280" w:hanging="360"/>
      </w:p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abstractNum w:abstractNumId="4" w15:restartNumberingAfterBreak="0">
    <w:nsid w:val="138A3D6C"/>
    <w:multiLevelType w:val="hybridMultilevel"/>
    <w:tmpl w:val="C394B52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BE1ED9"/>
    <w:multiLevelType w:val="hybridMultilevel"/>
    <w:tmpl w:val="36DA90D2"/>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 w15:restartNumberingAfterBreak="0">
    <w:nsid w:val="13E90B50"/>
    <w:multiLevelType w:val="multilevel"/>
    <w:tmpl w:val="FC5877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2847" w:hanging="720"/>
      </w:pPr>
      <w:rPr>
        <w:rFonts w:hint="default"/>
        <w:b w:val="0"/>
        <w:bCs w:val="0"/>
        <w:sz w:val="24"/>
        <w:szCs w:val="24"/>
        <w:lang w:val="en-US"/>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4B509C5"/>
    <w:multiLevelType w:val="hybridMultilevel"/>
    <w:tmpl w:val="14DA6F2A"/>
    <w:lvl w:ilvl="0" w:tplc="1C09001B">
      <w:start w:val="1"/>
      <w:numFmt w:val="lowerRoman"/>
      <w:lvlText w:val="%1."/>
      <w:lvlJc w:val="right"/>
      <w:pPr>
        <w:ind w:left="2280" w:hanging="360"/>
      </w:p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abstractNum w:abstractNumId="8" w15:restartNumberingAfterBreak="0">
    <w:nsid w:val="18872D8A"/>
    <w:multiLevelType w:val="hybridMultilevel"/>
    <w:tmpl w:val="3EF4A826"/>
    <w:lvl w:ilvl="0" w:tplc="3C607DCA">
      <w:start w:val="1"/>
      <w:numFmt w:val="lowerRoman"/>
      <w:lvlText w:val="%1."/>
      <w:lvlJc w:val="left"/>
      <w:pPr>
        <w:ind w:left="862" w:hanging="72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9" w15:restartNumberingAfterBreak="0">
    <w:nsid w:val="1A171200"/>
    <w:multiLevelType w:val="hybridMultilevel"/>
    <w:tmpl w:val="4F5E1C4A"/>
    <w:lvl w:ilvl="0" w:tplc="89D8B650">
      <w:start w:val="1"/>
      <w:numFmt w:val="lowerRoman"/>
      <w:lvlText w:val="%1."/>
      <w:lvlJc w:val="left"/>
      <w:pPr>
        <w:ind w:left="862" w:hanging="720"/>
      </w:pPr>
      <w:rPr>
        <w:rFonts w:hint="default"/>
        <w:b w:val="0"/>
        <w:bCs/>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1D9814AC"/>
    <w:multiLevelType w:val="hybridMultilevel"/>
    <w:tmpl w:val="C3262B6C"/>
    <w:lvl w:ilvl="0" w:tplc="8DF226FA">
      <w:start w:val="1"/>
      <w:numFmt w:val="lowerLetter"/>
      <w:lvlText w:val="(%1)"/>
      <w:lvlJc w:val="left"/>
      <w:pPr>
        <w:ind w:left="862" w:hanging="360"/>
      </w:pPr>
      <w:rPr>
        <w:rFonts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11" w15:restartNumberingAfterBreak="0">
    <w:nsid w:val="1F9670B0"/>
    <w:multiLevelType w:val="hybridMultilevel"/>
    <w:tmpl w:val="BF30342A"/>
    <w:lvl w:ilvl="0" w:tplc="81784336">
      <w:start w:val="9"/>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21BB3834"/>
    <w:multiLevelType w:val="hybridMultilevel"/>
    <w:tmpl w:val="0F103D62"/>
    <w:lvl w:ilvl="0" w:tplc="64BA965C">
      <w:start w:val="1"/>
      <w:numFmt w:val="lowerRoman"/>
      <w:lvlText w:val="%1."/>
      <w:lvlJc w:val="left"/>
      <w:pPr>
        <w:ind w:left="862" w:hanging="720"/>
      </w:pPr>
      <w:rPr>
        <w:rFonts w:hint="default"/>
        <w:b w:val="0"/>
        <w:bCs/>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23510166"/>
    <w:multiLevelType w:val="hybridMultilevel"/>
    <w:tmpl w:val="BE041E6A"/>
    <w:lvl w:ilvl="0" w:tplc="1C09001B">
      <w:start w:val="1"/>
      <w:numFmt w:val="lowerRoman"/>
      <w:lvlText w:val="%1."/>
      <w:lvlJc w:val="right"/>
      <w:pPr>
        <w:ind w:left="2280" w:hanging="360"/>
      </w:p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abstractNum w:abstractNumId="14" w15:restartNumberingAfterBreak="0">
    <w:nsid w:val="24A9269A"/>
    <w:multiLevelType w:val="hybridMultilevel"/>
    <w:tmpl w:val="20AE00B4"/>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 w15:restartNumberingAfterBreak="0">
    <w:nsid w:val="27610015"/>
    <w:multiLevelType w:val="hybridMultilevel"/>
    <w:tmpl w:val="574A469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E10AE7"/>
    <w:multiLevelType w:val="hybridMultilevel"/>
    <w:tmpl w:val="EB8A944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2CF43D83"/>
    <w:multiLevelType w:val="hybridMultilevel"/>
    <w:tmpl w:val="13A8896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D521B1"/>
    <w:multiLevelType w:val="hybridMultilevel"/>
    <w:tmpl w:val="A2703E76"/>
    <w:lvl w:ilvl="0" w:tplc="784A259E">
      <w:start w:val="1"/>
      <w:numFmt w:val="decimal"/>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9" w15:restartNumberingAfterBreak="0">
    <w:nsid w:val="32330A5D"/>
    <w:multiLevelType w:val="hybridMultilevel"/>
    <w:tmpl w:val="FB20B1B8"/>
    <w:lvl w:ilvl="0" w:tplc="959C279C">
      <w:start w:val="1"/>
      <w:numFmt w:val="upperLetter"/>
      <w:pStyle w:val="Tier1Head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33921BC8"/>
    <w:multiLevelType w:val="hybridMultilevel"/>
    <w:tmpl w:val="4936F46A"/>
    <w:lvl w:ilvl="0" w:tplc="A910510A">
      <w:start w:val="1"/>
      <w:numFmt w:val="lowerRoman"/>
      <w:lvlText w:val="%1."/>
      <w:lvlJc w:val="left"/>
      <w:pPr>
        <w:ind w:left="862" w:hanging="72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1" w15:restartNumberingAfterBreak="0">
    <w:nsid w:val="34943FFC"/>
    <w:multiLevelType w:val="hybridMultilevel"/>
    <w:tmpl w:val="EB8A9448"/>
    <w:lvl w:ilvl="0" w:tplc="1C090019">
      <w:start w:val="1"/>
      <w:numFmt w:val="lowerLetter"/>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393C6C87"/>
    <w:multiLevelType w:val="hybridMultilevel"/>
    <w:tmpl w:val="AB08D56C"/>
    <w:lvl w:ilvl="0" w:tplc="245435D6">
      <w:start w:val="1"/>
      <w:numFmt w:val="lowerRoman"/>
      <w:lvlText w:val="%1."/>
      <w:lvlJc w:val="left"/>
      <w:pPr>
        <w:ind w:left="862" w:hanging="720"/>
      </w:pPr>
      <w:rPr>
        <w:rFonts w:hint="default"/>
        <w:b w:val="0"/>
        <w:bCs/>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3" w15:restartNumberingAfterBreak="0">
    <w:nsid w:val="42DC37F8"/>
    <w:multiLevelType w:val="hybridMultilevel"/>
    <w:tmpl w:val="B1520E70"/>
    <w:lvl w:ilvl="0" w:tplc="2B2A7756">
      <w:start w:val="1"/>
      <w:numFmt w:val="decimal"/>
      <w:lvlText w:val="%1."/>
      <w:lvlJc w:val="left"/>
      <w:pPr>
        <w:ind w:left="1020" w:hanging="360"/>
      </w:pPr>
    </w:lvl>
    <w:lvl w:ilvl="1" w:tplc="86A4B8EC">
      <w:start w:val="1"/>
      <w:numFmt w:val="decimal"/>
      <w:lvlText w:val="%2."/>
      <w:lvlJc w:val="left"/>
      <w:pPr>
        <w:ind w:left="1020" w:hanging="360"/>
      </w:pPr>
    </w:lvl>
    <w:lvl w:ilvl="2" w:tplc="C6EAA0AA">
      <w:start w:val="1"/>
      <w:numFmt w:val="decimal"/>
      <w:lvlText w:val="%3."/>
      <w:lvlJc w:val="left"/>
      <w:pPr>
        <w:ind w:left="1020" w:hanging="360"/>
      </w:pPr>
    </w:lvl>
    <w:lvl w:ilvl="3" w:tplc="32D0D72C">
      <w:start w:val="1"/>
      <w:numFmt w:val="decimal"/>
      <w:lvlText w:val="%4."/>
      <w:lvlJc w:val="left"/>
      <w:pPr>
        <w:ind w:left="1020" w:hanging="360"/>
      </w:pPr>
    </w:lvl>
    <w:lvl w:ilvl="4" w:tplc="328C7516">
      <w:start w:val="1"/>
      <w:numFmt w:val="decimal"/>
      <w:lvlText w:val="%5."/>
      <w:lvlJc w:val="left"/>
      <w:pPr>
        <w:ind w:left="1020" w:hanging="360"/>
      </w:pPr>
    </w:lvl>
    <w:lvl w:ilvl="5" w:tplc="3BFA3726">
      <w:start w:val="1"/>
      <w:numFmt w:val="decimal"/>
      <w:lvlText w:val="%6."/>
      <w:lvlJc w:val="left"/>
      <w:pPr>
        <w:ind w:left="1020" w:hanging="360"/>
      </w:pPr>
    </w:lvl>
    <w:lvl w:ilvl="6" w:tplc="01DCA3CA">
      <w:start w:val="1"/>
      <w:numFmt w:val="decimal"/>
      <w:lvlText w:val="%7."/>
      <w:lvlJc w:val="left"/>
      <w:pPr>
        <w:ind w:left="1020" w:hanging="360"/>
      </w:pPr>
    </w:lvl>
    <w:lvl w:ilvl="7" w:tplc="EEE091CC">
      <w:start w:val="1"/>
      <w:numFmt w:val="decimal"/>
      <w:lvlText w:val="%8."/>
      <w:lvlJc w:val="left"/>
      <w:pPr>
        <w:ind w:left="1020" w:hanging="360"/>
      </w:pPr>
    </w:lvl>
    <w:lvl w:ilvl="8" w:tplc="AA4A8BBE">
      <w:start w:val="1"/>
      <w:numFmt w:val="decimal"/>
      <w:lvlText w:val="%9."/>
      <w:lvlJc w:val="left"/>
      <w:pPr>
        <w:ind w:left="1020" w:hanging="360"/>
      </w:pPr>
    </w:lvl>
  </w:abstractNum>
  <w:abstractNum w:abstractNumId="24" w15:restartNumberingAfterBreak="0">
    <w:nsid w:val="46B72873"/>
    <w:multiLevelType w:val="hybridMultilevel"/>
    <w:tmpl w:val="E1CE26D4"/>
    <w:lvl w:ilvl="0" w:tplc="21AE853C">
      <w:start w:val="1"/>
      <w:numFmt w:val="lowerLetter"/>
      <w:lvlText w:val="%1."/>
      <w:lvlJc w:val="left"/>
      <w:pPr>
        <w:ind w:left="1822" w:hanging="360"/>
      </w:pPr>
      <w:rPr>
        <w:rFonts w:hint="default"/>
      </w:rPr>
    </w:lvl>
    <w:lvl w:ilvl="1" w:tplc="1C090019" w:tentative="1">
      <w:start w:val="1"/>
      <w:numFmt w:val="lowerLetter"/>
      <w:lvlText w:val="%2."/>
      <w:lvlJc w:val="left"/>
      <w:pPr>
        <w:ind w:left="2542" w:hanging="360"/>
      </w:pPr>
    </w:lvl>
    <w:lvl w:ilvl="2" w:tplc="1C09001B" w:tentative="1">
      <w:start w:val="1"/>
      <w:numFmt w:val="lowerRoman"/>
      <w:lvlText w:val="%3."/>
      <w:lvlJc w:val="right"/>
      <w:pPr>
        <w:ind w:left="3262" w:hanging="180"/>
      </w:pPr>
    </w:lvl>
    <w:lvl w:ilvl="3" w:tplc="1C09000F" w:tentative="1">
      <w:start w:val="1"/>
      <w:numFmt w:val="decimal"/>
      <w:lvlText w:val="%4."/>
      <w:lvlJc w:val="left"/>
      <w:pPr>
        <w:ind w:left="3982" w:hanging="360"/>
      </w:pPr>
    </w:lvl>
    <w:lvl w:ilvl="4" w:tplc="1C090019" w:tentative="1">
      <w:start w:val="1"/>
      <w:numFmt w:val="lowerLetter"/>
      <w:lvlText w:val="%5."/>
      <w:lvlJc w:val="left"/>
      <w:pPr>
        <w:ind w:left="4702" w:hanging="360"/>
      </w:pPr>
    </w:lvl>
    <w:lvl w:ilvl="5" w:tplc="1C09001B" w:tentative="1">
      <w:start w:val="1"/>
      <w:numFmt w:val="lowerRoman"/>
      <w:lvlText w:val="%6."/>
      <w:lvlJc w:val="right"/>
      <w:pPr>
        <w:ind w:left="5422" w:hanging="180"/>
      </w:pPr>
    </w:lvl>
    <w:lvl w:ilvl="6" w:tplc="1C09000F" w:tentative="1">
      <w:start w:val="1"/>
      <w:numFmt w:val="decimal"/>
      <w:lvlText w:val="%7."/>
      <w:lvlJc w:val="left"/>
      <w:pPr>
        <w:ind w:left="6142" w:hanging="360"/>
      </w:pPr>
    </w:lvl>
    <w:lvl w:ilvl="7" w:tplc="1C090019" w:tentative="1">
      <w:start w:val="1"/>
      <w:numFmt w:val="lowerLetter"/>
      <w:lvlText w:val="%8."/>
      <w:lvlJc w:val="left"/>
      <w:pPr>
        <w:ind w:left="6862" w:hanging="360"/>
      </w:pPr>
    </w:lvl>
    <w:lvl w:ilvl="8" w:tplc="1C09001B" w:tentative="1">
      <w:start w:val="1"/>
      <w:numFmt w:val="lowerRoman"/>
      <w:lvlText w:val="%9."/>
      <w:lvlJc w:val="right"/>
      <w:pPr>
        <w:ind w:left="7582" w:hanging="180"/>
      </w:pPr>
    </w:lvl>
  </w:abstractNum>
  <w:abstractNum w:abstractNumId="25" w15:restartNumberingAfterBreak="0">
    <w:nsid w:val="478C0895"/>
    <w:multiLevelType w:val="hybridMultilevel"/>
    <w:tmpl w:val="F1FAB736"/>
    <w:lvl w:ilvl="0" w:tplc="4998A316">
      <w:start w:val="1"/>
      <w:numFmt w:val="decimal"/>
      <w:lvlText w:val="%1."/>
      <w:lvlJc w:val="left"/>
      <w:pPr>
        <w:ind w:left="1020" w:hanging="360"/>
      </w:pPr>
    </w:lvl>
    <w:lvl w:ilvl="1" w:tplc="FAD4618A">
      <w:start w:val="1"/>
      <w:numFmt w:val="decimal"/>
      <w:lvlText w:val="%2."/>
      <w:lvlJc w:val="left"/>
      <w:pPr>
        <w:ind w:left="1020" w:hanging="360"/>
      </w:pPr>
    </w:lvl>
    <w:lvl w:ilvl="2" w:tplc="478C2F20">
      <w:start w:val="1"/>
      <w:numFmt w:val="decimal"/>
      <w:lvlText w:val="%3."/>
      <w:lvlJc w:val="left"/>
      <w:pPr>
        <w:ind w:left="1020" w:hanging="360"/>
      </w:pPr>
    </w:lvl>
    <w:lvl w:ilvl="3" w:tplc="48F43CF6">
      <w:start w:val="1"/>
      <w:numFmt w:val="decimal"/>
      <w:lvlText w:val="%4."/>
      <w:lvlJc w:val="left"/>
      <w:pPr>
        <w:ind w:left="1020" w:hanging="360"/>
      </w:pPr>
    </w:lvl>
    <w:lvl w:ilvl="4" w:tplc="1EBA1A56">
      <w:start w:val="1"/>
      <w:numFmt w:val="decimal"/>
      <w:lvlText w:val="%5."/>
      <w:lvlJc w:val="left"/>
      <w:pPr>
        <w:ind w:left="1020" w:hanging="360"/>
      </w:pPr>
    </w:lvl>
    <w:lvl w:ilvl="5" w:tplc="B4B03594">
      <w:start w:val="1"/>
      <w:numFmt w:val="decimal"/>
      <w:lvlText w:val="%6."/>
      <w:lvlJc w:val="left"/>
      <w:pPr>
        <w:ind w:left="1020" w:hanging="360"/>
      </w:pPr>
    </w:lvl>
    <w:lvl w:ilvl="6" w:tplc="F5E4C9DC">
      <w:start w:val="1"/>
      <w:numFmt w:val="decimal"/>
      <w:lvlText w:val="%7."/>
      <w:lvlJc w:val="left"/>
      <w:pPr>
        <w:ind w:left="1020" w:hanging="360"/>
      </w:pPr>
    </w:lvl>
    <w:lvl w:ilvl="7" w:tplc="A45CF530">
      <w:start w:val="1"/>
      <w:numFmt w:val="decimal"/>
      <w:lvlText w:val="%8."/>
      <w:lvlJc w:val="left"/>
      <w:pPr>
        <w:ind w:left="1020" w:hanging="360"/>
      </w:pPr>
    </w:lvl>
    <w:lvl w:ilvl="8" w:tplc="D41244F8">
      <w:start w:val="1"/>
      <w:numFmt w:val="decimal"/>
      <w:lvlText w:val="%9."/>
      <w:lvlJc w:val="left"/>
      <w:pPr>
        <w:ind w:left="1020" w:hanging="360"/>
      </w:pPr>
    </w:lvl>
  </w:abstractNum>
  <w:abstractNum w:abstractNumId="26" w15:restartNumberingAfterBreak="0">
    <w:nsid w:val="482E47DC"/>
    <w:multiLevelType w:val="hybridMultilevel"/>
    <w:tmpl w:val="FFECC33A"/>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7" w15:restartNumberingAfterBreak="0">
    <w:nsid w:val="48B34CCC"/>
    <w:multiLevelType w:val="hybridMultilevel"/>
    <w:tmpl w:val="DF902DE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4C7444AC"/>
    <w:multiLevelType w:val="hybridMultilevel"/>
    <w:tmpl w:val="810E5396"/>
    <w:lvl w:ilvl="0" w:tplc="D80869A6">
      <w:start w:val="1"/>
      <w:numFmt w:val="lowerRoman"/>
      <w:lvlText w:val="%1."/>
      <w:lvlJc w:val="left"/>
      <w:pPr>
        <w:ind w:left="862" w:hanging="72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9" w15:restartNumberingAfterBreak="0">
    <w:nsid w:val="4FCD33EA"/>
    <w:multiLevelType w:val="hybridMultilevel"/>
    <w:tmpl w:val="305806D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5B8541F6"/>
    <w:multiLevelType w:val="hybridMultilevel"/>
    <w:tmpl w:val="EB8A944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1" w15:restartNumberingAfterBreak="0">
    <w:nsid w:val="5C881F69"/>
    <w:multiLevelType w:val="hybridMultilevel"/>
    <w:tmpl w:val="89C85F5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DB5260F"/>
    <w:multiLevelType w:val="multilevel"/>
    <w:tmpl w:val="9F8C6E2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EAB05AF"/>
    <w:multiLevelType w:val="multilevel"/>
    <w:tmpl w:val="72E4F2FC"/>
    <w:lvl w:ilvl="0">
      <w:start w:val="2"/>
      <w:numFmt w:val="decimal"/>
      <w:lvlText w:val="%1."/>
      <w:lvlJc w:val="left"/>
      <w:pPr>
        <w:ind w:left="400" w:hanging="400"/>
      </w:pPr>
      <w:rPr>
        <w:rFonts w:hint="default"/>
      </w:rPr>
    </w:lvl>
    <w:lvl w:ilvl="1">
      <w:start w:val="1"/>
      <w:numFmt w:val="decimal"/>
      <w:lvlText w:val="%2.1"/>
      <w:lvlJc w:val="left"/>
      <w:pPr>
        <w:ind w:left="1211" w:hanging="360"/>
      </w:pPr>
      <w:rPr>
        <w:rFonts w:hint="default"/>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5FBE5707"/>
    <w:multiLevelType w:val="hybridMultilevel"/>
    <w:tmpl w:val="E110ABEC"/>
    <w:lvl w:ilvl="0" w:tplc="EF7AE4F8">
      <w:start w:val="1"/>
      <w:numFmt w:val="decimal"/>
      <w:lvlText w:val="%1."/>
      <w:lvlJc w:val="left"/>
      <w:pPr>
        <w:ind w:left="1020" w:hanging="360"/>
      </w:pPr>
    </w:lvl>
    <w:lvl w:ilvl="1" w:tplc="B052AD26">
      <w:start w:val="1"/>
      <w:numFmt w:val="decimal"/>
      <w:lvlText w:val="%2."/>
      <w:lvlJc w:val="left"/>
      <w:pPr>
        <w:ind w:left="1020" w:hanging="360"/>
      </w:pPr>
    </w:lvl>
    <w:lvl w:ilvl="2" w:tplc="3D4CFEF4">
      <w:start w:val="1"/>
      <w:numFmt w:val="decimal"/>
      <w:lvlText w:val="%3."/>
      <w:lvlJc w:val="left"/>
      <w:pPr>
        <w:ind w:left="1020" w:hanging="360"/>
      </w:pPr>
    </w:lvl>
    <w:lvl w:ilvl="3" w:tplc="5FFE09D4">
      <w:start w:val="1"/>
      <w:numFmt w:val="decimal"/>
      <w:lvlText w:val="%4."/>
      <w:lvlJc w:val="left"/>
      <w:pPr>
        <w:ind w:left="1020" w:hanging="360"/>
      </w:pPr>
    </w:lvl>
    <w:lvl w:ilvl="4" w:tplc="7FEE3A7C">
      <w:start w:val="1"/>
      <w:numFmt w:val="decimal"/>
      <w:lvlText w:val="%5."/>
      <w:lvlJc w:val="left"/>
      <w:pPr>
        <w:ind w:left="1020" w:hanging="360"/>
      </w:pPr>
    </w:lvl>
    <w:lvl w:ilvl="5" w:tplc="2F6EFFBA">
      <w:start w:val="1"/>
      <w:numFmt w:val="decimal"/>
      <w:lvlText w:val="%6."/>
      <w:lvlJc w:val="left"/>
      <w:pPr>
        <w:ind w:left="1020" w:hanging="360"/>
      </w:pPr>
    </w:lvl>
    <w:lvl w:ilvl="6" w:tplc="2AA0C2D0">
      <w:start w:val="1"/>
      <w:numFmt w:val="decimal"/>
      <w:lvlText w:val="%7."/>
      <w:lvlJc w:val="left"/>
      <w:pPr>
        <w:ind w:left="1020" w:hanging="360"/>
      </w:pPr>
    </w:lvl>
    <w:lvl w:ilvl="7" w:tplc="532C577E">
      <w:start w:val="1"/>
      <w:numFmt w:val="decimal"/>
      <w:lvlText w:val="%8."/>
      <w:lvlJc w:val="left"/>
      <w:pPr>
        <w:ind w:left="1020" w:hanging="360"/>
      </w:pPr>
    </w:lvl>
    <w:lvl w:ilvl="8" w:tplc="D738FB1E">
      <w:start w:val="1"/>
      <w:numFmt w:val="decimal"/>
      <w:lvlText w:val="%9."/>
      <w:lvlJc w:val="left"/>
      <w:pPr>
        <w:ind w:left="1020" w:hanging="360"/>
      </w:pPr>
    </w:lvl>
  </w:abstractNum>
  <w:abstractNum w:abstractNumId="35" w15:restartNumberingAfterBreak="0">
    <w:nsid w:val="604E4C75"/>
    <w:multiLevelType w:val="hybridMultilevel"/>
    <w:tmpl w:val="EB8A944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6" w15:restartNumberingAfterBreak="0">
    <w:nsid w:val="62366BA6"/>
    <w:multiLevelType w:val="hybridMultilevel"/>
    <w:tmpl w:val="249E1C10"/>
    <w:lvl w:ilvl="0" w:tplc="EEEA0FC4">
      <w:start w:val="1"/>
      <w:numFmt w:val="decimal"/>
      <w:lvlText w:val="%1."/>
      <w:lvlJc w:val="left"/>
      <w:pPr>
        <w:ind w:left="1020" w:hanging="360"/>
      </w:pPr>
    </w:lvl>
    <w:lvl w:ilvl="1" w:tplc="1866819E">
      <w:start w:val="1"/>
      <w:numFmt w:val="decimal"/>
      <w:lvlText w:val="%2."/>
      <w:lvlJc w:val="left"/>
      <w:pPr>
        <w:ind w:left="1020" w:hanging="360"/>
      </w:pPr>
    </w:lvl>
    <w:lvl w:ilvl="2" w:tplc="F164533A">
      <w:start w:val="1"/>
      <w:numFmt w:val="decimal"/>
      <w:lvlText w:val="%3."/>
      <w:lvlJc w:val="left"/>
      <w:pPr>
        <w:ind w:left="1020" w:hanging="360"/>
      </w:pPr>
    </w:lvl>
    <w:lvl w:ilvl="3" w:tplc="5B9AAEC0">
      <w:start w:val="1"/>
      <w:numFmt w:val="decimal"/>
      <w:lvlText w:val="%4."/>
      <w:lvlJc w:val="left"/>
      <w:pPr>
        <w:ind w:left="1020" w:hanging="360"/>
      </w:pPr>
    </w:lvl>
    <w:lvl w:ilvl="4" w:tplc="72B2A1F4">
      <w:start w:val="1"/>
      <w:numFmt w:val="decimal"/>
      <w:lvlText w:val="%5."/>
      <w:lvlJc w:val="left"/>
      <w:pPr>
        <w:ind w:left="1020" w:hanging="360"/>
      </w:pPr>
    </w:lvl>
    <w:lvl w:ilvl="5" w:tplc="9EACBDD2">
      <w:start w:val="1"/>
      <w:numFmt w:val="decimal"/>
      <w:lvlText w:val="%6."/>
      <w:lvlJc w:val="left"/>
      <w:pPr>
        <w:ind w:left="1020" w:hanging="360"/>
      </w:pPr>
    </w:lvl>
    <w:lvl w:ilvl="6" w:tplc="D9E0F318">
      <w:start w:val="1"/>
      <w:numFmt w:val="decimal"/>
      <w:lvlText w:val="%7."/>
      <w:lvlJc w:val="left"/>
      <w:pPr>
        <w:ind w:left="1020" w:hanging="360"/>
      </w:pPr>
    </w:lvl>
    <w:lvl w:ilvl="7" w:tplc="A3043C5E">
      <w:start w:val="1"/>
      <w:numFmt w:val="decimal"/>
      <w:lvlText w:val="%8."/>
      <w:lvlJc w:val="left"/>
      <w:pPr>
        <w:ind w:left="1020" w:hanging="360"/>
      </w:pPr>
    </w:lvl>
    <w:lvl w:ilvl="8" w:tplc="6422025A">
      <w:start w:val="1"/>
      <w:numFmt w:val="decimal"/>
      <w:lvlText w:val="%9."/>
      <w:lvlJc w:val="left"/>
      <w:pPr>
        <w:ind w:left="1020" w:hanging="360"/>
      </w:pPr>
    </w:lvl>
  </w:abstractNum>
  <w:abstractNum w:abstractNumId="37" w15:restartNumberingAfterBreak="0">
    <w:nsid w:val="64972E24"/>
    <w:multiLevelType w:val="hybridMultilevel"/>
    <w:tmpl w:val="4D4E3018"/>
    <w:lvl w:ilvl="0" w:tplc="E60048FC">
      <w:start w:val="1"/>
      <w:numFmt w:val="lowerRoman"/>
      <w:lvlText w:val="%1."/>
      <w:lvlJc w:val="left"/>
      <w:pPr>
        <w:ind w:left="862" w:hanging="720"/>
      </w:pPr>
      <w:rPr>
        <w:rFonts w:eastAsia="Calibri" w:cs="Arial" w:hint="default"/>
        <w:b w:val="0"/>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8" w15:restartNumberingAfterBreak="0">
    <w:nsid w:val="66D846B7"/>
    <w:multiLevelType w:val="hybridMultilevel"/>
    <w:tmpl w:val="4F5AC232"/>
    <w:lvl w:ilvl="0" w:tplc="A5BCB954">
      <w:start w:val="1"/>
      <w:numFmt w:val="decimal"/>
      <w:lvlText w:val="%1."/>
      <w:lvlJc w:val="left"/>
      <w:pPr>
        <w:ind w:left="1020" w:hanging="360"/>
      </w:pPr>
    </w:lvl>
    <w:lvl w:ilvl="1" w:tplc="3D08C8E2">
      <w:start w:val="1"/>
      <w:numFmt w:val="decimal"/>
      <w:lvlText w:val="%2."/>
      <w:lvlJc w:val="left"/>
      <w:pPr>
        <w:ind w:left="1020" w:hanging="360"/>
      </w:pPr>
    </w:lvl>
    <w:lvl w:ilvl="2" w:tplc="20A0E08A">
      <w:start w:val="1"/>
      <w:numFmt w:val="decimal"/>
      <w:lvlText w:val="%3."/>
      <w:lvlJc w:val="left"/>
      <w:pPr>
        <w:ind w:left="1020" w:hanging="360"/>
      </w:pPr>
    </w:lvl>
    <w:lvl w:ilvl="3" w:tplc="9E883376">
      <w:start w:val="1"/>
      <w:numFmt w:val="decimal"/>
      <w:lvlText w:val="%4."/>
      <w:lvlJc w:val="left"/>
      <w:pPr>
        <w:ind w:left="1020" w:hanging="360"/>
      </w:pPr>
    </w:lvl>
    <w:lvl w:ilvl="4" w:tplc="B672A044">
      <w:start w:val="1"/>
      <w:numFmt w:val="decimal"/>
      <w:lvlText w:val="%5."/>
      <w:lvlJc w:val="left"/>
      <w:pPr>
        <w:ind w:left="1020" w:hanging="360"/>
      </w:pPr>
    </w:lvl>
    <w:lvl w:ilvl="5" w:tplc="0100AD16">
      <w:start w:val="1"/>
      <w:numFmt w:val="decimal"/>
      <w:lvlText w:val="%6."/>
      <w:lvlJc w:val="left"/>
      <w:pPr>
        <w:ind w:left="1020" w:hanging="360"/>
      </w:pPr>
    </w:lvl>
    <w:lvl w:ilvl="6" w:tplc="D6A4E1AC">
      <w:start w:val="1"/>
      <w:numFmt w:val="decimal"/>
      <w:lvlText w:val="%7."/>
      <w:lvlJc w:val="left"/>
      <w:pPr>
        <w:ind w:left="1020" w:hanging="360"/>
      </w:pPr>
    </w:lvl>
    <w:lvl w:ilvl="7" w:tplc="228EE232">
      <w:start w:val="1"/>
      <w:numFmt w:val="decimal"/>
      <w:lvlText w:val="%8."/>
      <w:lvlJc w:val="left"/>
      <w:pPr>
        <w:ind w:left="1020" w:hanging="360"/>
      </w:pPr>
    </w:lvl>
    <w:lvl w:ilvl="8" w:tplc="39F266C6">
      <w:start w:val="1"/>
      <w:numFmt w:val="decimal"/>
      <w:lvlText w:val="%9."/>
      <w:lvlJc w:val="left"/>
      <w:pPr>
        <w:ind w:left="1020" w:hanging="360"/>
      </w:pPr>
    </w:lvl>
  </w:abstractNum>
  <w:abstractNum w:abstractNumId="39" w15:restartNumberingAfterBreak="0">
    <w:nsid w:val="6728274F"/>
    <w:multiLevelType w:val="hybridMultilevel"/>
    <w:tmpl w:val="574A469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6904BE"/>
    <w:multiLevelType w:val="hybridMultilevel"/>
    <w:tmpl w:val="216A5210"/>
    <w:lvl w:ilvl="0" w:tplc="D472D4F4">
      <w:start w:val="1"/>
      <w:numFmt w:val="lowerLetter"/>
      <w:lvlText w:val="(%1)"/>
      <w:lvlJc w:val="left"/>
      <w:pPr>
        <w:ind w:left="1421" w:hanging="57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1" w15:restartNumberingAfterBreak="0">
    <w:nsid w:val="70C465CB"/>
    <w:multiLevelType w:val="hybridMultilevel"/>
    <w:tmpl w:val="0BEA5F8C"/>
    <w:lvl w:ilvl="0" w:tplc="BA9CA6BC">
      <w:start w:val="9"/>
      <w:numFmt w:val="lowerLetter"/>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2" w15:restartNumberingAfterBreak="0">
    <w:nsid w:val="73113650"/>
    <w:multiLevelType w:val="hybridMultilevel"/>
    <w:tmpl w:val="C288873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060239"/>
    <w:multiLevelType w:val="hybridMultilevel"/>
    <w:tmpl w:val="F7EE1228"/>
    <w:lvl w:ilvl="0" w:tplc="84FC48AA">
      <w:start w:val="1"/>
      <w:numFmt w:val="lowerRoman"/>
      <w:lvlText w:val="%1."/>
      <w:lvlJc w:val="left"/>
      <w:pPr>
        <w:ind w:left="862" w:hanging="72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4" w15:restartNumberingAfterBreak="0">
    <w:nsid w:val="79766461"/>
    <w:multiLevelType w:val="hybridMultilevel"/>
    <w:tmpl w:val="09A43E8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F886C0A2">
      <w:start w:val="2"/>
      <w:numFmt w:val="lowerRoman"/>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A195532"/>
    <w:multiLevelType w:val="hybridMultilevel"/>
    <w:tmpl w:val="74007D08"/>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46" w15:restartNumberingAfterBreak="0">
    <w:nsid w:val="7DE222A7"/>
    <w:multiLevelType w:val="hybridMultilevel"/>
    <w:tmpl w:val="305806D6"/>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7" w15:restartNumberingAfterBreak="0">
    <w:nsid w:val="7E794CAC"/>
    <w:multiLevelType w:val="hybridMultilevel"/>
    <w:tmpl w:val="3A2286D0"/>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8" w15:restartNumberingAfterBreak="0">
    <w:nsid w:val="7EBF47BC"/>
    <w:multiLevelType w:val="hybridMultilevel"/>
    <w:tmpl w:val="3948E68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992091">
    <w:abstractNumId w:val="19"/>
  </w:num>
  <w:num w:numId="2" w16cid:durableId="1569263727">
    <w:abstractNumId w:val="44"/>
  </w:num>
  <w:num w:numId="3" w16cid:durableId="975989662">
    <w:abstractNumId w:val="33"/>
  </w:num>
  <w:num w:numId="4" w16cid:durableId="2045127859">
    <w:abstractNumId w:val="32"/>
  </w:num>
  <w:num w:numId="5" w16cid:durableId="348140007">
    <w:abstractNumId w:val="6"/>
  </w:num>
  <w:num w:numId="6" w16cid:durableId="310140505">
    <w:abstractNumId w:val="40"/>
  </w:num>
  <w:num w:numId="7" w16cid:durableId="1348409979">
    <w:abstractNumId w:val="10"/>
  </w:num>
  <w:num w:numId="8" w16cid:durableId="222103236">
    <w:abstractNumId w:val="21"/>
  </w:num>
  <w:num w:numId="9" w16cid:durableId="532042003">
    <w:abstractNumId w:val="1"/>
  </w:num>
  <w:num w:numId="10" w16cid:durableId="2081828192">
    <w:abstractNumId w:val="47"/>
  </w:num>
  <w:num w:numId="11" w16cid:durableId="17633553">
    <w:abstractNumId w:val="46"/>
  </w:num>
  <w:num w:numId="12" w16cid:durableId="1533037167">
    <w:abstractNumId w:val="31"/>
  </w:num>
  <w:num w:numId="13" w16cid:durableId="1815757216">
    <w:abstractNumId w:val="4"/>
  </w:num>
  <w:num w:numId="14" w16cid:durableId="1200046669">
    <w:abstractNumId w:val="27"/>
  </w:num>
  <w:num w:numId="15" w16cid:durableId="9643462">
    <w:abstractNumId w:val="42"/>
  </w:num>
  <w:num w:numId="16" w16cid:durableId="1723095389">
    <w:abstractNumId w:val="24"/>
  </w:num>
  <w:num w:numId="17" w16cid:durableId="75518084">
    <w:abstractNumId w:val="5"/>
  </w:num>
  <w:num w:numId="18" w16cid:durableId="683481135">
    <w:abstractNumId w:val="45"/>
  </w:num>
  <w:num w:numId="19" w16cid:durableId="569924834">
    <w:abstractNumId w:val="14"/>
  </w:num>
  <w:num w:numId="20" w16cid:durableId="873420834">
    <w:abstractNumId w:val="26"/>
  </w:num>
  <w:num w:numId="21" w16cid:durableId="1616863248">
    <w:abstractNumId w:val="7"/>
  </w:num>
  <w:num w:numId="22" w16cid:durableId="1417168797">
    <w:abstractNumId w:val="3"/>
  </w:num>
  <w:num w:numId="23" w16cid:durableId="357237113">
    <w:abstractNumId w:val="13"/>
  </w:num>
  <w:num w:numId="24" w16cid:durableId="2040741936">
    <w:abstractNumId w:val="18"/>
  </w:num>
  <w:num w:numId="25" w16cid:durableId="236985894">
    <w:abstractNumId w:val="11"/>
  </w:num>
  <w:num w:numId="26" w16cid:durableId="1284076802">
    <w:abstractNumId w:val="23"/>
  </w:num>
  <w:num w:numId="27" w16cid:durableId="466747707">
    <w:abstractNumId w:val="34"/>
  </w:num>
  <w:num w:numId="28" w16cid:durableId="542333080">
    <w:abstractNumId w:val="0"/>
  </w:num>
  <w:num w:numId="29" w16cid:durableId="1226719884">
    <w:abstractNumId w:val="36"/>
  </w:num>
  <w:num w:numId="30" w16cid:durableId="246157578">
    <w:abstractNumId w:val="38"/>
  </w:num>
  <w:num w:numId="31" w16cid:durableId="669211291">
    <w:abstractNumId w:val="25"/>
  </w:num>
  <w:num w:numId="32" w16cid:durableId="940457289">
    <w:abstractNumId w:val="30"/>
  </w:num>
  <w:num w:numId="33" w16cid:durableId="1855194338">
    <w:abstractNumId w:val="2"/>
  </w:num>
  <w:num w:numId="34" w16cid:durableId="1582131529">
    <w:abstractNumId w:val="16"/>
  </w:num>
  <w:num w:numId="35" w16cid:durableId="1321808779">
    <w:abstractNumId w:val="29"/>
  </w:num>
  <w:num w:numId="36" w16cid:durableId="1501389290">
    <w:abstractNumId w:val="35"/>
  </w:num>
  <w:num w:numId="37" w16cid:durableId="833910467">
    <w:abstractNumId w:val="41"/>
  </w:num>
  <w:num w:numId="38" w16cid:durableId="1247881219">
    <w:abstractNumId w:val="17"/>
  </w:num>
  <w:num w:numId="39" w16cid:durableId="1803226305">
    <w:abstractNumId w:val="39"/>
  </w:num>
  <w:num w:numId="40" w16cid:durableId="1212963140">
    <w:abstractNumId w:val="48"/>
  </w:num>
  <w:num w:numId="41" w16cid:durableId="1352756385">
    <w:abstractNumId w:val="15"/>
  </w:num>
  <w:num w:numId="42" w16cid:durableId="624966220">
    <w:abstractNumId w:val="43"/>
  </w:num>
  <w:num w:numId="43" w16cid:durableId="1873614778">
    <w:abstractNumId w:val="28"/>
  </w:num>
  <w:num w:numId="44" w16cid:durableId="690229320">
    <w:abstractNumId w:val="12"/>
  </w:num>
  <w:num w:numId="45" w16cid:durableId="1956062029">
    <w:abstractNumId w:val="37"/>
  </w:num>
  <w:num w:numId="46" w16cid:durableId="873228031">
    <w:abstractNumId w:val="22"/>
  </w:num>
  <w:num w:numId="47" w16cid:durableId="138116089">
    <w:abstractNumId w:val="20"/>
  </w:num>
  <w:num w:numId="48" w16cid:durableId="1591696557">
    <w:abstractNumId w:val="8"/>
  </w:num>
  <w:num w:numId="49" w16cid:durableId="53323109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3A"/>
    <w:rsid w:val="00001A99"/>
    <w:rsid w:val="00003827"/>
    <w:rsid w:val="000043F6"/>
    <w:rsid w:val="00006697"/>
    <w:rsid w:val="000070FE"/>
    <w:rsid w:val="00007508"/>
    <w:rsid w:val="00010C93"/>
    <w:rsid w:val="00012255"/>
    <w:rsid w:val="00012CDC"/>
    <w:rsid w:val="00013812"/>
    <w:rsid w:val="00014563"/>
    <w:rsid w:val="00017081"/>
    <w:rsid w:val="00017305"/>
    <w:rsid w:val="00022582"/>
    <w:rsid w:val="00022FF8"/>
    <w:rsid w:val="0002319D"/>
    <w:rsid w:val="00023AF9"/>
    <w:rsid w:val="0002459F"/>
    <w:rsid w:val="00025463"/>
    <w:rsid w:val="0002571E"/>
    <w:rsid w:val="00025E6B"/>
    <w:rsid w:val="00026041"/>
    <w:rsid w:val="00027695"/>
    <w:rsid w:val="00030342"/>
    <w:rsid w:val="00031A97"/>
    <w:rsid w:val="0003253C"/>
    <w:rsid w:val="000331EE"/>
    <w:rsid w:val="00034086"/>
    <w:rsid w:val="00034368"/>
    <w:rsid w:val="00040504"/>
    <w:rsid w:val="0004104D"/>
    <w:rsid w:val="000420CD"/>
    <w:rsid w:val="00042626"/>
    <w:rsid w:val="00042C1B"/>
    <w:rsid w:val="00042DB2"/>
    <w:rsid w:val="00043CBB"/>
    <w:rsid w:val="00044C4D"/>
    <w:rsid w:val="000463AC"/>
    <w:rsid w:val="00047467"/>
    <w:rsid w:val="000474F3"/>
    <w:rsid w:val="00047827"/>
    <w:rsid w:val="00047861"/>
    <w:rsid w:val="00050593"/>
    <w:rsid w:val="00050DE3"/>
    <w:rsid w:val="0005103F"/>
    <w:rsid w:val="00051FE9"/>
    <w:rsid w:val="000520E0"/>
    <w:rsid w:val="000523EB"/>
    <w:rsid w:val="000525B3"/>
    <w:rsid w:val="000529F1"/>
    <w:rsid w:val="0005389C"/>
    <w:rsid w:val="000543BA"/>
    <w:rsid w:val="00054CB1"/>
    <w:rsid w:val="00055081"/>
    <w:rsid w:val="000552B0"/>
    <w:rsid w:val="00055B2D"/>
    <w:rsid w:val="00055D2C"/>
    <w:rsid w:val="00055E4F"/>
    <w:rsid w:val="00060990"/>
    <w:rsid w:val="00060C7B"/>
    <w:rsid w:val="00061233"/>
    <w:rsid w:val="00062869"/>
    <w:rsid w:val="000703A1"/>
    <w:rsid w:val="000727DC"/>
    <w:rsid w:val="00072C9C"/>
    <w:rsid w:val="00073DFD"/>
    <w:rsid w:val="0007477A"/>
    <w:rsid w:val="00077B3D"/>
    <w:rsid w:val="00077EA0"/>
    <w:rsid w:val="00081DC0"/>
    <w:rsid w:val="00082434"/>
    <w:rsid w:val="00084760"/>
    <w:rsid w:val="00084F30"/>
    <w:rsid w:val="000871FE"/>
    <w:rsid w:val="00090CA9"/>
    <w:rsid w:val="000915D6"/>
    <w:rsid w:val="000926D0"/>
    <w:rsid w:val="0009351A"/>
    <w:rsid w:val="00094584"/>
    <w:rsid w:val="00096240"/>
    <w:rsid w:val="00097394"/>
    <w:rsid w:val="000A4B25"/>
    <w:rsid w:val="000A5777"/>
    <w:rsid w:val="000A5F4A"/>
    <w:rsid w:val="000A67BB"/>
    <w:rsid w:val="000A6857"/>
    <w:rsid w:val="000A7168"/>
    <w:rsid w:val="000A71DE"/>
    <w:rsid w:val="000A7BB7"/>
    <w:rsid w:val="000A7CD5"/>
    <w:rsid w:val="000B27B3"/>
    <w:rsid w:val="000B378C"/>
    <w:rsid w:val="000B3DF7"/>
    <w:rsid w:val="000B6004"/>
    <w:rsid w:val="000B6AE6"/>
    <w:rsid w:val="000B6D1B"/>
    <w:rsid w:val="000C1217"/>
    <w:rsid w:val="000C1248"/>
    <w:rsid w:val="000C14E0"/>
    <w:rsid w:val="000C15A0"/>
    <w:rsid w:val="000C3847"/>
    <w:rsid w:val="000C3D00"/>
    <w:rsid w:val="000C42C6"/>
    <w:rsid w:val="000C7952"/>
    <w:rsid w:val="000D059B"/>
    <w:rsid w:val="000D05C9"/>
    <w:rsid w:val="000D06D4"/>
    <w:rsid w:val="000D0F6A"/>
    <w:rsid w:val="000D125E"/>
    <w:rsid w:val="000D1A62"/>
    <w:rsid w:val="000D1D44"/>
    <w:rsid w:val="000D3226"/>
    <w:rsid w:val="000D330A"/>
    <w:rsid w:val="000D4464"/>
    <w:rsid w:val="000D4E6B"/>
    <w:rsid w:val="000D56FE"/>
    <w:rsid w:val="000D5710"/>
    <w:rsid w:val="000D5B5F"/>
    <w:rsid w:val="000D6097"/>
    <w:rsid w:val="000D69C4"/>
    <w:rsid w:val="000D71D8"/>
    <w:rsid w:val="000D7240"/>
    <w:rsid w:val="000D752A"/>
    <w:rsid w:val="000D7C3C"/>
    <w:rsid w:val="000D7CD6"/>
    <w:rsid w:val="000E0CAB"/>
    <w:rsid w:val="000E1117"/>
    <w:rsid w:val="000E16B8"/>
    <w:rsid w:val="000E306D"/>
    <w:rsid w:val="000E356D"/>
    <w:rsid w:val="000E3E50"/>
    <w:rsid w:val="000E5044"/>
    <w:rsid w:val="000E63D6"/>
    <w:rsid w:val="000E7EED"/>
    <w:rsid w:val="000E7F81"/>
    <w:rsid w:val="000F01F7"/>
    <w:rsid w:val="000F0245"/>
    <w:rsid w:val="000F1B23"/>
    <w:rsid w:val="000F3806"/>
    <w:rsid w:val="000F47AC"/>
    <w:rsid w:val="000F54E2"/>
    <w:rsid w:val="000F5AC5"/>
    <w:rsid w:val="000F5AFD"/>
    <w:rsid w:val="000F7813"/>
    <w:rsid w:val="000F7B62"/>
    <w:rsid w:val="00100DFB"/>
    <w:rsid w:val="001039DB"/>
    <w:rsid w:val="001060CB"/>
    <w:rsid w:val="001062DF"/>
    <w:rsid w:val="00106DA0"/>
    <w:rsid w:val="00107130"/>
    <w:rsid w:val="00107D9F"/>
    <w:rsid w:val="00110D3F"/>
    <w:rsid w:val="00111C43"/>
    <w:rsid w:val="00112A4E"/>
    <w:rsid w:val="00112E1D"/>
    <w:rsid w:val="00115290"/>
    <w:rsid w:val="00115E62"/>
    <w:rsid w:val="00116F5B"/>
    <w:rsid w:val="001171C9"/>
    <w:rsid w:val="00120ECD"/>
    <w:rsid w:val="00121D81"/>
    <w:rsid w:val="00121EC4"/>
    <w:rsid w:val="00123943"/>
    <w:rsid w:val="00124BEC"/>
    <w:rsid w:val="0012585A"/>
    <w:rsid w:val="00125B52"/>
    <w:rsid w:val="00126CC0"/>
    <w:rsid w:val="001312E7"/>
    <w:rsid w:val="00131573"/>
    <w:rsid w:val="00132A26"/>
    <w:rsid w:val="00133434"/>
    <w:rsid w:val="001337D4"/>
    <w:rsid w:val="001342B7"/>
    <w:rsid w:val="001343A1"/>
    <w:rsid w:val="001343DF"/>
    <w:rsid w:val="00135954"/>
    <w:rsid w:val="00136FE9"/>
    <w:rsid w:val="0013704D"/>
    <w:rsid w:val="00137217"/>
    <w:rsid w:val="00137BA0"/>
    <w:rsid w:val="001407F2"/>
    <w:rsid w:val="001410BF"/>
    <w:rsid w:val="00141B75"/>
    <w:rsid w:val="00142A8D"/>
    <w:rsid w:val="00145223"/>
    <w:rsid w:val="0014559B"/>
    <w:rsid w:val="00146C46"/>
    <w:rsid w:val="0014732B"/>
    <w:rsid w:val="00151540"/>
    <w:rsid w:val="00155441"/>
    <w:rsid w:val="001561F3"/>
    <w:rsid w:val="00157323"/>
    <w:rsid w:val="0016000F"/>
    <w:rsid w:val="00160397"/>
    <w:rsid w:val="0016106B"/>
    <w:rsid w:val="00161750"/>
    <w:rsid w:val="00161BAD"/>
    <w:rsid w:val="001622D1"/>
    <w:rsid w:val="00162439"/>
    <w:rsid w:val="00162704"/>
    <w:rsid w:val="001627CE"/>
    <w:rsid w:val="00163437"/>
    <w:rsid w:val="00163C96"/>
    <w:rsid w:val="00170E0C"/>
    <w:rsid w:val="00171E97"/>
    <w:rsid w:val="00173E40"/>
    <w:rsid w:val="001754D9"/>
    <w:rsid w:val="001765C8"/>
    <w:rsid w:val="00176B33"/>
    <w:rsid w:val="001771C5"/>
    <w:rsid w:val="00181D90"/>
    <w:rsid w:val="00182FAD"/>
    <w:rsid w:val="00183243"/>
    <w:rsid w:val="00184C65"/>
    <w:rsid w:val="001850D0"/>
    <w:rsid w:val="001857F9"/>
    <w:rsid w:val="00190B80"/>
    <w:rsid w:val="001931DC"/>
    <w:rsid w:val="00193D9B"/>
    <w:rsid w:val="00193DFA"/>
    <w:rsid w:val="00195208"/>
    <w:rsid w:val="0019528C"/>
    <w:rsid w:val="00197091"/>
    <w:rsid w:val="001974DA"/>
    <w:rsid w:val="00197AF6"/>
    <w:rsid w:val="00197D7F"/>
    <w:rsid w:val="001A00F5"/>
    <w:rsid w:val="001A0C27"/>
    <w:rsid w:val="001A36DC"/>
    <w:rsid w:val="001A7AFA"/>
    <w:rsid w:val="001B3411"/>
    <w:rsid w:val="001B39C6"/>
    <w:rsid w:val="001B3EB7"/>
    <w:rsid w:val="001B3FF6"/>
    <w:rsid w:val="001B505F"/>
    <w:rsid w:val="001B544D"/>
    <w:rsid w:val="001B5966"/>
    <w:rsid w:val="001B64BC"/>
    <w:rsid w:val="001B6C32"/>
    <w:rsid w:val="001B72F6"/>
    <w:rsid w:val="001C314B"/>
    <w:rsid w:val="001C3863"/>
    <w:rsid w:val="001C4461"/>
    <w:rsid w:val="001C5435"/>
    <w:rsid w:val="001C5760"/>
    <w:rsid w:val="001C6072"/>
    <w:rsid w:val="001C6166"/>
    <w:rsid w:val="001C73F4"/>
    <w:rsid w:val="001D1B9C"/>
    <w:rsid w:val="001D3608"/>
    <w:rsid w:val="001D4D7E"/>
    <w:rsid w:val="001D542E"/>
    <w:rsid w:val="001D5656"/>
    <w:rsid w:val="001D72C7"/>
    <w:rsid w:val="001D738F"/>
    <w:rsid w:val="001E05E8"/>
    <w:rsid w:val="001E1A5B"/>
    <w:rsid w:val="001E265A"/>
    <w:rsid w:val="001E2DA1"/>
    <w:rsid w:val="001E35F1"/>
    <w:rsid w:val="001E3680"/>
    <w:rsid w:val="001E3F56"/>
    <w:rsid w:val="001E489C"/>
    <w:rsid w:val="001E5FA5"/>
    <w:rsid w:val="001F0AB8"/>
    <w:rsid w:val="001F3104"/>
    <w:rsid w:val="001F3C1B"/>
    <w:rsid w:val="001F4B31"/>
    <w:rsid w:val="001F711C"/>
    <w:rsid w:val="001F7320"/>
    <w:rsid w:val="002016B4"/>
    <w:rsid w:val="00202C8D"/>
    <w:rsid w:val="002033F2"/>
    <w:rsid w:val="00203D74"/>
    <w:rsid w:val="002050F0"/>
    <w:rsid w:val="00210D97"/>
    <w:rsid w:val="00210FEB"/>
    <w:rsid w:val="00211695"/>
    <w:rsid w:val="00213FE1"/>
    <w:rsid w:val="0021511E"/>
    <w:rsid w:val="002152EE"/>
    <w:rsid w:val="00216222"/>
    <w:rsid w:val="00220709"/>
    <w:rsid w:val="002215F1"/>
    <w:rsid w:val="00222A37"/>
    <w:rsid w:val="00225BB1"/>
    <w:rsid w:val="00226C40"/>
    <w:rsid w:val="00227456"/>
    <w:rsid w:val="00227B8A"/>
    <w:rsid w:val="002307A4"/>
    <w:rsid w:val="00230EDB"/>
    <w:rsid w:val="00231ABF"/>
    <w:rsid w:val="00231B7D"/>
    <w:rsid w:val="0023346B"/>
    <w:rsid w:val="002337AB"/>
    <w:rsid w:val="00234D6E"/>
    <w:rsid w:val="002356DE"/>
    <w:rsid w:val="00235981"/>
    <w:rsid w:val="002363B6"/>
    <w:rsid w:val="00236528"/>
    <w:rsid w:val="00236CC5"/>
    <w:rsid w:val="002378A1"/>
    <w:rsid w:val="00237B16"/>
    <w:rsid w:val="00240A5D"/>
    <w:rsid w:val="002413FA"/>
    <w:rsid w:val="00241ACC"/>
    <w:rsid w:val="002420A4"/>
    <w:rsid w:val="0024300D"/>
    <w:rsid w:val="00243A21"/>
    <w:rsid w:val="00243AA0"/>
    <w:rsid w:val="00243D56"/>
    <w:rsid w:val="00243E8A"/>
    <w:rsid w:val="00244907"/>
    <w:rsid w:val="00245927"/>
    <w:rsid w:val="002463D3"/>
    <w:rsid w:val="00247F9B"/>
    <w:rsid w:val="00251E82"/>
    <w:rsid w:val="00252E9F"/>
    <w:rsid w:val="002530E2"/>
    <w:rsid w:val="002543A3"/>
    <w:rsid w:val="00255B48"/>
    <w:rsid w:val="0025625D"/>
    <w:rsid w:val="00256B41"/>
    <w:rsid w:val="00257199"/>
    <w:rsid w:val="00257318"/>
    <w:rsid w:val="002573FB"/>
    <w:rsid w:val="00257455"/>
    <w:rsid w:val="00260471"/>
    <w:rsid w:val="00260714"/>
    <w:rsid w:val="0026256E"/>
    <w:rsid w:val="002630B1"/>
    <w:rsid w:val="00264F10"/>
    <w:rsid w:val="002662C7"/>
    <w:rsid w:val="00266B27"/>
    <w:rsid w:val="002674CC"/>
    <w:rsid w:val="00267F55"/>
    <w:rsid w:val="002734E1"/>
    <w:rsid w:val="002736DE"/>
    <w:rsid w:val="002736E6"/>
    <w:rsid w:val="00273E1C"/>
    <w:rsid w:val="0027663F"/>
    <w:rsid w:val="0027752C"/>
    <w:rsid w:val="002778A3"/>
    <w:rsid w:val="00277E5A"/>
    <w:rsid w:val="00280C1B"/>
    <w:rsid w:val="0028128A"/>
    <w:rsid w:val="002814E0"/>
    <w:rsid w:val="002820DD"/>
    <w:rsid w:val="002828E3"/>
    <w:rsid w:val="002830A6"/>
    <w:rsid w:val="002834D2"/>
    <w:rsid w:val="002905B3"/>
    <w:rsid w:val="00290B6D"/>
    <w:rsid w:val="00291441"/>
    <w:rsid w:val="002915EF"/>
    <w:rsid w:val="00293FD5"/>
    <w:rsid w:val="00295FFB"/>
    <w:rsid w:val="00297934"/>
    <w:rsid w:val="002A0242"/>
    <w:rsid w:val="002A10CD"/>
    <w:rsid w:val="002A119C"/>
    <w:rsid w:val="002A249E"/>
    <w:rsid w:val="002A2CAB"/>
    <w:rsid w:val="002A2D5B"/>
    <w:rsid w:val="002A389C"/>
    <w:rsid w:val="002A402B"/>
    <w:rsid w:val="002A463B"/>
    <w:rsid w:val="002A4BF2"/>
    <w:rsid w:val="002A5569"/>
    <w:rsid w:val="002A671E"/>
    <w:rsid w:val="002A7A7E"/>
    <w:rsid w:val="002A7C5F"/>
    <w:rsid w:val="002B12F1"/>
    <w:rsid w:val="002B1E20"/>
    <w:rsid w:val="002B31FD"/>
    <w:rsid w:val="002B3727"/>
    <w:rsid w:val="002B3D9E"/>
    <w:rsid w:val="002B4CAC"/>
    <w:rsid w:val="002B608B"/>
    <w:rsid w:val="002B609D"/>
    <w:rsid w:val="002B6996"/>
    <w:rsid w:val="002C0AD8"/>
    <w:rsid w:val="002C136D"/>
    <w:rsid w:val="002C1C9C"/>
    <w:rsid w:val="002C3736"/>
    <w:rsid w:val="002C4E24"/>
    <w:rsid w:val="002C5A6D"/>
    <w:rsid w:val="002C5B95"/>
    <w:rsid w:val="002C5C9E"/>
    <w:rsid w:val="002C66DF"/>
    <w:rsid w:val="002C7897"/>
    <w:rsid w:val="002D12EA"/>
    <w:rsid w:val="002D22FA"/>
    <w:rsid w:val="002D312F"/>
    <w:rsid w:val="002D3C91"/>
    <w:rsid w:val="002D595B"/>
    <w:rsid w:val="002D62D4"/>
    <w:rsid w:val="002D6AC9"/>
    <w:rsid w:val="002D6FAA"/>
    <w:rsid w:val="002D7D64"/>
    <w:rsid w:val="002E027E"/>
    <w:rsid w:val="002E04AF"/>
    <w:rsid w:val="002E0A25"/>
    <w:rsid w:val="002E2F53"/>
    <w:rsid w:val="002E3C7B"/>
    <w:rsid w:val="002E46CD"/>
    <w:rsid w:val="002E596E"/>
    <w:rsid w:val="002E792C"/>
    <w:rsid w:val="002F0164"/>
    <w:rsid w:val="002F03C0"/>
    <w:rsid w:val="002F1348"/>
    <w:rsid w:val="002F1714"/>
    <w:rsid w:val="002F1C58"/>
    <w:rsid w:val="002F1F48"/>
    <w:rsid w:val="002F2A5D"/>
    <w:rsid w:val="002F43F5"/>
    <w:rsid w:val="002F56E7"/>
    <w:rsid w:val="002F70A5"/>
    <w:rsid w:val="002F74AB"/>
    <w:rsid w:val="002F7544"/>
    <w:rsid w:val="002F7E66"/>
    <w:rsid w:val="003000D9"/>
    <w:rsid w:val="00300ACD"/>
    <w:rsid w:val="00300E84"/>
    <w:rsid w:val="0030147B"/>
    <w:rsid w:val="00301DA7"/>
    <w:rsid w:val="00305CB8"/>
    <w:rsid w:val="003069E8"/>
    <w:rsid w:val="00311403"/>
    <w:rsid w:val="00312A8C"/>
    <w:rsid w:val="00313E36"/>
    <w:rsid w:val="00316EFF"/>
    <w:rsid w:val="00316FC3"/>
    <w:rsid w:val="00316FDE"/>
    <w:rsid w:val="00317D92"/>
    <w:rsid w:val="00321575"/>
    <w:rsid w:val="00321B58"/>
    <w:rsid w:val="00322A65"/>
    <w:rsid w:val="003230F8"/>
    <w:rsid w:val="00324C54"/>
    <w:rsid w:val="0032572B"/>
    <w:rsid w:val="003267D4"/>
    <w:rsid w:val="00330ACF"/>
    <w:rsid w:val="0033125F"/>
    <w:rsid w:val="00334496"/>
    <w:rsid w:val="00335356"/>
    <w:rsid w:val="00335648"/>
    <w:rsid w:val="00337A5C"/>
    <w:rsid w:val="00337ED2"/>
    <w:rsid w:val="003403FC"/>
    <w:rsid w:val="00340765"/>
    <w:rsid w:val="00340863"/>
    <w:rsid w:val="003422B6"/>
    <w:rsid w:val="00342FDF"/>
    <w:rsid w:val="003443C4"/>
    <w:rsid w:val="00346D25"/>
    <w:rsid w:val="00347058"/>
    <w:rsid w:val="00347BD0"/>
    <w:rsid w:val="003524D3"/>
    <w:rsid w:val="00352931"/>
    <w:rsid w:val="003538DE"/>
    <w:rsid w:val="00354414"/>
    <w:rsid w:val="003555E4"/>
    <w:rsid w:val="0035669C"/>
    <w:rsid w:val="00356BDE"/>
    <w:rsid w:val="00356CCB"/>
    <w:rsid w:val="00357395"/>
    <w:rsid w:val="00357E68"/>
    <w:rsid w:val="00360A8C"/>
    <w:rsid w:val="0036279B"/>
    <w:rsid w:val="00363CBD"/>
    <w:rsid w:val="00363EBC"/>
    <w:rsid w:val="00364C2F"/>
    <w:rsid w:val="00367730"/>
    <w:rsid w:val="00370279"/>
    <w:rsid w:val="00370C3B"/>
    <w:rsid w:val="00373B01"/>
    <w:rsid w:val="00375AC4"/>
    <w:rsid w:val="00375CD8"/>
    <w:rsid w:val="0037612C"/>
    <w:rsid w:val="003837CB"/>
    <w:rsid w:val="003842FC"/>
    <w:rsid w:val="00384750"/>
    <w:rsid w:val="00384D95"/>
    <w:rsid w:val="0039017C"/>
    <w:rsid w:val="0039097D"/>
    <w:rsid w:val="00391989"/>
    <w:rsid w:val="00392E63"/>
    <w:rsid w:val="00393BAE"/>
    <w:rsid w:val="0039553E"/>
    <w:rsid w:val="00396D46"/>
    <w:rsid w:val="003A00A4"/>
    <w:rsid w:val="003A14CA"/>
    <w:rsid w:val="003A2A33"/>
    <w:rsid w:val="003A3896"/>
    <w:rsid w:val="003A4975"/>
    <w:rsid w:val="003A5FF0"/>
    <w:rsid w:val="003A6495"/>
    <w:rsid w:val="003A6676"/>
    <w:rsid w:val="003A71C7"/>
    <w:rsid w:val="003A7504"/>
    <w:rsid w:val="003B20DA"/>
    <w:rsid w:val="003B2D0A"/>
    <w:rsid w:val="003B5005"/>
    <w:rsid w:val="003B52EB"/>
    <w:rsid w:val="003B6D3A"/>
    <w:rsid w:val="003B7AC7"/>
    <w:rsid w:val="003C02B7"/>
    <w:rsid w:val="003C4876"/>
    <w:rsid w:val="003C66AD"/>
    <w:rsid w:val="003C70DA"/>
    <w:rsid w:val="003C755F"/>
    <w:rsid w:val="003C761D"/>
    <w:rsid w:val="003D06BC"/>
    <w:rsid w:val="003D0F2B"/>
    <w:rsid w:val="003D29C9"/>
    <w:rsid w:val="003D2C70"/>
    <w:rsid w:val="003D2D5E"/>
    <w:rsid w:val="003D3109"/>
    <w:rsid w:val="003D407E"/>
    <w:rsid w:val="003D53FC"/>
    <w:rsid w:val="003D7449"/>
    <w:rsid w:val="003E070D"/>
    <w:rsid w:val="003E0739"/>
    <w:rsid w:val="003E0756"/>
    <w:rsid w:val="003E0A17"/>
    <w:rsid w:val="003E11B1"/>
    <w:rsid w:val="003E1339"/>
    <w:rsid w:val="003E1CBA"/>
    <w:rsid w:val="003E249C"/>
    <w:rsid w:val="003E270C"/>
    <w:rsid w:val="003E3456"/>
    <w:rsid w:val="003E3AF1"/>
    <w:rsid w:val="003E4F0F"/>
    <w:rsid w:val="003E66BD"/>
    <w:rsid w:val="003E6967"/>
    <w:rsid w:val="003E6F89"/>
    <w:rsid w:val="003E7E40"/>
    <w:rsid w:val="003F367A"/>
    <w:rsid w:val="003F3A08"/>
    <w:rsid w:val="003F41B8"/>
    <w:rsid w:val="003F4334"/>
    <w:rsid w:val="003F43A8"/>
    <w:rsid w:val="003F514F"/>
    <w:rsid w:val="003F5B24"/>
    <w:rsid w:val="003F687B"/>
    <w:rsid w:val="003F78AF"/>
    <w:rsid w:val="00400B19"/>
    <w:rsid w:val="00401801"/>
    <w:rsid w:val="00402E68"/>
    <w:rsid w:val="0040401B"/>
    <w:rsid w:val="00404B7B"/>
    <w:rsid w:val="00405A6B"/>
    <w:rsid w:val="004064DD"/>
    <w:rsid w:val="00406D55"/>
    <w:rsid w:val="00406E0E"/>
    <w:rsid w:val="00406FF3"/>
    <w:rsid w:val="00410322"/>
    <w:rsid w:val="004104A0"/>
    <w:rsid w:val="004117DE"/>
    <w:rsid w:val="00412275"/>
    <w:rsid w:val="004123F9"/>
    <w:rsid w:val="0041314B"/>
    <w:rsid w:val="004134C4"/>
    <w:rsid w:val="004144FB"/>
    <w:rsid w:val="00415226"/>
    <w:rsid w:val="004154D3"/>
    <w:rsid w:val="00420AF0"/>
    <w:rsid w:val="00421586"/>
    <w:rsid w:val="00421E43"/>
    <w:rsid w:val="00422718"/>
    <w:rsid w:val="004231E1"/>
    <w:rsid w:val="0042333B"/>
    <w:rsid w:val="004255DB"/>
    <w:rsid w:val="00426A95"/>
    <w:rsid w:val="0042798E"/>
    <w:rsid w:val="00427CB9"/>
    <w:rsid w:val="00430AED"/>
    <w:rsid w:val="004327DD"/>
    <w:rsid w:val="004343C9"/>
    <w:rsid w:val="00434BA5"/>
    <w:rsid w:val="00434FDA"/>
    <w:rsid w:val="00437E8A"/>
    <w:rsid w:val="00441677"/>
    <w:rsid w:val="00441F08"/>
    <w:rsid w:val="00442E66"/>
    <w:rsid w:val="00443267"/>
    <w:rsid w:val="00443586"/>
    <w:rsid w:val="00443E34"/>
    <w:rsid w:val="004444B0"/>
    <w:rsid w:val="004444EB"/>
    <w:rsid w:val="0044569D"/>
    <w:rsid w:val="00445FFE"/>
    <w:rsid w:val="00446546"/>
    <w:rsid w:val="00446722"/>
    <w:rsid w:val="004474C5"/>
    <w:rsid w:val="0045038C"/>
    <w:rsid w:val="00451F18"/>
    <w:rsid w:val="004522C8"/>
    <w:rsid w:val="004532D7"/>
    <w:rsid w:val="004535B3"/>
    <w:rsid w:val="0045426F"/>
    <w:rsid w:val="00454556"/>
    <w:rsid w:val="00456412"/>
    <w:rsid w:val="0046044E"/>
    <w:rsid w:val="00463F86"/>
    <w:rsid w:val="004645D0"/>
    <w:rsid w:val="00464D39"/>
    <w:rsid w:val="0046691E"/>
    <w:rsid w:val="0046731A"/>
    <w:rsid w:val="004676C0"/>
    <w:rsid w:val="0047335B"/>
    <w:rsid w:val="00473904"/>
    <w:rsid w:val="00473B7F"/>
    <w:rsid w:val="004756B0"/>
    <w:rsid w:val="004756EC"/>
    <w:rsid w:val="00476A19"/>
    <w:rsid w:val="004776F9"/>
    <w:rsid w:val="0048009F"/>
    <w:rsid w:val="00480185"/>
    <w:rsid w:val="00481D5D"/>
    <w:rsid w:val="00482133"/>
    <w:rsid w:val="004834A6"/>
    <w:rsid w:val="0048546F"/>
    <w:rsid w:val="0048564B"/>
    <w:rsid w:val="00485A51"/>
    <w:rsid w:val="00486A17"/>
    <w:rsid w:val="004919EF"/>
    <w:rsid w:val="00491F30"/>
    <w:rsid w:val="00492C52"/>
    <w:rsid w:val="00495284"/>
    <w:rsid w:val="004958A6"/>
    <w:rsid w:val="00496982"/>
    <w:rsid w:val="004A0FD1"/>
    <w:rsid w:val="004A1986"/>
    <w:rsid w:val="004A26A4"/>
    <w:rsid w:val="004A2861"/>
    <w:rsid w:val="004A2ADB"/>
    <w:rsid w:val="004A36E7"/>
    <w:rsid w:val="004A4328"/>
    <w:rsid w:val="004A4538"/>
    <w:rsid w:val="004A48C9"/>
    <w:rsid w:val="004A58D8"/>
    <w:rsid w:val="004A642C"/>
    <w:rsid w:val="004A6C37"/>
    <w:rsid w:val="004A7237"/>
    <w:rsid w:val="004A7D51"/>
    <w:rsid w:val="004B146F"/>
    <w:rsid w:val="004B3A16"/>
    <w:rsid w:val="004B3B9A"/>
    <w:rsid w:val="004B446C"/>
    <w:rsid w:val="004B4FD4"/>
    <w:rsid w:val="004B5EC0"/>
    <w:rsid w:val="004B698E"/>
    <w:rsid w:val="004B7EB2"/>
    <w:rsid w:val="004C03DB"/>
    <w:rsid w:val="004C0AAC"/>
    <w:rsid w:val="004C4644"/>
    <w:rsid w:val="004C4845"/>
    <w:rsid w:val="004C4A2F"/>
    <w:rsid w:val="004C5A1E"/>
    <w:rsid w:val="004C5F27"/>
    <w:rsid w:val="004C601B"/>
    <w:rsid w:val="004C7C0A"/>
    <w:rsid w:val="004C7EA5"/>
    <w:rsid w:val="004D1FCD"/>
    <w:rsid w:val="004D6D6C"/>
    <w:rsid w:val="004E0BF2"/>
    <w:rsid w:val="004E222D"/>
    <w:rsid w:val="004E3728"/>
    <w:rsid w:val="004E3924"/>
    <w:rsid w:val="004E40CE"/>
    <w:rsid w:val="004E421A"/>
    <w:rsid w:val="004E58EC"/>
    <w:rsid w:val="004F0512"/>
    <w:rsid w:val="004F0ECB"/>
    <w:rsid w:val="004F14B0"/>
    <w:rsid w:val="004F14ED"/>
    <w:rsid w:val="004F181D"/>
    <w:rsid w:val="004F1DE2"/>
    <w:rsid w:val="004F2AD4"/>
    <w:rsid w:val="004F2D04"/>
    <w:rsid w:val="004F3073"/>
    <w:rsid w:val="004F5E68"/>
    <w:rsid w:val="004F62A0"/>
    <w:rsid w:val="004F6ED1"/>
    <w:rsid w:val="004F7B1F"/>
    <w:rsid w:val="004F7ED5"/>
    <w:rsid w:val="005005BF"/>
    <w:rsid w:val="0050091F"/>
    <w:rsid w:val="00500C3E"/>
    <w:rsid w:val="00500C8A"/>
    <w:rsid w:val="005043DD"/>
    <w:rsid w:val="005047D2"/>
    <w:rsid w:val="0050513A"/>
    <w:rsid w:val="00506F48"/>
    <w:rsid w:val="00507174"/>
    <w:rsid w:val="00507D00"/>
    <w:rsid w:val="005104C8"/>
    <w:rsid w:val="0051252D"/>
    <w:rsid w:val="005126B8"/>
    <w:rsid w:val="00513832"/>
    <w:rsid w:val="0051611C"/>
    <w:rsid w:val="005209A4"/>
    <w:rsid w:val="00522B64"/>
    <w:rsid w:val="005236C6"/>
    <w:rsid w:val="00525151"/>
    <w:rsid w:val="0052571C"/>
    <w:rsid w:val="00527E32"/>
    <w:rsid w:val="005313B2"/>
    <w:rsid w:val="00533CAA"/>
    <w:rsid w:val="00533F11"/>
    <w:rsid w:val="005340D0"/>
    <w:rsid w:val="005345CD"/>
    <w:rsid w:val="00534DAE"/>
    <w:rsid w:val="00536414"/>
    <w:rsid w:val="0053643F"/>
    <w:rsid w:val="0053697E"/>
    <w:rsid w:val="005370EF"/>
    <w:rsid w:val="0053729C"/>
    <w:rsid w:val="00537E43"/>
    <w:rsid w:val="0054047D"/>
    <w:rsid w:val="005405B1"/>
    <w:rsid w:val="005407D3"/>
    <w:rsid w:val="0054152C"/>
    <w:rsid w:val="00541688"/>
    <w:rsid w:val="0054263F"/>
    <w:rsid w:val="0054307D"/>
    <w:rsid w:val="00543542"/>
    <w:rsid w:val="005435DD"/>
    <w:rsid w:val="00544353"/>
    <w:rsid w:val="0054460C"/>
    <w:rsid w:val="0054541B"/>
    <w:rsid w:val="005473C0"/>
    <w:rsid w:val="0055061A"/>
    <w:rsid w:val="0055112D"/>
    <w:rsid w:val="00551EBD"/>
    <w:rsid w:val="00552313"/>
    <w:rsid w:val="005523CE"/>
    <w:rsid w:val="00553D0D"/>
    <w:rsid w:val="0055437E"/>
    <w:rsid w:val="00554894"/>
    <w:rsid w:val="00554969"/>
    <w:rsid w:val="00554C56"/>
    <w:rsid w:val="0055754B"/>
    <w:rsid w:val="00557790"/>
    <w:rsid w:val="00562E63"/>
    <w:rsid w:val="00563C58"/>
    <w:rsid w:val="005644F0"/>
    <w:rsid w:val="00567886"/>
    <w:rsid w:val="005720FB"/>
    <w:rsid w:val="005731EF"/>
    <w:rsid w:val="005737A8"/>
    <w:rsid w:val="00573873"/>
    <w:rsid w:val="00573B29"/>
    <w:rsid w:val="00573E10"/>
    <w:rsid w:val="005745BA"/>
    <w:rsid w:val="00574853"/>
    <w:rsid w:val="0057669E"/>
    <w:rsid w:val="00576F25"/>
    <w:rsid w:val="005770C9"/>
    <w:rsid w:val="0058041C"/>
    <w:rsid w:val="005814C4"/>
    <w:rsid w:val="00581E94"/>
    <w:rsid w:val="00582780"/>
    <w:rsid w:val="00582DA3"/>
    <w:rsid w:val="00583A7F"/>
    <w:rsid w:val="005841E4"/>
    <w:rsid w:val="00584CC0"/>
    <w:rsid w:val="00586921"/>
    <w:rsid w:val="005869F8"/>
    <w:rsid w:val="00587A1F"/>
    <w:rsid w:val="00587EDD"/>
    <w:rsid w:val="00591368"/>
    <w:rsid w:val="005939C9"/>
    <w:rsid w:val="00594C4F"/>
    <w:rsid w:val="00595496"/>
    <w:rsid w:val="00595927"/>
    <w:rsid w:val="00595AFC"/>
    <w:rsid w:val="00597F6C"/>
    <w:rsid w:val="005A0B99"/>
    <w:rsid w:val="005A2556"/>
    <w:rsid w:val="005A290D"/>
    <w:rsid w:val="005A2997"/>
    <w:rsid w:val="005A36E2"/>
    <w:rsid w:val="005A3FE1"/>
    <w:rsid w:val="005A4057"/>
    <w:rsid w:val="005A473D"/>
    <w:rsid w:val="005A5675"/>
    <w:rsid w:val="005A5F51"/>
    <w:rsid w:val="005A67C7"/>
    <w:rsid w:val="005A740E"/>
    <w:rsid w:val="005B1CEF"/>
    <w:rsid w:val="005B1F09"/>
    <w:rsid w:val="005B1F3C"/>
    <w:rsid w:val="005B2185"/>
    <w:rsid w:val="005B324A"/>
    <w:rsid w:val="005B34E6"/>
    <w:rsid w:val="005B446D"/>
    <w:rsid w:val="005B5087"/>
    <w:rsid w:val="005B5997"/>
    <w:rsid w:val="005B5BBE"/>
    <w:rsid w:val="005B6A44"/>
    <w:rsid w:val="005B72BB"/>
    <w:rsid w:val="005BDF30"/>
    <w:rsid w:val="005C03B7"/>
    <w:rsid w:val="005C09D1"/>
    <w:rsid w:val="005C18DD"/>
    <w:rsid w:val="005C1F43"/>
    <w:rsid w:val="005C3394"/>
    <w:rsid w:val="005C3CF0"/>
    <w:rsid w:val="005C6649"/>
    <w:rsid w:val="005C77DB"/>
    <w:rsid w:val="005C7B12"/>
    <w:rsid w:val="005D077D"/>
    <w:rsid w:val="005D1CD6"/>
    <w:rsid w:val="005D3D7C"/>
    <w:rsid w:val="005D512F"/>
    <w:rsid w:val="005D7282"/>
    <w:rsid w:val="005E0EE0"/>
    <w:rsid w:val="005E1801"/>
    <w:rsid w:val="005E2FE6"/>
    <w:rsid w:val="005E3115"/>
    <w:rsid w:val="005E3BF4"/>
    <w:rsid w:val="005E423C"/>
    <w:rsid w:val="005E435B"/>
    <w:rsid w:val="005E4603"/>
    <w:rsid w:val="005E46A0"/>
    <w:rsid w:val="005E5E21"/>
    <w:rsid w:val="005F0D0A"/>
    <w:rsid w:val="005F223A"/>
    <w:rsid w:val="005F336A"/>
    <w:rsid w:val="005F3B68"/>
    <w:rsid w:val="005F4E9C"/>
    <w:rsid w:val="005F526F"/>
    <w:rsid w:val="005F5D1D"/>
    <w:rsid w:val="005F5FCC"/>
    <w:rsid w:val="005F6164"/>
    <w:rsid w:val="005F6D83"/>
    <w:rsid w:val="0060062F"/>
    <w:rsid w:val="006008AC"/>
    <w:rsid w:val="00602A11"/>
    <w:rsid w:val="00603067"/>
    <w:rsid w:val="006042BB"/>
    <w:rsid w:val="00604D4A"/>
    <w:rsid w:val="00605B77"/>
    <w:rsid w:val="00606E2A"/>
    <w:rsid w:val="006074DA"/>
    <w:rsid w:val="006074FD"/>
    <w:rsid w:val="006106BD"/>
    <w:rsid w:val="00610E40"/>
    <w:rsid w:val="00612061"/>
    <w:rsid w:val="00614025"/>
    <w:rsid w:val="00614799"/>
    <w:rsid w:val="00614CC5"/>
    <w:rsid w:val="00616E20"/>
    <w:rsid w:val="00620F53"/>
    <w:rsid w:val="00621D53"/>
    <w:rsid w:val="0062302F"/>
    <w:rsid w:val="006248D0"/>
    <w:rsid w:val="00626D7E"/>
    <w:rsid w:val="00631D1B"/>
    <w:rsid w:val="00632B36"/>
    <w:rsid w:val="006331C4"/>
    <w:rsid w:val="00633DEC"/>
    <w:rsid w:val="0063440B"/>
    <w:rsid w:val="00642782"/>
    <w:rsid w:val="006429E6"/>
    <w:rsid w:val="006439C0"/>
    <w:rsid w:val="00643C1F"/>
    <w:rsid w:val="00644964"/>
    <w:rsid w:val="0064501C"/>
    <w:rsid w:val="006455C0"/>
    <w:rsid w:val="00645BE2"/>
    <w:rsid w:val="00645CEE"/>
    <w:rsid w:val="0064663D"/>
    <w:rsid w:val="00647866"/>
    <w:rsid w:val="006506F8"/>
    <w:rsid w:val="0065107B"/>
    <w:rsid w:val="00651AD5"/>
    <w:rsid w:val="00652EF4"/>
    <w:rsid w:val="00653B9E"/>
    <w:rsid w:val="00655BA7"/>
    <w:rsid w:val="006563C8"/>
    <w:rsid w:val="0065733D"/>
    <w:rsid w:val="00657B6C"/>
    <w:rsid w:val="00657DCE"/>
    <w:rsid w:val="00660BA4"/>
    <w:rsid w:val="00661617"/>
    <w:rsid w:val="00664599"/>
    <w:rsid w:val="0066589B"/>
    <w:rsid w:val="00667A97"/>
    <w:rsid w:val="006704BC"/>
    <w:rsid w:val="00670C46"/>
    <w:rsid w:val="00671AD4"/>
    <w:rsid w:val="006735FF"/>
    <w:rsid w:val="00673DF6"/>
    <w:rsid w:val="00674A7F"/>
    <w:rsid w:val="00675870"/>
    <w:rsid w:val="00680EFB"/>
    <w:rsid w:val="00681CDF"/>
    <w:rsid w:val="00683286"/>
    <w:rsid w:val="006853AA"/>
    <w:rsid w:val="0068578B"/>
    <w:rsid w:val="006863F3"/>
    <w:rsid w:val="00687482"/>
    <w:rsid w:val="00687505"/>
    <w:rsid w:val="00687AA5"/>
    <w:rsid w:val="006918D9"/>
    <w:rsid w:val="0069206C"/>
    <w:rsid w:val="006927F3"/>
    <w:rsid w:val="006937D5"/>
    <w:rsid w:val="00693A00"/>
    <w:rsid w:val="00694575"/>
    <w:rsid w:val="00694774"/>
    <w:rsid w:val="00695D44"/>
    <w:rsid w:val="00696399"/>
    <w:rsid w:val="006973C4"/>
    <w:rsid w:val="006A0763"/>
    <w:rsid w:val="006A1843"/>
    <w:rsid w:val="006A1A9A"/>
    <w:rsid w:val="006A1ABD"/>
    <w:rsid w:val="006A1C74"/>
    <w:rsid w:val="006A3862"/>
    <w:rsid w:val="006A3B1B"/>
    <w:rsid w:val="006A402F"/>
    <w:rsid w:val="006A4300"/>
    <w:rsid w:val="006A4F9D"/>
    <w:rsid w:val="006A5A9F"/>
    <w:rsid w:val="006A6A0D"/>
    <w:rsid w:val="006A7A75"/>
    <w:rsid w:val="006B077E"/>
    <w:rsid w:val="006B09BE"/>
    <w:rsid w:val="006B0EF0"/>
    <w:rsid w:val="006B17C4"/>
    <w:rsid w:val="006B1832"/>
    <w:rsid w:val="006B2605"/>
    <w:rsid w:val="006B2755"/>
    <w:rsid w:val="006B2B1E"/>
    <w:rsid w:val="006B2C46"/>
    <w:rsid w:val="006B46C4"/>
    <w:rsid w:val="006B475B"/>
    <w:rsid w:val="006B62A8"/>
    <w:rsid w:val="006B71AB"/>
    <w:rsid w:val="006C2210"/>
    <w:rsid w:val="006C225A"/>
    <w:rsid w:val="006C3CF6"/>
    <w:rsid w:val="006C4143"/>
    <w:rsid w:val="006C465D"/>
    <w:rsid w:val="006C7607"/>
    <w:rsid w:val="006C76AF"/>
    <w:rsid w:val="006D0B7A"/>
    <w:rsid w:val="006D1C87"/>
    <w:rsid w:val="006D2814"/>
    <w:rsid w:val="006D2C45"/>
    <w:rsid w:val="006D39D2"/>
    <w:rsid w:val="006D40D1"/>
    <w:rsid w:val="006D471F"/>
    <w:rsid w:val="006D5C55"/>
    <w:rsid w:val="006D6C04"/>
    <w:rsid w:val="006D7A70"/>
    <w:rsid w:val="006D7A8B"/>
    <w:rsid w:val="006E05E2"/>
    <w:rsid w:val="006E0E6B"/>
    <w:rsid w:val="006E1770"/>
    <w:rsid w:val="006E2990"/>
    <w:rsid w:val="006E3D85"/>
    <w:rsid w:val="006E472B"/>
    <w:rsid w:val="006E531E"/>
    <w:rsid w:val="006F0E31"/>
    <w:rsid w:val="006F232A"/>
    <w:rsid w:val="006F27A5"/>
    <w:rsid w:val="006F3EAE"/>
    <w:rsid w:val="006F3EBC"/>
    <w:rsid w:val="006F529D"/>
    <w:rsid w:val="006F68EE"/>
    <w:rsid w:val="006F7CE7"/>
    <w:rsid w:val="00700A86"/>
    <w:rsid w:val="00701073"/>
    <w:rsid w:val="0070169B"/>
    <w:rsid w:val="00701B4C"/>
    <w:rsid w:val="00702D1A"/>
    <w:rsid w:val="0070340A"/>
    <w:rsid w:val="00703770"/>
    <w:rsid w:val="00703C34"/>
    <w:rsid w:val="0070661F"/>
    <w:rsid w:val="00711616"/>
    <w:rsid w:val="0071286B"/>
    <w:rsid w:val="00715E5A"/>
    <w:rsid w:val="00716533"/>
    <w:rsid w:val="007176C2"/>
    <w:rsid w:val="00720062"/>
    <w:rsid w:val="007200AE"/>
    <w:rsid w:val="00721843"/>
    <w:rsid w:val="0072266F"/>
    <w:rsid w:val="007232A1"/>
    <w:rsid w:val="0072619E"/>
    <w:rsid w:val="00726F9B"/>
    <w:rsid w:val="00731ADD"/>
    <w:rsid w:val="00732900"/>
    <w:rsid w:val="0073303B"/>
    <w:rsid w:val="00733340"/>
    <w:rsid w:val="007369D5"/>
    <w:rsid w:val="00736A7C"/>
    <w:rsid w:val="00737AA5"/>
    <w:rsid w:val="00743C8F"/>
    <w:rsid w:val="0074437D"/>
    <w:rsid w:val="00744BB1"/>
    <w:rsid w:val="00744DD0"/>
    <w:rsid w:val="00744E5F"/>
    <w:rsid w:val="0074526A"/>
    <w:rsid w:val="00745621"/>
    <w:rsid w:val="0074623B"/>
    <w:rsid w:val="007465B5"/>
    <w:rsid w:val="007471B4"/>
    <w:rsid w:val="00750908"/>
    <w:rsid w:val="00751B3F"/>
    <w:rsid w:val="007532DD"/>
    <w:rsid w:val="007536BB"/>
    <w:rsid w:val="00754971"/>
    <w:rsid w:val="00754DEC"/>
    <w:rsid w:val="007565A1"/>
    <w:rsid w:val="00756BB0"/>
    <w:rsid w:val="007610F2"/>
    <w:rsid w:val="00761B5D"/>
    <w:rsid w:val="0076422A"/>
    <w:rsid w:val="007644C3"/>
    <w:rsid w:val="00765200"/>
    <w:rsid w:val="00765DE3"/>
    <w:rsid w:val="007663CB"/>
    <w:rsid w:val="00767718"/>
    <w:rsid w:val="00770548"/>
    <w:rsid w:val="00771269"/>
    <w:rsid w:val="007714E6"/>
    <w:rsid w:val="0077235D"/>
    <w:rsid w:val="0077373A"/>
    <w:rsid w:val="00773A1C"/>
    <w:rsid w:val="00775C0A"/>
    <w:rsid w:val="007767AD"/>
    <w:rsid w:val="007769F2"/>
    <w:rsid w:val="007800A2"/>
    <w:rsid w:val="00782EAF"/>
    <w:rsid w:val="00787028"/>
    <w:rsid w:val="00787ACE"/>
    <w:rsid w:val="00791BF1"/>
    <w:rsid w:val="00792724"/>
    <w:rsid w:val="007929F0"/>
    <w:rsid w:val="00793166"/>
    <w:rsid w:val="007931BA"/>
    <w:rsid w:val="00793419"/>
    <w:rsid w:val="007943D2"/>
    <w:rsid w:val="0079566B"/>
    <w:rsid w:val="00796733"/>
    <w:rsid w:val="00797E4E"/>
    <w:rsid w:val="007A0A62"/>
    <w:rsid w:val="007A1DCD"/>
    <w:rsid w:val="007A3672"/>
    <w:rsid w:val="007A3F28"/>
    <w:rsid w:val="007A5A0C"/>
    <w:rsid w:val="007A62EB"/>
    <w:rsid w:val="007B0841"/>
    <w:rsid w:val="007B10D6"/>
    <w:rsid w:val="007B2324"/>
    <w:rsid w:val="007B330E"/>
    <w:rsid w:val="007B5A2B"/>
    <w:rsid w:val="007C0607"/>
    <w:rsid w:val="007C10B7"/>
    <w:rsid w:val="007C1CD7"/>
    <w:rsid w:val="007C1E68"/>
    <w:rsid w:val="007C3CCE"/>
    <w:rsid w:val="007C4F7E"/>
    <w:rsid w:val="007C5503"/>
    <w:rsid w:val="007C6C69"/>
    <w:rsid w:val="007D01C9"/>
    <w:rsid w:val="007D0804"/>
    <w:rsid w:val="007D09F5"/>
    <w:rsid w:val="007D09FF"/>
    <w:rsid w:val="007D13F5"/>
    <w:rsid w:val="007D155D"/>
    <w:rsid w:val="007D1FB9"/>
    <w:rsid w:val="007D2213"/>
    <w:rsid w:val="007D26EC"/>
    <w:rsid w:val="007D3FF3"/>
    <w:rsid w:val="007D606F"/>
    <w:rsid w:val="007D612C"/>
    <w:rsid w:val="007D6247"/>
    <w:rsid w:val="007D70FB"/>
    <w:rsid w:val="007D7777"/>
    <w:rsid w:val="007E0FFA"/>
    <w:rsid w:val="007E1376"/>
    <w:rsid w:val="007E1600"/>
    <w:rsid w:val="007E1F7B"/>
    <w:rsid w:val="007E3002"/>
    <w:rsid w:val="007E323D"/>
    <w:rsid w:val="007E3409"/>
    <w:rsid w:val="007E55D6"/>
    <w:rsid w:val="007E5E56"/>
    <w:rsid w:val="007E7769"/>
    <w:rsid w:val="007E7AF6"/>
    <w:rsid w:val="007F0AD2"/>
    <w:rsid w:val="007F220A"/>
    <w:rsid w:val="007F3396"/>
    <w:rsid w:val="007F35C4"/>
    <w:rsid w:val="007F37B3"/>
    <w:rsid w:val="007F3965"/>
    <w:rsid w:val="007F3F03"/>
    <w:rsid w:val="007F4C0D"/>
    <w:rsid w:val="007F52A7"/>
    <w:rsid w:val="007F66D4"/>
    <w:rsid w:val="007F6EAA"/>
    <w:rsid w:val="007F6F56"/>
    <w:rsid w:val="007F7699"/>
    <w:rsid w:val="008014B0"/>
    <w:rsid w:val="00804258"/>
    <w:rsid w:val="00805A8D"/>
    <w:rsid w:val="0080606D"/>
    <w:rsid w:val="0081077B"/>
    <w:rsid w:val="00811043"/>
    <w:rsid w:val="00811711"/>
    <w:rsid w:val="0081175D"/>
    <w:rsid w:val="0081334C"/>
    <w:rsid w:val="0081349E"/>
    <w:rsid w:val="00813AA5"/>
    <w:rsid w:val="00813B06"/>
    <w:rsid w:val="00813BBE"/>
    <w:rsid w:val="00814C69"/>
    <w:rsid w:val="00816BA2"/>
    <w:rsid w:val="0082155E"/>
    <w:rsid w:val="00822576"/>
    <w:rsid w:val="008253DB"/>
    <w:rsid w:val="008276E3"/>
    <w:rsid w:val="0083098A"/>
    <w:rsid w:val="00830A71"/>
    <w:rsid w:val="00830C31"/>
    <w:rsid w:val="00830F08"/>
    <w:rsid w:val="00830F0F"/>
    <w:rsid w:val="00831A65"/>
    <w:rsid w:val="00831BFF"/>
    <w:rsid w:val="00831FEB"/>
    <w:rsid w:val="00832D78"/>
    <w:rsid w:val="008331A1"/>
    <w:rsid w:val="008346A1"/>
    <w:rsid w:val="00836304"/>
    <w:rsid w:val="00836869"/>
    <w:rsid w:val="00836967"/>
    <w:rsid w:val="00836D54"/>
    <w:rsid w:val="008373F9"/>
    <w:rsid w:val="00837BE4"/>
    <w:rsid w:val="00840FE2"/>
    <w:rsid w:val="00841136"/>
    <w:rsid w:val="008435DF"/>
    <w:rsid w:val="008469D2"/>
    <w:rsid w:val="00850893"/>
    <w:rsid w:val="00852493"/>
    <w:rsid w:val="008532FC"/>
    <w:rsid w:val="008548B7"/>
    <w:rsid w:val="00860774"/>
    <w:rsid w:val="00861F1A"/>
    <w:rsid w:val="008626E1"/>
    <w:rsid w:val="008627B1"/>
    <w:rsid w:val="008640E0"/>
    <w:rsid w:val="00864A3B"/>
    <w:rsid w:val="00866282"/>
    <w:rsid w:val="00866C7A"/>
    <w:rsid w:val="008671DA"/>
    <w:rsid w:val="00867FD5"/>
    <w:rsid w:val="008701E6"/>
    <w:rsid w:val="00871646"/>
    <w:rsid w:val="00872FD2"/>
    <w:rsid w:val="00874EBD"/>
    <w:rsid w:val="0087520B"/>
    <w:rsid w:val="00875ED8"/>
    <w:rsid w:val="00877B0F"/>
    <w:rsid w:val="008817B8"/>
    <w:rsid w:val="0088241C"/>
    <w:rsid w:val="008824E6"/>
    <w:rsid w:val="0088253B"/>
    <w:rsid w:val="00883752"/>
    <w:rsid w:val="00883B30"/>
    <w:rsid w:val="00883DF6"/>
    <w:rsid w:val="00885728"/>
    <w:rsid w:val="00885C33"/>
    <w:rsid w:val="00886F8B"/>
    <w:rsid w:val="008875E9"/>
    <w:rsid w:val="008900CF"/>
    <w:rsid w:val="008921BA"/>
    <w:rsid w:val="008940F8"/>
    <w:rsid w:val="0089469A"/>
    <w:rsid w:val="00895C77"/>
    <w:rsid w:val="00895D9D"/>
    <w:rsid w:val="00897A4A"/>
    <w:rsid w:val="008A175C"/>
    <w:rsid w:val="008A199F"/>
    <w:rsid w:val="008A20DF"/>
    <w:rsid w:val="008A3C00"/>
    <w:rsid w:val="008A4F20"/>
    <w:rsid w:val="008A535E"/>
    <w:rsid w:val="008A56D2"/>
    <w:rsid w:val="008A5E51"/>
    <w:rsid w:val="008B07E8"/>
    <w:rsid w:val="008B2207"/>
    <w:rsid w:val="008B36CA"/>
    <w:rsid w:val="008B378B"/>
    <w:rsid w:val="008B424F"/>
    <w:rsid w:val="008B50C8"/>
    <w:rsid w:val="008B5438"/>
    <w:rsid w:val="008B558E"/>
    <w:rsid w:val="008B6890"/>
    <w:rsid w:val="008B6D35"/>
    <w:rsid w:val="008B7505"/>
    <w:rsid w:val="008C0235"/>
    <w:rsid w:val="008C1B84"/>
    <w:rsid w:val="008C1C99"/>
    <w:rsid w:val="008C1CB0"/>
    <w:rsid w:val="008C2217"/>
    <w:rsid w:val="008C2E4F"/>
    <w:rsid w:val="008C312D"/>
    <w:rsid w:val="008C34BD"/>
    <w:rsid w:val="008C3FF0"/>
    <w:rsid w:val="008C4C9C"/>
    <w:rsid w:val="008C586D"/>
    <w:rsid w:val="008C607A"/>
    <w:rsid w:val="008C6DC1"/>
    <w:rsid w:val="008D0426"/>
    <w:rsid w:val="008D0E35"/>
    <w:rsid w:val="008D1C7D"/>
    <w:rsid w:val="008D3203"/>
    <w:rsid w:val="008D45F6"/>
    <w:rsid w:val="008D556B"/>
    <w:rsid w:val="008D5B5C"/>
    <w:rsid w:val="008D6E2F"/>
    <w:rsid w:val="008E0096"/>
    <w:rsid w:val="008E1B6B"/>
    <w:rsid w:val="008E1D0F"/>
    <w:rsid w:val="008E202E"/>
    <w:rsid w:val="008E4836"/>
    <w:rsid w:val="008E74E5"/>
    <w:rsid w:val="008E7BA8"/>
    <w:rsid w:val="008F0B05"/>
    <w:rsid w:val="008F0DE6"/>
    <w:rsid w:val="008F1998"/>
    <w:rsid w:val="008F3B65"/>
    <w:rsid w:val="008F3D55"/>
    <w:rsid w:val="008F7230"/>
    <w:rsid w:val="008F7B4A"/>
    <w:rsid w:val="009002D7"/>
    <w:rsid w:val="00900B81"/>
    <w:rsid w:val="00901242"/>
    <w:rsid w:val="009017D5"/>
    <w:rsid w:val="00901D4E"/>
    <w:rsid w:val="0090291C"/>
    <w:rsid w:val="00903F51"/>
    <w:rsid w:val="00903FCC"/>
    <w:rsid w:val="00905630"/>
    <w:rsid w:val="0090652F"/>
    <w:rsid w:val="00906727"/>
    <w:rsid w:val="009070F5"/>
    <w:rsid w:val="009074C0"/>
    <w:rsid w:val="0090793C"/>
    <w:rsid w:val="00910BF5"/>
    <w:rsid w:val="009132DC"/>
    <w:rsid w:val="009134C5"/>
    <w:rsid w:val="00914993"/>
    <w:rsid w:val="00915960"/>
    <w:rsid w:val="0091671C"/>
    <w:rsid w:val="00916F3A"/>
    <w:rsid w:val="0091710B"/>
    <w:rsid w:val="009229C0"/>
    <w:rsid w:val="00922A6A"/>
    <w:rsid w:val="00922DC3"/>
    <w:rsid w:val="00923194"/>
    <w:rsid w:val="00923B1F"/>
    <w:rsid w:val="00924163"/>
    <w:rsid w:val="00924165"/>
    <w:rsid w:val="00924251"/>
    <w:rsid w:val="00924A1C"/>
    <w:rsid w:val="0092550B"/>
    <w:rsid w:val="00926834"/>
    <w:rsid w:val="00926896"/>
    <w:rsid w:val="00926D20"/>
    <w:rsid w:val="009300A5"/>
    <w:rsid w:val="0093036B"/>
    <w:rsid w:val="009305A6"/>
    <w:rsid w:val="00930E6D"/>
    <w:rsid w:val="00930ECF"/>
    <w:rsid w:val="0093225C"/>
    <w:rsid w:val="00932472"/>
    <w:rsid w:val="00932C12"/>
    <w:rsid w:val="009338DE"/>
    <w:rsid w:val="009349E2"/>
    <w:rsid w:val="00934FCE"/>
    <w:rsid w:val="00935695"/>
    <w:rsid w:val="00935A65"/>
    <w:rsid w:val="00935E4D"/>
    <w:rsid w:val="00935ED3"/>
    <w:rsid w:val="00937129"/>
    <w:rsid w:val="00941FA7"/>
    <w:rsid w:val="009420B9"/>
    <w:rsid w:val="009447C2"/>
    <w:rsid w:val="009461C4"/>
    <w:rsid w:val="00946BC8"/>
    <w:rsid w:val="00946C01"/>
    <w:rsid w:val="009478E4"/>
    <w:rsid w:val="00947A59"/>
    <w:rsid w:val="00947EB7"/>
    <w:rsid w:val="0095079E"/>
    <w:rsid w:val="00951090"/>
    <w:rsid w:val="00955893"/>
    <w:rsid w:val="00955B70"/>
    <w:rsid w:val="00956E17"/>
    <w:rsid w:val="00957F42"/>
    <w:rsid w:val="00962E28"/>
    <w:rsid w:val="009634F3"/>
    <w:rsid w:val="009636A2"/>
    <w:rsid w:val="009638F7"/>
    <w:rsid w:val="009642F3"/>
    <w:rsid w:val="00964A9B"/>
    <w:rsid w:val="00965D48"/>
    <w:rsid w:val="009662BC"/>
    <w:rsid w:val="00967EFC"/>
    <w:rsid w:val="00970B8B"/>
    <w:rsid w:val="00970E4B"/>
    <w:rsid w:val="00972AC6"/>
    <w:rsid w:val="00972DCD"/>
    <w:rsid w:val="00972F70"/>
    <w:rsid w:val="00973613"/>
    <w:rsid w:val="00974E7D"/>
    <w:rsid w:val="0097532E"/>
    <w:rsid w:val="0097568F"/>
    <w:rsid w:val="00976FBC"/>
    <w:rsid w:val="00981816"/>
    <w:rsid w:val="009821E0"/>
    <w:rsid w:val="00982553"/>
    <w:rsid w:val="00983B3E"/>
    <w:rsid w:val="0098400B"/>
    <w:rsid w:val="00985EB2"/>
    <w:rsid w:val="0098666B"/>
    <w:rsid w:val="009870E6"/>
    <w:rsid w:val="00990BFA"/>
    <w:rsid w:val="00990FF8"/>
    <w:rsid w:val="0099222E"/>
    <w:rsid w:val="00994491"/>
    <w:rsid w:val="0099524E"/>
    <w:rsid w:val="00995FB4"/>
    <w:rsid w:val="00996811"/>
    <w:rsid w:val="009975D3"/>
    <w:rsid w:val="00997A69"/>
    <w:rsid w:val="00997FC8"/>
    <w:rsid w:val="009A0C10"/>
    <w:rsid w:val="009A1EF1"/>
    <w:rsid w:val="009A37F7"/>
    <w:rsid w:val="009A3BFD"/>
    <w:rsid w:val="009A4616"/>
    <w:rsid w:val="009A4644"/>
    <w:rsid w:val="009A4C30"/>
    <w:rsid w:val="009A5847"/>
    <w:rsid w:val="009A6446"/>
    <w:rsid w:val="009A6C0F"/>
    <w:rsid w:val="009A797D"/>
    <w:rsid w:val="009B13E7"/>
    <w:rsid w:val="009B15CF"/>
    <w:rsid w:val="009B169D"/>
    <w:rsid w:val="009B21D3"/>
    <w:rsid w:val="009B4B44"/>
    <w:rsid w:val="009B6DAE"/>
    <w:rsid w:val="009C1795"/>
    <w:rsid w:val="009C3447"/>
    <w:rsid w:val="009C3746"/>
    <w:rsid w:val="009C407C"/>
    <w:rsid w:val="009C52C8"/>
    <w:rsid w:val="009C5858"/>
    <w:rsid w:val="009C5D03"/>
    <w:rsid w:val="009C5FE8"/>
    <w:rsid w:val="009C6457"/>
    <w:rsid w:val="009C6D04"/>
    <w:rsid w:val="009C7C82"/>
    <w:rsid w:val="009D0208"/>
    <w:rsid w:val="009D23E1"/>
    <w:rsid w:val="009D2B65"/>
    <w:rsid w:val="009D3CAC"/>
    <w:rsid w:val="009D48E5"/>
    <w:rsid w:val="009D565D"/>
    <w:rsid w:val="009D59AB"/>
    <w:rsid w:val="009D6EEC"/>
    <w:rsid w:val="009D7054"/>
    <w:rsid w:val="009E1E5E"/>
    <w:rsid w:val="009E26F9"/>
    <w:rsid w:val="009E2CC4"/>
    <w:rsid w:val="009E3341"/>
    <w:rsid w:val="009E3963"/>
    <w:rsid w:val="009E3BB8"/>
    <w:rsid w:val="009E702A"/>
    <w:rsid w:val="009E71AC"/>
    <w:rsid w:val="009E7437"/>
    <w:rsid w:val="009E7548"/>
    <w:rsid w:val="009E7A2E"/>
    <w:rsid w:val="009E7C92"/>
    <w:rsid w:val="009E7F21"/>
    <w:rsid w:val="009F2ABF"/>
    <w:rsid w:val="009F3044"/>
    <w:rsid w:val="009F31FF"/>
    <w:rsid w:val="009F33D2"/>
    <w:rsid w:val="009F4694"/>
    <w:rsid w:val="009F47B8"/>
    <w:rsid w:val="009F647D"/>
    <w:rsid w:val="009F7B69"/>
    <w:rsid w:val="009F7EB5"/>
    <w:rsid w:val="00A0076F"/>
    <w:rsid w:val="00A00CEB"/>
    <w:rsid w:val="00A02D31"/>
    <w:rsid w:val="00A04FF6"/>
    <w:rsid w:val="00A05404"/>
    <w:rsid w:val="00A07E31"/>
    <w:rsid w:val="00A07FF9"/>
    <w:rsid w:val="00A11EA5"/>
    <w:rsid w:val="00A12ADD"/>
    <w:rsid w:val="00A1399C"/>
    <w:rsid w:val="00A140E2"/>
    <w:rsid w:val="00A1458F"/>
    <w:rsid w:val="00A147D9"/>
    <w:rsid w:val="00A148BC"/>
    <w:rsid w:val="00A1530E"/>
    <w:rsid w:val="00A15F32"/>
    <w:rsid w:val="00A16E5B"/>
    <w:rsid w:val="00A17A52"/>
    <w:rsid w:val="00A21267"/>
    <w:rsid w:val="00A21E1A"/>
    <w:rsid w:val="00A230EC"/>
    <w:rsid w:val="00A23A6E"/>
    <w:rsid w:val="00A23DAD"/>
    <w:rsid w:val="00A247F7"/>
    <w:rsid w:val="00A2519A"/>
    <w:rsid w:val="00A2530D"/>
    <w:rsid w:val="00A25ED8"/>
    <w:rsid w:val="00A27184"/>
    <w:rsid w:val="00A30654"/>
    <w:rsid w:val="00A3069B"/>
    <w:rsid w:val="00A3087E"/>
    <w:rsid w:val="00A308BC"/>
    <w:rsid w:val="00A3259B"/>
    <w:rsid w:val="00A34477"/>
    <w:rsid w:val="00A34D7F"/>
    <w:rsid w:val="00A352CA"/>
    <w:rsid w:val="00A36EC6"/>
    <w:rsid w:val="00A42815"/>
    <w:rsid w:val="00A42EA2"/>
    <w:rsid w:val="00A434B4"/>
    <w:rsid w:val="00A435D8"/>
    <w:rsid w:val="00A438B2"/>
    <w:rsid w:val="00A43D32"/>
    <w:rsid w:val="00A44622"/>
    <w:rsid w:val="00A452B2"/>
    <w:rsid w:val="00A45832"/>
    <w:rsid w:val="00A46D84"/>
    <w:rsid w:val="00A47BE3"/>
    <w:rsid w:val="00A50ABC"/>
    <w:rsid w:val="00A51696"/>
    <w:rsid w:val="00A51A3C"/>
    <w:rsid w:val="00A52864"/>
    <w:rsid w:val="00A53147"/>
    <w:rsid w:val="00A534E0"/>
    <w:rsid w:val="00A53DD9"/>
    <w:rsid w:val="00A5586D"/>
    <w:rsid w:val="00A55E31"/>
    <w:rsid w:val="00A560AC"/>
    <w:rsid w:val="00A56339"/>
    <w:rsid w:val="00A56448"/>
    <w:rsid w:val="00A56685"/>
    <w:rsid w:val="00A600DD"/>
    <w:rsid w:val="00A62014"/>
    <w:rsid w:val="00A62C46"/>
    <w:rsid w:val="00A64BFD"/>
    <w:rsid w:val="00A65886"/>
    <w:rsid w:val="00A663F1"/>
    <w:rsid w:val="00A667F2"/>
    <w:rsid w:val="00A7014A"/>
    <w:rsid w:val="00A7023A"/>
    <w:rsid w:val="00A72C9F"/>
    <w:rsid w:val="00A735CD"/>
    <w:rsid w:val="00A74F1E"/>
    <w:rsid w:val="00A75939"/>
    <w:rsid w:val="00A76619"/>
    <w:rsid w:val="00A767A6"/>
    <w:rsid w:val="00A771FC"/>
    <w:rsid w:val="00A827BF"/>
    <w:rsid w:val="00A8363F"/>
    <w:rsid w:val="00A84B98"/>
    <w:rsid w:val="00A86E25"/>
    <w:rsid w:val="00A86F17"/>
    <w:rsid w:val="00A91FBA"/>
    <w:rsid w:val="00A9266E"/>
    <w:rsid w:val="00A933A0"/>
    <w:rsid w:val="00A93DAC"/>
    <w:rsid w:val="00A95859"/>
    <w:rsid w:val="00A961B7"/>
    <w:rsid w:val="00A965C9"/>
    <w:rsid w:val="00A97D31"/>
    <w:rsid w:val="00AA01CC"/>
    <w:rsid w:val="00AA0424"/>
    <w:rsid w:val="00AA2260"/>
    <w:rsid w:val="00AA264A"/>
    <w:rsid w:val="00AA29C9"/>
    <w:rsid w:val="00AA32F5"/>
    <w:rsid w:val="00AA36BF"/>
    <w:rsid w:val="00AA4267"/>
    <w:rsid w:val="00AA42D3"/>
    <w:rsid w:val="00AA575D"/>
    <w:rsid w:val="00AA78A0"/>
    <w:rsid w:val="00AA78DA"/>
    <w:rsid w:val="00AB010F"/>
    <w:rsid w:val="00AB073F"/>
    <w:rsid w:val="00AB168C"/>
    <w:rsid w:val="00AB2FDF"/>
    <w:rsid w:val="00AB382F"/>
    <w:rsid w:val="00AB5A7F"/>
    <w:rsid w:val="00AB61F0"/>
    <w:rsid w:val="00AB788F"/>
    <w:rsid w:val="00AC01C3"/>
    <w:rsid w:val="00AC4454"/>
    <w:rsid w:val="00AC65E7"/>
    <w:rsid w:val="00AC6A46"/>
    <w:rsid w:val="00AD0043"/>
    <w:rsid w:val="00AD0BBA"/>
    <w:rsid w:val="00AD2392"/>
    <w:rsid w:val="00AD42B2"/>
    <w:rsid w:val="00AD4851"/>
    <w:rsid w:val="00AD4F8D"/>
    <w:rsid w:val="00AD539A"/>
    <w:rsid w:val="00AD5A9F"/>
    <w:rsid w:val="00AD5FD3"/>
    <w:rsid w:val="00AD6017"/>
    <w:rsid w:val="00AE0DF9"/>
    <w:rsid w:val="00AE1977"/>
    <w:rsid w:val="00AE2158"/>
    <w:rsid w:val="00AE2766"/>
    <w:rsid w:val="00AE4810"/>
    <w:rsid w:val="00AE4DD7"/>
    <w:rsid w:val="00AE559F"/>
    <w:rsid w:val="00AE72C0"/>
    <w:rsid w:val="00AE7F77"/>
    <w:rsid w:val="00AF121D"/>
    <w:rsid w:val="00AF2219"/>
    <w:rsid w:val="00AF4E07"/>
    <w:rsid w:val="00AF5D12"/>
    <w:rsid w:val="00AF6124"/>
    <w:rsid w:val="00AF6D66"/>
    <w:rsid w:val="00AF7C08"/>
    <w:rsid w:val="00B009F5"/>
    <w:rsid w:val="00B01D04"/>
    <w:rsid w:val="00B029F9"/>
    <w:rsid w:val="00B04A35"/>
    <w:rsid w:val="00B06284"/>
    <w:rsid w:val="00B066A1"/>
    <w:rsid w:val="00B0769D"/>
    <w:rsid w:val="00B078C8"/>
    <w:rsid w:val="00B07B61"/>
    <w:rsid w:val="00B07D3F"/>
    <w:rsid w:val="00B114AF"/>
    <w:rsid w:val="00B119D0"/>
    <w:rsid w:val="00B12C80"/>
    <w:rsid w:val="00B12F24"/>
    <w:rsid w:val="00B13376"/>
    <w:rsid w:val="00B1376D"/>
    <w:rsid w:val="00B15856"/>
    <w:rsid w:val="00B162AB"/>
    <w:rsid w:val="00B177D4"/>
    <w:rsid w:val="00B17CA0"/>
    <w:rsid w:val="00B2193A"/>
    <w:rsid w:val="00B21DC1"/>
    <w:rsid w:val="00B234FF"/>
    <w:rsid w:val="00B24D84"/>
    <w:rsid w:val="00B25372"/>
    <w:rsid w:val="00B25CA7"/>
    <w:rsid w:val="00B26AC8"/>
    <w:rsid w:val="00B273DC"/>
    <w:rsid w:val="00B30B88"/>
    <w:rsid w:val="00B323CD"/>
    <w:rsid w:val="00B346F6"/>
    <w:rsid w:val="00B3744D"/>
    <w:rsid w:val="00B37CF4"/>
    <w:rsid w:val="00B404CE"/>
    <w:rsid w:val="00B41832"/>
    <w:rsid w:val="00B41984"/>
    <w:rsid w:val="00B425C4"/>
    <w:rsid w:val="00B4305A"/>
    <w:rsid w:val="00B44F43"/>
    <w:rsid w:val="00B45961"/>
    <w:rsid w:val="00B46950"/>
    <w:rsid w:val="00B473C7"/>
    <w:rsid w:val="00B5124A"/>
    <w:rsid w:val="00B5148F"/>
    <w:rsid w:val="00B5160D"/>
    <w:rsid w:val="00B51ADE"/>
    <w:rsid w:val="00B544BB"/>
    <w:rsid w:val="00B54C4F"/>
    <w:rsid w:val="00B565F2"/>
    <w:rsid w:val="00B566B7"/>
    <w:rsid w:val="00B570DE"/>
    <w:rsid w:val="00B60913"/>
    <w:rsid w:val="00B60FAF"/>
    <w:rsid w:val="00B620AF"/>
    <w:rsid w:val="00B63055"/>
    <w:rsid w:val="00B64486"/>
    <w:rsid w:val="00B64537"/>
    <w:rsid w:val="00B6459E"/>
    <w:rsid w:val="00B673FD"/>
    <w:rsid w:val="00B67D0F"/>
    <w:rsid w:val="00B67D82"/>
    <w:rsid w:val="00B70A69"/>
    <w:rsid w:val="00B70CD1"/>
    <w:rsid w:val="00B7158B"/>
    <w:rsid w:val="00B71F91"/>
    <w:rsid w:val="00B72F69"/>
    <w:rsid w:val="00B741F5"/>
    <w:rsid w:val="00B74E3E"/>
    <w:rsid w:val="00B76446"/>
    <w:rsid w:val="00B76651"/>
    <w:rsid w:val="00B76C80"/>
    <w:rsid w:val="00B8418B"/>
    <w:rsid w:val="00B86119"/>
    <w:rsid w:val="00B86505"/>
    <w:rsid w:val="00B9021C"/>
    <w:rsid w:val="00B91545"/>
    <w:rsid w:val="00B915A6"/>
    <w:rsid w:val="00B91D7E"/>
    <w:rsid w:val="00B92E8F"/>
    <w:rsid w:val="00B97F55"/>
    <w:rsid w:val="00BA027F"/>
    <w:rsid w:val="00BA1273"/>
    <w:rsid w:val="00BA20A7"/>
    <w:rsid w:val="00BA3247"/>
    <w:rsid w:val="00BA4DBB"/>
    <w:rsid w:val="00BA5AA0"/>
    <w:rsid w:val="00BA7505"/>
    <w:rsid w:val="00BA763A"/>
    <w:rsid w:val="00BB04F7"/>
    <w:rsid w:val="00BB0AE0"/>
    <w:rsid w:val="00BB1147"/>
    <w:rsid w:val="00BB1547"/>
    <w:rsid w:val="00BB22BE"/>
    <w:rsid w:val="00BB22C5"/>
    <w:rsid w:val="00BB23A4"/>
    <w:rsid w:val="00BB25DB"/>
    <w:rsid w:val="00BB25ED"/>
    <w:rsid w:val="00BB3D4C"/>
    <w:rsid w:val="00BB4F73"/>
    <w:rsid w:val="00BB5BEB"/>
    <w:rsid w:val="00BB6546"/>
    <w:rsid w:val="00BB78B6"/>
    <w:rsid w:val="00BB7A0C"/>
    <w:rsid w:val="00BC05BB"/>
    <w:rsid w:val="00BC0DD0"/>
    <w:rsid w:val="00BC2FF2"/>
    <w:rsid w:val="00BC4156"/>
    <w:rsid w:val="00BC4ACC"/>
    <w:rsid w:val="00BC5906"/>
    <w:rsid w:val="00BC661B"/>
    <w:rsid w:val="00BD1075"/>
    <w:rsid w:val="00BD10E8"/>
    <w:rsid w:val="00BD1264"/>
    <w:rsid w:val="00BD1638"/>
    <w:rsid w:val="00BD1CE1"/>
    <w:rsid w:val="00BD211F"/>
    <w:rsid w:val="00BD25A9"/>
    <w:rsid w:val="00BD4263"/>
    <w:rsid w:val="00BD5396"/>
    <w:rsid w:val="00BD6DCF"/>
    <w:rsid w:val="00BE06FA"/>
    <w:rsid w:val="00BE0EF4"/>
    <w:rsid w:val="00BE17B7"/>
    <w:rsid w:val="00BE2E45"/>
    <w:rsid w:val="00BE351B"/>
    <w:rsid w:val="00BE62A6"/>
    <w:rsid w:val="00BE67D2"/>
    <w:rsid w:val="00BE6988"/>
    <w:rsid w:val="00BE7371"/>
    <w:rsid w:val="00BE759A"/>
    <w:rsid w:val="00BE78B4"/>
    <w:rsid w:val="00BE7920"/>
    <w:rsid w:val="00BF007B"/>
    <w:rsid w:val="00BF0F55"/>
    <w:rsid w:val="00BF150F"/>
    <w:rsid w:val="00BF19AD"/>
    <w:rsid w:val="00BF1A8A"/>
    <w:rsid w:val="00BF2A56"/>
    <w:rsid w:val="00BF2EEB"/>
    <w:rsid w:val="00BF3213"/>
    <w:rsid w:val="00BF33D0"/>
    <w:rsid w:val="00BF3DD6"/>
    <w:rsid w:val="00BF3F37"/>
    <w:rsid w:val="00BF46D5"/>
    <w:rsid w:val="00BF6A5E"/>
    <w:rsid w:val="00BF6D3B"/>
    <w:rsid w:val="00BF7466"/>
    <w:rsid w:val="00BF76DB"/>
    <w:rsid w:val="00C00F48"/>
    <w:rsid w:val="00C02497"/>
    <w:rsid w:val="00C02638"/>
    <w:rsid w:val="00C03034"/>
    <w:rsid w:val="00C033F5"/>
    <w:rsid w:val="00C046A0"/>
    <w:rsid w:val="00C04833"/>
    <w:rsid w:val="00C049CD"/>
    <w:rsid w:val="00C07D9E"/>
    <w:rsid w:val="00C105D1"/>
    <w:rsid w:val="00C11CAD"/>
    <w:rsid w:val="00C123CB"/>
    <w:rsid w:val="00C14138"/>
    <w:rsid w:val="00C1611F"/>
    <w:rsid w:val="00C1640E"/>
    <w:rsid w:val="00C17437"/>
    <w:rsid w:val="00C215CA"/>
    <w:rsid w:val="00C21EE8"/>
    <w:rsid w:val="00C23163"/>
    <w:rsid w:val="00C23FA8"/>
    <w:rsid w:val="00C24270"/>
    <w:rsid w:val="00C267FD"/>
    <w:rsid w:val="00C27153"/>
    <w:rsid w:val="00C3196B"/>
    <w:rsid w:val="00C3210F"/>
    <w:rsid w:val="00C336C9"/>
    <w:rsid w:val="00C343C3"/>
    <w:rsid w:val="00C3556B"/>
    <w:rsid w:val="00C36E98"/>
    <w:rsid w:val="00C37689"/>
    <w:rsid w:val="00C40D1A"/>
    <w:rsid w:val="00C40D65"/>
    <w:rsid w:val="00C4149C"/>
    <w:rsid w:val="00C42500"/>
    <w:rsid w:val="00C4262E"/>
    <w:rsid w:val="00C42764"/>
    <w:rsid w:val="00C42CD9"/>
    <w:rsid w:val="00C43E28"/>
    <w:rsid w:val="00C44206"/>
    <w:rsid w:val="00C44866"/>
    <w:rsid w:val="00C454CF"/>
    <w:rsid w:val="00C50110"/>
    <w:rsid w:val="00C50648"/>
    <w:rsid w:val="00C522EC"/>
    <w:rsid w:val="00C5243E"/>
    <w:rsid w:val="00C54149"/>
    <w:rsid w:val="00C54424"/>
    <w:rsid w:val="00C554A9"/>
    <w:rsid w:val="00C57A7F"/>
    <w:rsid w:val="00C604BF"/>
    <w:rsid w:val="00C60526"/>
    <w:rsid w:val="00C6090A"/>
    <w:rsid w:val="00C64A30"/>
    <w:rsid w:val="00C6575C"/>
    <w:rsid w:val="00C669CB"/>
    <w:rsid w:val="00C73E1B"/>
    <w:rsid w:val="00C74FED"/>
    <w:rsid w:val="00C750F4"/>
    <w:rsid w:val="00C76FEF"/>
    <w:rsid w:val="00C83878"/>
    <w:rsid w:val="00C83B8B"/>
    <w:rsid w:val="00C83D4C"/>
    <w:rsid w:val="00C862F4"/>
    <w:rsid w:val="00C86D3A"/>
    <w:rsid w:val="00C87246"/>
    <w:rsid w:val="00C87430"/>
    <w:rsid w:val="00C91041"/>
    <w:rsid w:val="00C9250D"/>
    <w:rsid w:val="00C94A76"/>
    <w:rsid w:val="00C95794"/>
    <w:rsid w:val="00CA07B7"/>
    <w:rsid w:val="00CA1BDE"/>
    <w:rsid w:val="00CA3E95"/>
    <w:rsid w:val="00CA544A"/>
    <w:rsid w:val="00CA6F00"/>
    <w:rsid w:val="00CB0C70"/>
    <w:rsid w:val="00CB21E4"/>
    <w:rsid w:val="00CB32E4"/>
    <w:rsid w:val="00CB3761"/>
    <w:rsid w:val="00CB3EE5"/>
    <w:rsid w:val="00CB4AF1"/>
    <w:rsid w:val="00CB4FDF"/>
    <w:rsid w:val="00CB658D"/>
    <w:rsid w:val="00CB69BE"/>
    <w:rsid w:val="00CC0FAB"/>
    <w:rsid w:val="00CC1E4F"/>
    <w:rsid w:val="00CC37EF"/>
    <w:rsid w:val="00CC3E68"/>
    <w:rsid w:val="00CC609D"/>
    <w:rsid w:val="00CC704D"/>
    <w:rsid w:val="00CD202E"/>
    <w:rsid w:val="00CD23CB"/>
    <w:rsid w:val="00CD2780"/>
    <w:rsid w:val="00CD3037"/>
    <w:rsid w:val="00CD3A6D"/>
    <w:rsid w:val="00CD3C3B"/>
    <w:rsid w:val="00CD5CA7"/>
    <w:rsid w:val="00CD7037"/>
    <w:rsid w:val="00CE06C4"/>
    <w:rsid w:val="00CE14FF"/>
    <w:rsid w:val="00CE576D"/>
    <w:rsid w:val="00CE6C99"/>
    <w:rsid w:val="00CE6E36"/>
    <w:rsid w:val="00CF218A"/>
    <w:rsid w:val="00CF21D3"/>
    <w:rsid w:val="00CF2843"/>
    <w:rsid w:val="00CF3019"/>
    <w:rsid w:val="00CF3C96"/>
    <w:rsid w:val="00CF59FD"/>
    <w:rsid w:val="00CF5DC5"/>
    <w:rsid w:val="00CF6D35"/>
    <w:rsid w:val="00CF6DF8"/>
    <w:rsid w:val="00CF769A"/>
    <w:rsid w:val="00CF7FBD"/>
    <w:rsid w:val="00D03B71"/>
    <w:rsid w:val="00D0400A"/>
    <w:rsid w:val="00D04556"/>
    <w:rsid w:val="00D0486A"/>
    <w:rsid w:val="00D05D0C"/>
    <w:rsid w:val="00D06640"/>
    <w:rsid w:val="00D07C13"/>
    <w:rsid w:val="00D07CF5"/>
    <w:rsid w:val="00D100CD"/>
    <w:rsid w:val="00D10817"/>
    <w:rsid w:val="00D10D65"/>
    <w:rsid w:val="00D114C9"/>
    <w:rsid w:val="00D11B6D"/>
    <w:rsid w:val="00D12F18"/>
    <w:rsid w:val="00D13A11"/>
    <w:rsid w:val="00D13B96"/>
    <w:rsid w:val="00D13CB8"/>
    <w:rsid w:val="00D14B6A"/>
    <w:rsid w:val="00D14EAF"/>
    <w:rsid w:val="00D17326"/>
    <w:rsid w:val="00D1764F"/>
    <w:rsid w:val="00D2028C"/>
    <w:rsid w:val="00D20909"/>
    <w:rsid w:val="00D20F63"/>
    <w:rsid w:val="00D2139D"/>
    <w:rsid w:val="00D2225E"/>
    <w:rsid w:val="00D223A1"/>
    <w:rsid w:val="00D2240E"/>
    <w:rsid w:val="00D235BA"/>
    <w:rsid w:val="00D23ECE"/>
    <w:rsid w:val="00D25812"/>
    <w:rsid w:val="00D25886"/>
    <w:rsid w:val="00D25CED"/>
    <w:rsid w:val="00D2657C"/>
    <w:rsid w:val="00D265D9"/>
    <w:rsid w:val="00D265E7"/>
    <w:rsid w:val="00D271FB"/>
    <w:rsid w:val="00D27F5E"/>
    <w:rsid w:val="00D303BB"/>
    <w:rsid w:val="00D31303"/>
    <w:rsid w:val="00D32A1F"/>
    <w:rsid w:val="00D340DD"/>
    <w:rsid w:val="00D34BAC"/>
    <w:rsid w:val="00D34DEC"/>
    <w:rsid w:val="00D35EB4"/>
    <w:rsid w:val="00D365DF"/>
    <w:rsid w:val="00D377CB"/>
    <w:rsid w:val="00D40843"/>
    <w:rsid w:val="00D50651"/>
    <w:rsid w:val="00D51198"/>
    <w:rsid w:val="00D542EA"/>
    <w:rsid w:val="00D54789"/>
    <w:rsid w:val="00D5636A"/>
    <w:rsid w:val="00D56AAB"/>
    <w:rsid w:val="00D56B20"/>
    <w:rsid w:val="00D5762D"/>
    <w:rsid w:val="00D57739"/>
    <w:rsid w:val="00D6031D"/>
    <w:rsid w:val="00D604B7"/>
    <w:rsid w:val="00D612AE"/>
    <w:rsid w:val="00D638E5"/>
    <w:rsid w:val="00D643A5"/>
    <w:rsid w:val="00D644E4"/>
    <w:rsid w:val="00D646F0"/>
    <w:rsid w:val="00D65595"/>
    <w:rsid w:val="00D657C5"/>
    <w:rsid w:val="00D659F7"/>
    <w:rsid w:val="00D66CAB"/>
    <w:rsid w:val="00D708A8"/>
    <w:rsid w:val="00D70EBD"/>
    <w:rsid w:val="00D70F63"/>
    <w:rsid w:val="00D745B1"/>
    <w:rsid w:val="00D74843"/>
    <w:rsid w:val="00D74BCD"/>
    <w:rsid w:val="00D75084"/>
    <w:rsid w:val="00D76E3E"/>
    <w:rsid w:val="00D800E7"/>
    <w:rsid w:val="00D820D4"/>
    <w:rsid w:val="00D8220A"/>
    <w:rsid w:val="00D83B59"/>
    <w:rsid w:val="00D83F52"/>
    <w:rsid w:val="00D840D3"/>
    <w:rsid w:val="00D855F0"/>
    <w:rsid w:val="00D86BBA"/>
    <w:rsid w:val="00D8776D"/>
    <w:rsid w:val="00D9086E"/>
    <w:rsid w:val="00D9250E"/>
    <w:rsid w:val="00D957A9"/>
    <w:rsid w:val="00DA0347"/>
    <w:rsid w:val="00DA0EF0"/>
    <w:rsid w:val="00DA1A1A"/>
    <w:rsid w:val="00DA1AB3"/>
    <w:rsid w:val="00DA1CE7"/>
    <w:rsid w:val="00DA6841"/>
    <w:rsid w:val="00DA6F50"/>
    <w:rsid w:val="00DB049F"/>
    <w:rsid w:val="00DB1789"/>
    <w:rsid w:val="00DB2147"/>
    <w:rsid w:val="00DB29E7"/>
    <w:rsid w:val="00DB2D07"/>
    <w:rsid w:val="00DB6E86"/>
    <w:rsid w:val="00DB7377"/>
    <w:rsid w:val="00DB741E"/>
    <w:rsid w:val="00DB769A"/>
    <w:rsid w:val="00DB7D14"/>
    <w:rsid w:val="00DC05BE"/>
    <w:rsid w:val="00DC1D2A"/>
    <w:rsid w:val="00DC33C7"/>
    <w:rsid w:val="00DC61DE"/>
    <w:rsid w:val="00DC6A74"/>
    <w:rsid w:val="00DC76FB"/>
    <w:rsid w:val="00DC7DD7"/>
    <w:rsid w:val="00DD1359"/>
    <w:rsid w:val="00DD23F8"/>
    <w:rsid w:val="00DD2701"/>
    <w:rsid w:val="00DD280F"/>
    <w:rsid w:val="00DD3D41"/>
    <w:rsid w:val="00DD541B"/>
    <w:rsid w:val="00DD6F98"/>
    <w:rsid w:val="00DE1549"/>
    <w:rsid w:val="00DE19CD"/>
    <w:rsid w:val="00DE1FFF"/>
    <w:rsid w:val="00DE2BFA"/>
    <w:rsid w:val="00DE34CF"/>
    <w:rsid w:val="00DE424E"/>
    <w:rsid w:val="00DE4B33"/>
    <w:rsid w:val="00DE4D97"/>
    <w:rsid w:val="00DE5051"/>
    <w:rsid w:val="00DE519A"/>
    <w:rsid w:val="00DE5C07"/>
    <w:rsid w:val="00DE74DF"/>
    <w:rsid w:val="00DE7EF9"/>
    <w:rsid w:val="00DF1595"/>
    <w:rsid w:val="00DF2B12"/>
    <w:rsid w:val="00DF4E2F"/>
    <w:rsid w:val="00DF6297"/>
    <w:rsid w:val="00DF657C"/>
    <w:rsid w:val="00DF6A28"/>
    <w:rsid w:val="00DF6B0C"/>
    <w:rsid w:val="00DF6CC1"/>
    <w:rsid w:val="00DF7731"/>
    <w:rsid w:val="00DF7B5C"/>
    <w:rsid w:val="00E00E90"/>
    <w:rsid w:val="00E0105B"/>
    <w:rsid w:val="00E019F8"/>
    <w:rsid w:val="00E029C5"/>
    <w:rsid w:val="00E03250"/>
    <w:rsid w:val="00E0429F"/>
    <w:rsid w:val="00E04E3C"/>
    <w:rsid w:val="00E05616"/>
    <w:rsid w:val="00E077D6"/>
    <w:rsid w:val="00E113A5"/>
    <w:rsid w:val="00E117BD"/>
    <w:rsid w:val="00E11971"/>
    <w:rsid w:val="00E120E2"/>
    <w:rsid w:val="00E123EB"/>
    <w:rsid w:val="00E13512"/>
    <w:rsid w:val="00E1360B"/>
    <w:rsid w:val="00E13CC4"/>
    <w:rsid w:val="00E14947"/>
    <w:rsid w:val="00E16025"/>
    <w:rsid w:val="00E168A7"/>
    <w:rsid w:val="00E178C5"/>
    <w:rsid w:val="00E21635"/>
    <w:rsid w:val="00E23942"/>
    <w:rsid w:val="00E241F8"/>
    <w:rsid w:val="00E248DC"/>
    <w:rsid w:val="00E24D47"/>
    <w:rsid w:val="00E253FA"/>
    <w:rsid w:val="00E25577"/>
    <w:rsid w:val="00E25AD4"/>
    <w:rsid w:val="00E26C31"/>
    <w:rsid w:val="00E3023C"/>
    <w:rsid w:val="00E3113B"/>
    <w:rsid w:val="00E32AB2"/>
    <w:rsid w:val="00E342AF"/>
    <w:rsid w:val="00E344CE"/>
    <w:rsid w:val="00E349D3"/>
    <w:rsid w:val="00E34E57"/>
    <w:rsid w:val="00E35389"/>
    <w:rsid w:val="00E36BD8"/>
    <w:rsid w:val="00E36E30"/>
    <w:rsid w:val="00E37273"/>
    <w:rsid w:val="00E37490"/>
    <w:rsid w:val="00E37BC2"/>
    <w:rsid w:val="00E37E58"/>
    <w:rsid w:val="00E4061A"/>
    <w:rsid w:val="00E406F9"/>
    <w:rsid w:val="00E40D87"/>
    <w:rsid w:val="00E4116E"/>
    <w:rsid w:val="00E41668"/>
    <w:rsid w:val="00E41995"/>
    <w:rsid w:val="00E41B73"/>
    <w:rsid w:val="00E43137"/>
    <w:rsid w:val="00E439B7"/>
    <w:rsid w:val="00E46BF9"/>
    <w:rsid w:val="00E47084"/>
    <w:rsid w:val="00E5000A"/>
    <w:rsid w:val="00E51732"/>
    <w:rsid w:val="00E5247F"/>
    <w:rsid w:val="00E52508"/>
    <w:rsid w:val="00E55282"/>
    <w:rsid w:val="00E5594E"/>
    <w:rsid w:val="00E5725D"/>
    <w:rsid w:val="00E57A01"/>
    <w:rsid w:val="00E60FB6"/>
    <w:rsid w:val="00E61EE1"/>
    <w:rsid w:val="00E62E6D"/>
    <w:rsid w:val="00E63780"/>
    <w:rsid w:val="00E63C37"/>
    <w:rsid w:val="00E66113"/>
    <w:rsid w:val="00E70655"/>
    <w:rsid w:val="00E70E1C"/>
    <w:rsid w:val="00E72ED4"/>
    <w:rsid w:val="00E72EF7"/>
    <w:rsid w:val="00E73AE3"/>
    <w:rsid w:val="00E74E79"/>
    <w:rsid w:val="00E76155"/>
    <w:rsid w:val="00E803D9"/>
    <w:rsid w:val="00E82367"/>
    <w:rsid w:val="00E82E39"/>
    <w:rsid w:val="00E84081"/>
    <w:rsid w:val="00E85487"/>
    <w:rsid w:val="00E85BD4"/>
    <w:rsid w:val="00E85F65"/>
    <w:rsid w:val="00E8639D"/>
    <w:rsid w:val="00E870C4"/>
    <w:rsid w:val="00E87220"/>
    <w:rsid w:val="00E87975"/>
    <w:rsid w:val="00E87C76"/>
    <w:rsid w:val="00E87FF3"/>
    <w:rsid w:val="00E90213"/>
    <w:rsid w:val="00E91E53"/>
    <w:rsid w:val="00E92362"/>
    <w:rsid w:val="00E93685"/>
    <w:rsid w:val="00E93744"/>
    <w:rsid w:val="00E9591E"/>
    <w:rsid w:val="00E97709"/>
    <w:rsid w:val="00EA0718"/>
    <w:rsid w:val="00EA2514"/>
    <w:rsid w:val="00EA26CE"/>
    <w:rsid w:val="00EA4639"/>
    <w:rsid w:val="00EB09CE"/>
    <w:rsid w:val="00EB102F"/>
    <w:rsid w:val="00EB1299"/>
    <w:rsid w:val="00EB3DB9"/>
    <w:rsid w:val="00EB4114"/>
    <w:rsid w:val="00EB4B69"/>
    <w:rsid w:val="00EB4D19"/>
    <w:rsid w:val="00EB55F9"/>
    <w:rsid w:val="00EB68D5"/>
    <w:rsid w:val="00EB76F2"/>
    <w:rsid w:val="00EC104D"/>
    <w:rsid w:val="00EC11A3"/>
    <w:rsid w:val="00EC1658"/>
    <w:rsid w:val="00EC1C98"/>
    <w:rsid w:val="00EC227A"/>
    <w:rsid w:val="00EC6C3A"/>
    <w:rsid w:val="00EC7645"/>
    <w:rsid w:val="00ED1F3D"/>
    <w:rsid w:val="00ED3DC7"/>
    <w:rsid w:val="00ED4B2F"/>
    <w:rsid w:val="00ED571B"/>
    <w:rsid w:val="00ED5A8C"/>
    <w:rsid w:val="00ED64CA"/>
    <w:rsid w:val="00ED6B50"/>
    <w:rsid w:val="00ED6E3C"/>
    <w:rsid w:val="00ED6E60"/>
    <w:rsid w:val="00ED73D0"/>
    <w:rsid w:val="00ED75F5"/>
    <w:rsid w:val="00EE01CA"/>
    <w:rsid w:val="00EE08CF"/>
    <w:rsid w:val="00EE1D48"/>
    <w:rsid w:val="00EE231C"/>
    <w:rsid w:val="00EE2626"/>
    <w:rsid w:val="00EE460D"/>
    <w:rsid w:val="00EE5A46"/>
    <w:rsid w:val="00EE5D48"/>
    <w:rsid w:val="00EE7D1A"/>
    <w:rsid w:val="00EF1FC4"/>
    <w:rsid w:val="00EF22BC"/>
    <w:rsid w:val="00EF2752"/>
    <w:rsid w:val="00EF2E52"/>
    <w:rsid w:val="00EF39DE"/>
    <w:rsid w:val="00EF3C27"/>
    <w:rsid w:val="00EF4B28"/>
    <w:rsid w:val="00EF4B73"/>
    <w:rsid w:val="00EF4DCD"/>
    <w:rsid w:val="00EF4E41"/>
    <w:rsid w:val="00EF5953"/>
    <w:rsid w:val="00EF6BEA"/>
    <w:rsid w:val="00EF7411"/>
    <w:rsid w:val="00EF76BE"/>
    <w:rsid w:val="00EF7F98"/>
    <w:rsid w:val="00F018BE"/>
    <w:rsid w:val="00F03B0B"/>
    <w:rsid w:val="00F03F48"/>
    <w:rsid w:val="00F04853"/>
    <w:rsid w:val="00F049B9"/>
    <w:rsid w:val="00F067CC"/>
    <w:rsid w:val="00F0710E"/>
    <w:rsid w:val="00F07B88"/>
    <w:rsid w:val="00F11B0C"/>
    <w:rsid w:val="00F11F7C"/>
    <w:rsid w:val="00F12D25"/>
    <w:rsid w:val="00F12F39"/>
    <w:rsid w:val="00F13141"/>
    <w:rsid w:val="00F14431"/>
    <w:rsid w:val="00F169B8"/>
    <w:rsid w:val="00F16E2F"/>
    <w:rsid w:val="00F17B10"/>
    <w:rsid w:val="00F219AF"/>
    <w:rsid w:val="00F21A7D"/>
    <w:rsid w:val="00F22DE9"/>
    <w:rsid w:val="00F23A22"/>
    <w:rsid w:val="00F24E40"/>
    <w:rsid w:val="00F24F44"/>
    <w:rsid w:val="00F257B7"/>
    <w:rsid w:val="00F25A80"/>
    <w:rsid w:val="00F2631A"/>
    <w:rsid w:val="00F27045"/>
    <w:rsid w:val="00F276AA"/>
    <w:rsid w:val="00F30808"/>
    <w:rsid w:val="00F33D5F"/>
    <w:rsid w:val="00F34D29"/>
    <w:rsid w:val="00F3582D"/>
    <w:rsid w:val="00F37909"/>
    <w:rsid w:val="00F4035A"/>
    <w:rsid w:val="00F40489"/>
    <w:rsid w:val="00F40ADA"/>
    <w:rsid w:val="00F41510"/>
    <w:rsid w:val="00F438F9"/>
    <w:rsid w:val="00F444C4"/>
    <w:rsid w:val="00F44619"/>
    <w:rsid w:val="00F44AFE"/>
    <w:rsid w:val="00F45C34"/>
    <w:rsid w:val="00F475F7"/>
    <w:rsid w:val="00F50737"/>
    <w:rsid w:val="00F51EDC"/>
    <w:rsid w:val="00F531C0"/>
    <w:rsid w:val="00F55F05"/>
    <w:rsid w:val="00F56FDD"/>
    <w:rsid w:val="00F577B6"/>
    <w:rsid w:val="00F57912"/>
    <w:rsid w:val="00F57F9D"/>
    <w:rsid w:val="00F6193E"/>
    <w:rsid w:val="00F620F8"/>
    <w:rsid w:val="00F62375"/>
    <w:rsid w:val="00F62D08"/>
    <w:rsid w:val="00F63439"/>
    <w:rsid w:val="00F656FC"/>
    <w:rsid w:val="00F712CC"/>
    <w:rsid w:val="00F726F0"/>
    <w:rsid w:val="00F731C7"/>
    <w:rsid w:val="00F75AAE"/>
    <w:rsid w:val="00F76F5D"/>
    <w:rsid w:val="00F772B2"/>
    <w:rsid w:val="00F77C60"/>
    <w:rsid w:val="00F80B21"/>
    <w:rsid w:val="00F813AE"/>
    <w:rsid w:val="00F81A55"/>
    <w:rsid w:val="00F83016"/>
    <w:rsid w:val="00F83F86"/>
    <w:rsid w:val="00F847E0"/>
    <w:rsid w:val="00F850CF"/>
    <w:rsid w:val="00F85F10"/>
    <w:rsid w:val="00F86CAC"/>
    <w:rsid w:val="00F87490"/>
    <w:rsid w:val="00F91BF3"/>
    <w:rsid w:val="00F92952"/>
    <w:rsid w:val="00F929A2"/>
    <w:rsid w:val="00F93BCB"/>
    <w:rsid w:val="00F93C12"/>
    <w:rsid w:val="00F93D4C"/>
    <w:rsid w:val="00F94ABB"/>
    <w:rsid w:val="00F957C6"/>
    <w:rsid w:val="00F962BF"/>
    <w:rsid w:val="00F9735E"/>
    <w:rsid w:val="00FA0759"/>
    <w:rsid w:val="00FA1585"/>
    <w:rsid w:val="00FA2362"/>
    <w:rsid w:val="00FA26A5"/>
    <w:rsid w:val="00FA28F5"/>
    <w:rsid w:val="00FA30E7"/>
    <w:rsid w:val="00FA3176"/>
    <w:rsid w:val="00FA43EA"/>
    <w:rsid w:val="00FA53F5"/>
    <w:rsid w:val="00FA5C56"/>
    <w:rsid w:val="00FA756F"/>
    <w:rsid w:val="00FB070E"/>
    <w:rsid w:val="00FB3519"/>
    <w:rsid w:val="00FB3FED"/>
    <w:rsid w:val="00FB41C9"/>
    <w:rsid w:val="00FB4F7D"/>
    <w:rsid w:val="00FB6050"/>
    <w:rsid w:val="00FC122C"/>
    <w:rsid w:val="00FC18AC"/>
    <w:rsid w:val="00FC2354"/>
    <w:rsid w:val="00FC4640"/>
    <w:rsid w:val="00FD156F"/>
    <w:rsid w:val="00FD1A3B"/>
    <w:rsid w:val="00FD41F0"/>
    <w:rsid w:val="00FD7116"/>
    <w:rsid w:val="00FD72B5"/>
    <w:rsid w:val="00FE16A1"/>
    <w:rsid w:val="00FE1749"/>
    <w:rsid w:val="00FE2109"/>
    <w:rsid w:val="00FE22F1"/>
    <w:rsid w:val="00FE3FFE"/>
    <w:rsid w:val="00FE4C9C"/>
    <w:rsid w:val="00FE54F9"/>
    <w:rsid w:val="00FE7CA7"/>
    <w:rsid w:val="00FF187D"/>
    <w:rsid w:val="00FF1CC3"/>
    <w:rsid w:val="00FF2C11"/>
    <w:rsid w:val="00FF3108"/>
    <w:rsid w:val="00FF3F20"/>
    <w:rsid w:val="00FF4D53"/>
    <w:rsid w:val="00FF4F30"/>
    <w:rsid w:val="00FF506E"/>
    <w:rsid w:val="00FF5AA9"/>
    <w:rsid w:val="00FF69A6"/>
    <w:rsid w:val="00FF7568"/>
    <w:rsid w:val="00FF7BAC"/>
    <w:rsid w:val="0152E571"/>
    <w:rsid w:val="0155C382"/>
    <w:rsid w:val="01811AFE"/>
    <w:rsid w:val="0235B614"/>
    <w:rsid w:val="0248E929"/>
    <w:rsid w:val="02A3940D"/>
    <w:rsid w:val="03AEA08D"/>
    <w:rsid w:val="03ECD34C"/>
    <w:rsid w:val="05051558"/>
    <w:rsid w:val="055AAFA6"/>
    <w:rsid w:val="06A0B2E8"/>
    <w:rsid w:val="06B15647"/>
    <w:rsid w:val="0791DA92"/>
    <w:rsid w:val="07D6D181"/>
    <w:rsid w:val="07F5AEDF"/>
    <w:rsid w:val="0807993C"/>
    <w:rsid w:val="0891B8F0"/>
    <w:rsid w:val="0893571F"/>
    <w:rsid w:val="09A167B3"/>
    <w:rsid w:val="0A5C1CF3"/>
    <w:rsid w:val="0B3A9FC6"/>
    <w:rsid w:val="0BF66C53"/>
    <w:rsid w:val="0CA2BAC0"/>
    <w:rsid w:val="0CF507DD"/>
    <w:rsid w:val="0D66789C"/>
    <w:rsid w:val="0DC6B185"/>
    <w:rsid w:val="0E34B070"/>
    <w:rsid w:val="0E9D0D6E"/>
    <w:rsid w:val="0F067F82"/>
    <w:rsid w:val="0F149860"/>
    <w:rsid w:val="0FE87FB9"/>
    <w:rsid w:val="0FF5C2E6"/>
    <w:rsid w:val="100ABD9B"/>
    <w:rsid w:val="10769F1F"/>
    <w:rsid w:val="10B05773"/>
    <w:rsid w:val="1181185E"/>
    <w:rsid w:val="1218E80F"/>
    <w:rsid w:val="123B9B26"/>
    <w:rsid w:val="12926464"/>
    <w:rsid w:val="12A69398"/>
    <w:rsid w:val="12B5177B"/>
    <w:rsid w:val="12DB18FE"/>
    <w:rsid w:val="13F128A2"/>
    <w:rsid w:val="145F3D80"/>
    <w:rsid w:val="14DA32AF"/>
    <w:rsid w:val="15086AB4"/>
    <w:rsid w:val="157F19EA"/>
    <w:rsid w:val="160E9673"/>
    <w:rsid w:val="161DF9CF"/>
    <w:rsid w:val="169DBA55"/>
    <w:rsid w:val="16D64AE9"/>
    <w:rsid w:val="17E0424E"/>
    <w:rsid w:val="18872C79"/>
    <w:rsid w:val="1A1BDA98"/>
    <w:rsid w:val="1AA5041B"/>
    <w:rsid w:val="1B6A115E"/>
    <w:rsid w:val="1C2B976A"/>
    <w:rsid w:val="1C81C560"/>
    <w:rsid w:val="1CBB26CA"/>
    <w:rsid w:val="1D980CA7"/>
    <w:rsid w:val="1EA3F7FC"/>
    <w:rsid w:val="1F210402"/>
    <w:rsid w:val="2064BC8E"/>
    <w:rsid w:val="220DB988"/>
    <w:rsid w:val="2311C5CB"/>
    <w:rsid w:val="231F13CC"/>
    <w:rsid w:val="23A78A1B"/>
    <w:rsid w:val="2587CC1B"/>
    <w:rsid w:val="266D290E"/>
    <w:rsid w:val="27E9F2DF"/>
    <w:rsid w:val="27F572EC"/>
    <w:rsid w:val="28334958"/>
    <w:rsid w:val="286B5A93"/>
    <w:rsid w:val="288916E3"/>
    <w:rsid w:val="291D42A7"/>
    <w:rsid w:val="29F2C8EF"/>
    <w:rsid w:val="2B3D09E2"/>
    <w:rsid w:val="2C756936"/>
    <w:rsid w:val="2C7C0372"/>
    <w:rsid w:val="2C9DCD8D"/>
    <w:rsid w:val="2D011737"/>
    <w:rsid w:val="2E372230"/>
    <w:rsid w:val="3055CFBE"/>
    <w:rsid w:val="307F182E"/>
    <w:rsid w:val="309F14D7"/>
    <w:rsid w:val="30B3440B"/>
    <w:rsid w:val="30F64D54"/>
    <w:rsid w:val="32E51A08"/>
    <w:rsid w:val="3357389B"/>
    <w:rsid w:val="33C8AB7E"/>
    <w:rsid w:val="33E85FAF"/>
    <w:rsid w:val="33F116DB"/>
    <w:rsid w:val="33FFE9DD"/>
    <w:rsid w:val="3434ED91"/>
    <w:rsid w:val="3559EA7D"/>
    <w:rsid w:val="35B74E01"/>
    <w:rsid w:val="35F51DCA"/>
    <w:rsid w:val="363A14B9"/>
    <w:rsid w:val="36A009E7"/>
    <w:rsid w:val="36AA2AF1"/>
    <w:rsid w:val="36F1FC38"/>
    <w:rsid w:val="36F7590D"/>
    <w:rsid w:val="37604028"/>
    <w:rsid w:val="379F8F40"/>
    <w:rsid w:val="384BFCD8"/>
    <w:rsid w:val="385A80BB"/>
    <w:rsid w:val="38F93FDD"/>
    <w:rsid w:val="393E65F0"/>
    <w:rsid w:val="39C16284"/>
    <w:rsid w:val="3A074E8A"/>
    <w:rsid w:val="3A146329"/>
    <w:rsid w:val="3A6F3BDA"/>
    <w:rsid w:val="3AEC93B5"/>
    <w:rsid w:val="3BF1AE5C"/>
    <w:rsid w:val="3C5AA1C3"/>
    <w:rsid w:val="3E3721D2"/>
    <w:rsid w:val="3EEE94D2"/>
    <w:rsid w:val="407161E4"/>
    <w:rsid w:val="414D9ECF"/>
    <w:rsid w:val="4152FBA4"/>
    <w:rsid w:val="41C1BE4F"/>
    <w:rsid w:val="423283D0"/>
    <w:rsid w:val="42607D71"/>
    <w:rsid w:val="42E73989"/>
    <w:rsid w:val="43521555"/>
    <w:rsid w:val="4371C977"/>
    <w:rsid w:val="443FB12A"/>
    <w:rsid w:val="447F4B44"/>
    <w:rsid w:val="44B92D7F"/>
    <w:rsid w:val="44D710A1"/>
    <w:rsid w:val="44EBB00F"/>
    <w:rsid w:val="4532A9D4"/>
    <w:rsid w:val="455FCF8F"/>
    <w:rsid w:val="45DD6961"/>
    <w:rsid w:val="4760BA40"/>
    <w:rsid w:val="47FA45D9"/>
    <w:rsid w:val="48AF90E5"/>
    <w:rsid w:val="497C59A9"/>
    <w:rsid w:val="49E00DE1"/>
    <w:rsid w:val="4A636FFA"/>
    <w:rsid w:val="4ABB3557"/>
    <w:rsid w:val="4B94B242"/>
    <w:rsid w:val="4BDF2792"/>
    <w:rsid w:val="4C10EB6C"/>
    <w:rsid w:val="4C7AB8E8"/>
    <w:rsid w:val="4CC17CDD"/>
    <w:rsid w:val="4D065736"/>
    <w:rsid w:val="4F37832D"/>
    <w:rsid w:val="4F392430"/>
    <w:rsid w:val="4F41034C"/>
    <w:rsid w:val="51E90D75"/>
    <w:rsid w:val="534C43A3"/>
    <w:rsid w:val="535B8C92"/>
    <w:rsid w:val="53C06323"/>
    <w:rsid w:val="53D574DD"/>
    <w:rsid w:val="53F744AA"/>
    <w:rsid w:val="5535A2BF"/>
    <w:rsid w:val="5667312E"/>
    <w:rsid w:val="56E33D39"/>
    <w:rsid w:val="57669F52"/>
    <w:rsid w:val="57D50960"/>
    <w:rsid w:val="57F0BF06"/>
    <w:rsid w:val="589F38A7"/>
    <w:rsid w:val="59163A40"/>
    <w:rsid w:val="595A023F"/>
    <w:rsid w:val="5A14BDF7"/>
    <w:rsid w:val="5A527853"/>
    <w:rsid w:val="5B698D79"/>
    <w:rsid w:val="5B74AA0B"/>
    <w:rsid w:val="5B7AE72C"/>
    <w:rsid w:val="5C6FF8B8"/>
    <w:rsid w:val="5CC4D239"/>
    <w:rsid w:val="5CF26733"/>
    <w:rsid w:val="5D28F2CE"/>
    <w:rsid w:val="5EBF1F63"/>
    <w:rsid w:val="5EF6D321"/>
    <w:rsid w:val="5FCE6EC2"/>
    <w:rsid w:val="60D16EBC"/>
    <w:rsid w:val="6102880B"/>
    <w:rsid w:val="618EB9BC"/>
    <w:rsid w:val="619010A6"/>
    <w:rsid w:val="624262AA"/>
    <w:rsid w:val="63278913"/>
    <w:rsid w:val="63CE7C95"/>
    <w:rsid w:val="64685E56"/>
    <w:rsid w:val="64B5B50A"/>
    <w:rsid w:val="64FCAB9A"/>
    <w:rsid w:val="65B29378"/>
    <w:rsid w:val="6621262B"/>
    <w:rsid w:val="66E1DABD"/>
    <w:rsid w:val="6756A9D5"/>
    <w:rsid w:val="67DD4D3F"/>
    <w:rsid w:val="6838F0A6"/>
    <w:rsid w:val="69044BA4"/>
    <w:rsid w:val="69B51439"/>
    <w:rsid w:val="6A1DBCC8"/>
    <w:rsid w:val="6D31F212"/>
    <w:rsid w:val="6D3223E8"/>
    <w:rsid w:val="6DDAF405"/>
    <w:rsid w:val="6EAAB777"/>
    <w:rsid w:val="6EF97A54"/>
    <w:rsid w:val="6F0F86A1"/>
    <w:rsid w:val="6F209A3A"/>
    <w:rsid w:val="6F35FA4D"/>
    <w:rsid w:val="6F9A168F"/>
    <w:rsid w:val="70198BC3"/>
    <w:rsid w:val="7058B64E"/>
    <w:rsid w:val="70FC355E"/>
    <w:rsid w:val="71746FFD"/>
    <w:rsid w:val="71881CA7"/>
    <w:rsid w:val="723260B7"/>
    <w:rsid w:val="72468FEB"/>
    <w:rsid w:val="72B3F1D0"/>
    <w:rsid w:val="72FF25AB"/>
    <w:rsid w:val="733FE284"/>
    <w:rsid w:val="739E2174"/>
    <w:rsid w:val="76215180"/>
    <w:rsid w:val="76228070"/>
    <w:rsid w:val="76F3F582"/>
    <w:rsid w:val="77F8609F"/>
    <w:rsid w:val="7816856D"/>
    <w:rsid w:val="78401F53"/>
    <w:rsid w:val="78613619"/>
    <w:rsid w:val="7897D897"/>
    <w:rsid w:val="78DA3766"/>
    <w:rsid w:val="7CEADB71"/>
    <w:rsid w:val="7DB207DB"/>
    <w:rsid w:val="7DBF900C"/>
    <w:rsid w:val="7E036F14"/>
    <w:rsid w:val="7E227309"/>
    <w:rsid w:val="7FBFAFC3"/>
    <w:rsid w:val="7FDADA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93649"/>
  <w15:docId w15:val="{AF0284BB-730B-4A52-8CD5-4E7D6C5B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5E"/>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u w:val="single"/>
    </w:rPr>
  </w:style>
  <w:style w:type="paragraph" w:styleId="Heading3">
    <w:name w:val="heading 3"/>
    <w:basedOn w:val="Normal"/>
    <w:next w:val="Normal"/>
    <w:link w:val="Heading3Char"/>
    <w:uiPriority w:val="9"/>
    <w:semiHidden/>
    <w:unhideWhenUsed/>
    <w:qFormat/>
    <w:rsid w:val="00241AC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F63439"/>
    <w:pPr>
      <w:keepLines/>
      <w:outlineLvl w:val="3"/>
    </w:pPr>
    <w:rPr>
      <w:rFonts w:eastAsiaTheme="majorEastAsia" w:cstheme="majorBidi"/>
      <w:iCs/>
    </w:rPr>
  </w:style>
  <w:style w:type="paragraph" w:styleId="Heading5">
    <w:name w:val="heading 5"/>
    <w:basedOn w:val="Normal"/>
    <w:next w:val="Normal"/>
    <w:link w:val="Heading5Char"/>
    <w:uiPriority w:val="9"/>
    <w:unhideWhenUsed/>
    <w:qFormat/>
    <w:rsid w:val="00241AC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1AC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semiHidden/>
    <w:rPr>
      <w:sz w:val="16"/>
    </w:rPr>
  </w:style>
  <w:style w:type="character" w:styleId="Hyperlink">
    <w:name w:val="Hyperlink"/>
    <w:semiHidden/>
    <w:rPr>
      <w:color w:val="0044B6"/>
      <w:u w:val="single"/>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color w:val="000000"/>
      <w:sz w:val="22"/>
      <w:szCs w:val="22"/>
      <w:lang w:val="en-US"/>
    </w:rPr>
  </w:style>
  <w:style w:type="character" w:customStyle="1" w:styleId="bluecbold181">
    <w:name w:val="bluecbold181"/>
    <w:rPr>
      <w:rFonts w:ascii="Verdana" w:hAnsi="Verdana" w:hint="default"/>
      <w:b/>
      <w:bCs/>
      <w:strike w:val="0"/>
      <w:dstrike w:val="0"/>
      <w:color w:val="0044B6"/>
      <w:sz w:val="30"/>
      <w:szCs w:val="30"/>
      <w:u w:val="none"/>
      <w:effect w:val="none"/>
    </w:rPr>
  </w:style>
  <w:style w:type="character" w:customStyle="1" w:styleId="black13lh151">
    <w:name w:val="black13lh151"/>
    <w:rPr>
      <w:rFonts w:ascii="Verdana" w:hAnsi="Verdana" w:hint="default"/>
      <w:color w:val="000000"/>
      <w:sz w:val="22"/>
      <w:szCs w:val="22"/>
    </w:rPr>
  </w:style>
  <w:style w:type="character" w:customStyle="1" w:styleId="FooterChar">
    <w:name w:val="Footer Char"/>
    <w:link w:val="Footer"/>
    <w:uiPriority w:val="99"/>
    <w:rsid w:val="0070340A"/>
    <w:rPr>
      <w:rFonts w:ascii="Arial" w:hAnsi="Arial"/>
      <w:sz w:val="24"/>
      <w:lang w:val="en-ZA" w:eastAsia="en-US"/>
    </w:rPr>
  </w:style>
  <w:style w:type="paragraph" w:styleId="BalloonText">
    <w:name w:val="Balloon Text"/>
    <w:basedOn w:val="Normal"/>
    <w:link w:val="BalloonTextChar"/>
    <w:uiPriority w:val="99"/>
    <w:semiHidden/>
    <w:unhideWhenUsed/>
    <w:rsid w:val="00A7023A"/>
    <w:rPr>
      <w:rFonts w:ascii="Tahoma" w:hAnsi="Tahoma" w:cs="Tahoma"/>
      <w:sz w:val="16"/>
      <w:szCs w:val="16"/>
    </w:rPr>
  </w:style>
  <w:style w:type="character" w:customStyle="1" w:styleId="BalloonTextChar">
    <w:name w:val="Balloon Text Char"/>
    <w:link w:val="BalloonText"/>
    <w:uiPriority w:val="99"/>
    <w:semiHidden/>
    <w:rsid w:val="00A7023A"/>
    <w:rPr>
      <w:rFonts w:ascii="Tahoma" w:hAnsi="Tahoma" w:cs="Tahoma"/>
      <w:sz w:val="16"/>
      <w:szCs w:val="16"/>
      <w:lang w:eastAsia="en-US"/>
    </w:rPr>
  </w:style>
  <w:style w:type="character" w:customStyle="1" w:styleId="HeaderChar">
    <w:name w:val="Header Char"/>
    <w:link w:val="Header"/>
    <w:uiPriority w:val="99"/>
    <w:rsid w:val="00B86505"/>
    <w:rPr>
      <w:rFonts w:ascii="Arial" w:hAnsi="Arial"/>
      <w:sz w:val="24"/>
      <w:lang w:eastAsia="en-US"/>
    </w:rPr>
  </w:style>
  <w:style w:type="paragraph" w:customStyle="1" w:styleId="StyleTitle">
    <w:name w:val="StyleTitle"/>
    <w:basedOn w:val="Normal"/>
    <w:next w:val="Normal"/>
    <w:rsid w:val="00B86505"/>
    <w:pPr>
      <w:tabs>
        <w:tab w:val="left" w:pos="1134"/>
      </w:tabs>
      <w:spacing w:line="360" w:lineRule="auto"/>
      <w:jc w:val="both"/>
    </w:pPr>
    <w:rPr>
      <w:b/>
    </w:rPr>
  </w:style>
  <w:style w:type="table" w:styleId="TableGrid">
    <w:name w:val="Table Grid"/>
    <w:basedOn w:val="TableNormal"/>
    <w:rsid w:val="00D40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525151"/>
    <w:pPr>
      <w:ind w:left="720"/>
      <w:contextualSpacing/>
    </w:pPr>
  </w:style>
  <w:style w:type="paragraph" w:styleId="DocumentMap">
    <w:name w:val="Document Map"/>
    <w:basedOn w:val="Normal"/>
    <w:link w:val="DocumentMapChar"/>
    <w:uiPriority w:val="99"/>
    <w:semiHidden/>
    <w:unhideWhenUsed/>
    <w:rsid w:val="007E323D"/>
    <w:rPr>
      <w:rFonts w:ascii="Times New Roman" w:hAnsi="Times New Roman"/>
      <w:szCs w:val="24"/>
    </w:rPr>
  </w:style>
  <w:style w:type="character" w:customStyle="1" w:styleId="DocumentMapChar">
    <w:name w:val="Document Map Char"/>
    <w:basedOn w:val="DefaultParagraphFont"/>
    <w:link w:val="DocumentMap"/>
    <w:uiPriority w:val="99"/>
    <w:semiHidden/>
    <w:rsid w:val="007E323D"/>
    <w:rPr>
      <w:sz w:val="24"/>
      <w:szCs w:val="24"/>
      <w:lang w:eastAsia="en-US"/>
    </w:rPr>
  </w:style>
  <w:style w:type="paragraph" w:customStyle="1" w:styleId="HeadingAtt1">
    <w:name w:val="Heading Att 1"/>
    <w:basedOn w:val="Normal"/>
    <w:link w:val="HeadingAtt1Char"/>
    <w:qFormat/>
    <w:rsid w:val="00D76E3E"/>
    <w:pPr>
      <w:keepNext/>
      <w:keepLines/>
      <w:pageBreakBefore/>
      <w:spacing w:after="360"/>
      <w:ind w:left="360" w:hanging="360"/>
      <w:outlineLvl w:val="0"/>
    </w:pPr>
    <w:rPr>
      <w:rFonts w:ascii="Times New Roman" w:eastAsiaTheme="minorEastAsia" w:hAnsi="Times New Roman" w:cstheme="minorBidi"/>
      <w:b/>
      <w:sz w:val="28"/>
      <w:szCs w:val="28"/>
      <w:lang w:val="en-AU"/>
    </w:rPr>
  </w:style>
  <w:style w:type="character" w:customStyle="1" w:styleId="HeadingAtt1Char">
    <w:name w:val="Heading Att 1 Char"/>
    <w:basedOn w:val="DefaultParagraphFont"/>
    <w:link w:val="HeadingAtt1"/>
    <w:rsid w:val="00D76E3E"/>
    <w:rPr>
      <w:rFonts w:eastAsiaTheme="minorEastAsia" w:cstheme="minorBidi"/>
      <w:b/>
      <w:sz w:val="28"/>
      <w:szCs w:val="28"/>
      <w:lang w:val="en-AU" w:eastAsia="en-US"/>
    </w:rPr>
  </w:style>
  <w:style w:type="character" w:customStyle="1" w:styleId="ListParagraphChar">
    <w:name w:val="List Paragraph Char"/>
    <w:basedOn w:val="DefaultParagraphFont"/>
    <w:link w:val="ListParagraph"/>
    <w:uiPriority w:val="99"/>
    <w:rsid w:val="00D76E3E"/>
    <w:rPr>
      <w:rFonts w:ascii="Arial" w:hAnsi="Arial"/>
      <w:sz w:val="24"/>
      <w:lang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unhideWhenUsed/>
    <w:qFormat/>
    <w:rsid w:val="00D76E3E"/>
    <w:pPr>
      <w:spacing w:after="120"/>
    </w:pPr>
    <w:rPr>
      <w:rFonts w:eastAsiaTheme="minorEastAsia" w:cstheme="minorBidi"/>
      <w:sz w:val="18"/>
      <w:lang w:val="en-AU"/>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basedOn w:val="DefaultParagraphFont"/>
    <w:link w:val="FootnoteText"/>
    <w:uiPriority w:val="99"/>
    <w:rsid w:val="00D76E3E"/>
    <w:rPr>
      <w:rFonts w:ascii="Arial" w:eastAsiaTheme="minorEastAsia" w:hAnsi="Arial" w:cstheme="minorBidi"/>
      <w:sz w:val="18"/>
      <w:lang w:val="en-AU" w:eastAsia="en-US"/>
    </w:rPr>
  </w:style>
  <w:style w:type="character" w:styleId="FootnoteReference">
    <w:name w:val="footnote reference"/>
    <w:basedOn w:val="DefaultParagraphFont"/>
    <w:uiPriority w:val="99"/>
    <w:unhideWhenUsed/>
    <w:qFormat/>
    <w:rsid w:val="00D76E3E"/>
    <w:rPr>
      <w:vertAlign w:val="superscript"/>
    </w:rPr>
  </w:style>
  <w:style w:type="paragraph" w:styleId="TOC1">
    <w:name w:val="toc 1"/>
    <w:basedOn w:val="Normal"/>
    <w:next w:val="Normal"/>
    <w:autoRedefine/>
    <w:uiPriority w:val="39"/>
    <w:unhideWhenUsed/>
    <w:rsid w:val="00D76E3E"/>
    <w:pPr>
      <w:tabs>
        <w:tab w:val="left" w:pos="360"/>
        <w:tab w:val="left" w:pos="575"/>
        <w:tab w:val="right" w:leader="dot" w:pos="8550"/>
      </w:tabs>
      <w:spacing w:after="120"/>
      <w:ind w:left="360" w:hanging="360"/>
    </w:pPr>
    <w:rPr>
      <w:rFonts w:ascii="Times New Roman" w:eastAsiaTheme="minorEastAsia" w:hAnsi="Times New Roman" w:cstheme="minorBidi"/>
      <w:sz w:val="22"/>
      <w:szCs w:val="24"/>
      <w:lang w:val="en-AU"/>
    </w:rPr>
  </w:style>
  <w:style w:type="paragraph" w:customStyle="1" w:styleId="Tier1Header">
    <w:name w:val="Tier 1 Header"/>
    <w:basedOn w:val="ListParagraph"/>
    <w:qFormat/>
    <w:rsid w:val="00D76E3E"/>
    <w:pPr>
      <w:keepNext/>
      <w:numPr>
        <w:numId w:val="1"/>
      </w:numPr>
      <w:spacing w:after="200"/>
      <w:ind w:left="357" w:hanging="357"/>
      <w:jc w:val="both"/>
    </w:pPr>
    <w:rPr>
      <w:rFonts w:cs="Arial"/>
      <w:b/>
      <w:bCs/>
      <w:i/>
      <w:iCs/>
      <w:szCs w:val="24"/>
    </w:rPr>
  </w:style>
  <w:style w:type="paragraph" w:styleId="Revision">
    <w:name w:val="Revision"/>
    <w:hidden/>
    <w:uiPriority w:val="99"/>
    <w:semiHidden/>
    <w:rsid w:val="000D71D8"/>
    <w:rPr>
      <w:rFonts w:ascii="Arial" w:hAnsi="Arial"/>
      <w:sz w:val="24"/>
      <w:lang w:eastAsia="en-US"/>
    </w:rPr>
  </w:style>
  <w:style w:type="character" w:styleId="CommentReference">
    <w:name w:val="annotation reference"/>
    <w:basedOn w:val="DefaultParagraphFont"/>
    <w:uiPriority w:val="99"/>
    <w:semiHidden/>
    <w:unhideWhenUsed/>
    <w:rsid w:val="004F7ED5"/>
    <w:rPr>
      <w:sz w:val="16"/>
      <w:szCs w:val="16"/>
    </w:rPr>
  </w:style>
  <w:style w:type="paragraph" w:styleId="CommentText">
    <w:name w:val="annotation text"/>
    <w:basedOn w:val="Normal"/>
    <w:link w:val="CommentTextChar"/>
    <w:uiPriority w:val="99"/>
    <w:unhideWhenUsed/>
    <w:rsid w:val="004F7ED5"/>
    <w:rPr>
      <w:sz w:val="20"/>
    </w:rPr>
  </w:style>
  <w:style w:type="character" w:customStyle="1" w:styleId="CommentTextChar">
    <w:name w:val="Comment Text Char"/>
    <w:basedOn w:val="DefaultParagraphFont"/>
    <w:link w:val="CommentText"/>
    <w:uiPriority w:val="99"/>
    <w:rsid w:val="004F7ED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F7ED5"/>
    <w:rPr>
      <w:b/>
      <w:bCs/>
    </w:rPr>
  </w:style>
  <w:style w:type="character" w:customStyle="1" w:styleId="CommentSubjectChar">
    <w:name w:val="Comment Subject Char"/>
    <w:basedOn w:val="CommentTextChar"/>
    <w:link w:val="CommentSubject"/>
    <w:uiPriority w:val="99"/>
    <w:semiHidden/>
    <w:rsid w:val="004F7ED5"/>
    <w:rPr>
      <w:rFonts w:ascii="Arial" w:hAnsi="Arial"/>
      <w:b/>
      <w:bCs/>
      <w:lang w:eastAsia="en-US"/>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F63439"/>
    <w:rPr>
      <w:rFonts w:ascii="Arial" w:eastAsiaTheme="majorEastAsia" w:hAnsi="Arial" w:cstheme="majorBidi"/>
      <w:iCs/>
      <w:sz w:val="24"/>
      <w:lang w:eastAsia="en-US"/>
    </w:rPr>
  </w:style>
  <w:style w:type="character" w:customStyle="1" w:styleId="Heading3Char">
    <w:name w:val="Heading 3 Char"/>
    <w:basedOn w:val="DefaultParagraphFont"/>
    <w:link w:val="Heading3"/>
    <w:uiPriority w:val="9"/>
    <w:semiHidden/>
    <w:rsid w:val="00241ACC"/>
    <w:rPr>
      <w:rFonts w:asciiTheme="majorHAnsi" w:eastAsiaTheme="majorEastAsia" w:hAnsiTheme="majorHAnsi" w:cstheme="majorBidi"/>
      <w:color w:val="243F60" w:themeColor="accent1" w:themeShade="7F"/>
      <w:sz w:val="24"/>
      <w:szCs w:val="24"/>
      <w:lang w:eastAsia="en-US"/>
    </w:rPr>
  </w:style>
  <w:style w:type="character" w:customStyle="1" w:styleId="Heading5Char">
    <w:name w:val="Heading 5 Char"/>
    <w:basedOn w:val="DefaultParagraphFont"/>
    <w:link w:val="Heading5"/>
    <w:uiPriority w:val="9"/>
    <w:rsid w:val="00241ACC"/>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uiPriority w:val="9"/>
    <w:semiHidden/>
    <w:rsid w:val="00241ACC"/>
    <w:rPr>
      <w:rFonts w:asciiTheme="majorHAnsi" w:eastAsiaTheme="majorEastAsia" w:hAnsiTheme="majorHAnsi" w:cstheme="majorBidi"/>
      <w:color w:val="243F60" w:themeColor="accent1" w:themeShade="7F"/>
      <w:sz w:val="24"/>
      <w:lang w:eastAsia="en-US"/>
    </w:rPr>
  </w:style>
  <w:style w:type="character" w:customStyle="1" w:styleId="Heading2Char">
    <w:name w:val="Heading 2 Char"/>
    <w:basedOn w:val="DefaultParagraphFont"/>
    <w:link w:val="Heading2"/>
    <w:rsid w:val="005D1CD6"/>
    <w:rPr>
      <w:rFonts w:ascii="Arial" w:hAnsi="Arial"/>
      <w:sz w:val="24"/>
      <w:u w:val="single"/>
      <w:lang w:eastAsia="en-US"/>
    </w:rPr>
  </w:style>
  <w:style w:type="character" w:customStyle="1" w:styleId="BodyTextChar">
    <w:name w:val="Body Text Char"/>
    <w:basedOn w:val="DefaultParagraphFont"/>
    <w:link w:val="BodyText"/>
    <w:semiHidden/>
    <w:rsid w:val="008253DB"/>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360">
      <w:bodyDiv w:val="1"/>
      <w:marLeft w:val="0"/>
      <w:marRight w:val="0"/>
      <w:marTop w:val="0"/>
      <w:marBottom w:val="0"/>
      <w:divBdr>
        <w:top w:val="none" w:sz="0" w:space="0" w:color="auto"/>
        <w:left w:val="none" w:sz="0" w:space="0" w:color="auto"/>
        <w:bottom w:val="none" w:sz="0" w:space="0" w:color="auto"/>
        <w:right w:val="none" w:sz="0" w:space="0" w:color="auto"/>
      </w:divBdr>
    </w:div>
    <w:div w:id="362487706">
      <w:bodyDiv w:val="1"/>
      <w:marLeft w:val="0"/>
      <w:marRight w:val="0"/>
      <w:marTop w:val="0"/>
      <w:marBottom w:val="0"/>
      <w:divBdr>
        <w:top w:val="none" w:sz="0" w:space="0" w:color="auto"/>
        <w:left w:val="none" w:sz="0" w:space="0" w:color="auto"/>
        <w:bottom w:val="none" w:sz="0" w:space="0" w:color="auto"/>
        <w:right w:val="none" w:sz="0" w:space="0" w:color="auto"/>
      </w:divBdr>
    </w:div>
    <w:div w:id="866723735">
      <w:bodyDiv w:val="1"/>
      <w:marLeft w:val="0"/>
      <w:marRight w:val="0"/>
      <w:marTop w:val="0"/>
      <w:marBottom w:val="0"/>
      <w:divBdr>
        <w:top w:val="none" w:sz="0" w:space="0" w:color="auto"/>
        <w:left w:val="none" w:sz="0" w:space="0" w:color="auto"/>
        <w:bottom w:val="none" w:sz="0" w:space="0" w:color="auto"/>
        <w:right w:val="none" w:sz="0" w:space="0" w:color="auto"/>
      </w:divBdr>
    </w:div>
    <w:div w:id="1022390849">
      <w:bodyDiv w:val="1"/>
      <w:marLeft w:val="0"/>
      <w:marRight w:val="0"/>
      <w:marTop w:val="0"/>
      <w:marBottom w:val="0"/>
      <w:divBdr>
        <w:top w:val="none" w:sz="0" w:space="0" w:color="auto"/>
        <w:left w:val="none" w:sz="0" w:space="0" w:color="auto"/>
        <w:bottom w:val="none" w:sz="0" w:space="0" w:color="auto"/>
        <w:right w:val="none" w:sz="0" w:space="0" w:color="auto"/>
      </w:divBdr>
    </w:div>
    <w:div w:id="11134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9628bc-4411-4336-9f43-b5c8b34588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FA87E2C49C4D4C815A60E310B4D19E" ma:contentTypeVersion="18" ma:contentTypeDescription="Create a new document." ma:contentTypeScope="" ma:versionID="bee7ebe35264a7f8a9f942f4d70c8b07">
  <xsd:schema xmlns:xsd="http://www.w3.org/2001/XMLSchema" xmlns:xs="http://www.w3.org/2001/XMLSchema" xmlns:p="http://schemas.microsoft.com/office/2006/metadata/properties" xmlns:ns3="dd0c0cba-ffd1-4f77-af5f-d38a228d6343" xmlns:ns4="849628bc-4411-4336-9f43-b5c8b3458829" targetNamespace="http://schemas.microsoft.com/office/2006/metadata/properties" ma:root="true" ma:fieldsID="76ef6464a38306239507176e63459cc5" ns3:_="" ns4:_="">
    <xsd:import namespace="dd0c0cba-ffd1-4f77-af5f-d38a228d6343"/>
    <xsd:import namespace="849628bc-4411-4336-9f43-b5c8b34588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c0cba-ffd1-4f77-af5f-d38a228d63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628bc-4411-4336-9f43-b5c8b34588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774D2-CE4D-466F-85BA-01FC04D4C76B}">
  <ds:schemaRefs>
    <ds:schemaRef ds:uri="http://schemas.openxmlformats.org/officeDocument/2006/bibliography"/>
  </ds:schemaRefs>
</ds:datastoreItem>
</file>

<file path=customXml/itemProps2.xml><?xml version="1.0" encoding="utf-8"?>
<ds:datastoreItem xmlns:ds="http://schemas.openxmlformats.org/officeDocument/2006/customXml" ds:itemID="{21DF8B6C-65C4-42C0-887A-A962ADC791A6}">
  <ds:schemaRefs>
    <ds:schemaRef ds:uri="http://schemas.microsoft.com/sharepoint/v3/contenttype/forms"/>
  </ds:schemaRefs>
</ds:datastoreItem>
</file>

<file path=customXml/itemProps3.xml><?xml version="1.0" encoding="utf-8"?>
<ds:datastoreItem xmlns:ds="http://schemas.openxmlformats.org/officeDocument/2006/customXml" ds:itemID="{1562F734-98D9-4609-9F8C-81E431B51285}">
  <ds:schemaRefs>
    <ds:schemaRef ds:uri="http://schemas.microsoft.com/office/2006/metadata/properties"/>
    <ds:schemaRef ds:uri="http://schemas.microsoft.com/office/infopath/2007/PartnerControls"/>
    <ds:schemaRef ds:uri="849628bc-4411-4336-9f43-b5c8b3458829"/>
  </ds:schemaRefs>
</ds:datastoreItem>
</file>

<file path=customXml/itemProps4.xml><?xml version="1.0" encoding="utf-8"?>
<ds:datastoreItem xmlns:ds="http://schemas.openxmlformats.org/officeDocument/2006/customXml" ds:itemID="{0B46F648-2833-45B7-B83D-E56FB2E0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c0cba-ffd1-4f77-af5f-d38a228d6343"/>
    <ds:schemaRef ds:uri="849628bc-4411-4336-9f43-b5c8b3458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2289</Words>
  <Characters>14472</Characters>
  <Application>Microsoft Office Word</Application>
  <DocSecurity>0</DocSecurity>
  <Lines>536</Lines>
  <Paragraphs>232</Paragraphs>
  <ScaleCrop>false</ScaleCrop>
  <HeadingPairs>
    <vt:vector size="2" baseType="variant">
      <vt:variant>
        <vt:lpstr>Title</vt:lpstr>
      </vt:variant>
      <vt:variant>
        <vt:i4>1</vt:i4>
      </vt:variant>
    </vt:vector>
  </HeadingPairs>
  <TitlesOfParts>
    <vt:vector size="1" baseType="lpstr">
      <vt:lpstr>Letterhead</vt:lpstr>
    </vt:vector>
  </TitlesOfParts>
  <Company>SA Reserve Bank</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Dineo Langa</dc:creator>
  <cp:keywords/>
  <dc:description/>
  <cp:lastModifiedBy>Phumi Zwane</cp:lastModifiedBy>
  <cp:revision>15</cp:revision>
  <cp:lastPrinted>2021-02-10T19:22:00Z</cp:lastPrinted>
  <dcterms:created xsi:type="dcterms:W3CDTF">2026-03-26T12:36:00Z</dcterms:created>
  <dcterms:modified xsi:type="dcterms:W3CDTF">2026-04-02T07:23:00Z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RB_x0020_Department">
    <vt:lpwstr/>
  </property>
  <property fmtid="{D5CDD505-2E9C-101B-9397-08002B2CF9AE}" pid="3" name="Approval WF Docs Other">
    <vt:lpwstr>http://sarbhub.resbank.co.za/CIP/_layouts/15/wrkstat.aspx?List=3c7c3f25-8e37-408a-9c08-f552eaac8163&amp;WorkflowInstanceName=b7acf6ea-2c1b-4363-ab5b-6cf1245b6fa1, Prep Workflow</vt:lpwstr>
  </property>
  <property fmtid="{D5CDD505-2E9C-101B-9397-08002B2CF9AE}" pid="4" name="DocumentGrouping">
    <vt:lpwstr>226;#Letters|b8a13742-e327-4e86-85af-43b5bf9fdc89</vt:lpwstr>
  </property>
  <property fmtid="{D5CDD505-2E9C-101B-9397-08002B2CF9AE}" pid="5" name="Document Category">
    <vt:lpwstr>30;#Templates|cc221ca1-0323-494a-9ac9-2aebddb0ce8a</vt:lpwstr>
  </property>
  <property fmtid="{D5CDD505-2E9C-101B-9397-08002B2CF9AE}" pid="6" name="ContentTypeId">
    <vt:lpwstr>0x01010074FA87E2C49C4D4C815A60E310B4D19E</vt:lpwstr>
  </property>
  <property fmtid="{D5CDD505-2E9C-101B-9397-08002B2CF9AE}" pid="7" name="SARB_x0020_Branch">
    <vt:lpwstr/>
  </property>
  <property fmtid="{D5CDD505-2E9C-101B-9397-08002B2CF9AE}" pid="8" name="SARB Branch">
    <vt:lpwstr/>
  </property>
  <property fmtid="{D5CDD505-2E9C-101B-9397-08002B2CF9AE}" pid="9" name="SARB Department">
    <vt:lpwstr/>
  </property>
  <property fmtid="{D5CDD505-2E9C-101B-9397-08002B2CF9AE}" pid="10" name="GrammarlyDocumentId">
    <vt:lpwstr>de370138189689db5114d1b37d5a3322e496586adfed85ffc47e74eaf431a7b8</vt:lpwstr>
  </property>
  <property fmtid="{D5CDD505-2E9C-101B-9397-08002B2CF9AE}" pid="11" name="docLang">
    <vt:lpwstr>en</vt:lpwstr>
  </property>
</Properties>
</file>