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ACCD" w14:textId="77777777" w:rsidR="00A41000" w:rsidRPr="00A8576F" w:rsidRDefault="00A41000" w:rsidP="0045726B">
      <w:pPr>
        <w:rPr>
          <w:rFonts w:cs="Arial"/>
          <w:b/>
          <w:bCs/>
          <w:szCs w:val="24"/>
        </w:rPr>
      </w:pPr>
    </w:p>
    <w:p w14:paraId="7BF31FCF" w14:textId="77777777" w:rsidR="002F63D8" w:rsidRPr="00A8576F" w:rsidRDefault="002F63D8" w:rsidP="0045726B">
      <w:pPr>
        <w:rPr>
          <w:rFonts w:cs="Arial"/>
          <w:b/>
          <w:bCs/>
          <w:szCs w:val="24"/>
        </w:rPr>
      </w:pPr>
    </w:p>
    <w:p w14:paraId="51ED4F18" w14:textId="2D9B5D23" w:rsidR="009C1D3D" w:rsidRPr="00A8576F" w:rsidRDefault="00613235" w:rsidP="0045726B">
      <w:pPr>
        <w:rPr>
          <w:rFonts w:cs="Arial"/>
          <w:b/>
          <w:bCs/>
          <w:szCs w:val="24"/>
        </w:rPr>
      </w:pPr>
      <w:r w:rsidRPr="00A8576F">
        <w:rPr>
          <w:rFonts w:cs="Arial"/>
          <w:b/>
          <w:bCs/>
          <w:szCs w:val="24"/>
        </w:rPr>
        <w:t xml:space="preserve">Prudential Standard </w:t>
      </w:r>
      <w:r w:rsidR="00A41000" w:rsidRPr="00A8576F">
        <w:rPr>
          <w:rFonts w:cs="Arial"/>
          <w:b/>
          <w:bCs/>
          <w:szCs w:val="24"/>
        </w:rPr>
        <w:t>XX-01</w:t>
      </w:r>
      <w:r w:rsidR="00DD72C0" w:rsidRPr="00A8576F">
        <w:rPr>
          <w:rFonts w:cs="Arial"/>
          <w:b/>
          <w:bCs/>
          <w:szCs w:val="24"/>
        </w:rPr>
        <w:t xml:space="preserve"> </w:t>
      </w:r>
      <w:r w:rsidR="008C4A55">
        <w:rPr>
          <w:rFonts w:cs="Arial"/>
          <w:b/>
          <w:bCs/>
          <w:szCs w:val="24"/>
        </w:rPr>
        <w:t xml:space="preserve">- </w:t>
      </w:r>
      <w:r w:rsidR="00DD72C0" w:rsidRPr="00A8576F">
        <w:rPr>
          <w:rFonts w:cs="Arial"/>
          <w:b/>
          <w:bCs/>
          <w:szCs w:val="24"/>
        </w:rPr>
        <w:t>Public Disclosures for Insurers</w:t>
      </w:r>
    </w:p>
    <w:p w14:paraId="6266BD93" w14:textId="77777777" w:rsidR="00A41000" w:rsidRPr="00A8576F" w:rsidRDefault="00A41000" w:rsidP="0045726B">
      <w:pPr>
        <w:rPr>
          <w:rFonts w:cs="Arial"/>
          <w:b/>
          <w:bCs/>
          <w:szCs w:val="24"/>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2"/>
      </w:tblGrid>
      <w:tr w:rsidR="0054515F" w:rsidRPr="00A8576F" w14:paraId="516DE961" w14:textId="77777777" w:rsidTr="6AC6ABBA">
        <w:trPr>
          <w:trHeight w:val="1946"/>
        </w:trPr>
        <w:tc>
          <w:tcPr>
            <w:tcW w:w="5000" w:type="pct"/>
          </w:tcPr>
          <w:p w14:paraId="10A792E6" w14:textId="77777777" w:rsidR="00353EE8" w:rsidRPr="00A8576F" w:rsidRDefault="00353EE8" w:rsidP="0045726B">
            <w:pPr>
              <w:pBdr>
                <w:top w:val="single" w:sz="4" w:space="1" w:color="auto"/>
              </w:pBdr>
              <w:rPr>
                <w:rFonts w:cs="Arial"/>
                <w:b/>
                <w:bCs/>
                <w:i/>
                <w:iCs/>
                <w:szCs w:val="24"/>
              </w:rPr>
            </w:pPr>
          </w:p>
          <w:p w14:paraId="25608D01" w14:textId="3D572584" w:rsidR="007875F4" w:rsidRPr="00A8576F" w:rsidRDefault="007875F4" w:rsidP="0045726B">
            <w:pPr>
              <w:pBdr>
                <w:top w:val="single" w:sz="4" w:space="1" w:color="auto"/>
              </w:pBdr>
              <w:rPr>
                <w:rFonts w:cs="Arial"/>
                <w:b/>
                <w:bCs/>
                <w:i/>
                <w:iCs/>
                <w:szCs w:val="24"/>
              </w:rPr>
            </w:pPr>
            <w:r w:rsidRPr="00A8576F">
              <w:rPr>
                <w:rFonts w:cs="Arial"/>
                <w:b/>
                <w:bCs/>
                <w:i/>
                <w:iCs/>
                <w:szCs w:val="24"/>
              </w:rPr>
              <w:t xml:space="preserve">Objective and </w:t>
            </w:r>
            <w:r w:rsidR="007622E0" w:rsidRPr="00A8576F">
              <w:rPr>
                <w:rFonts w:cs="Arial"/>
                <w:b/>
                <w:bCs/>
                <w:i/>
                <w:iCs/>
                <w:szCs w:val="24"/>
              </w:rPr>
              <w:t>k</w:t>
            </w:r>
            <w:r w:rsidRPr="00A8576F">
              <w:rPr>
                <w:rFonts w:cs="Arial"/>
                <w:b/>
                <w:bCs/>
                <w:i/>
                <w:iCs/>
                <w:szCs w:val="24"/>
              </w:rPr>
              <w:t xml:space="preserve">ey </w:t>
            </w:r>
            <w:r w:rsidR="007622E0" w:rsidRPr="00A8576F">
              <w:rPr>
                <w:rFonts w:cs="Arial"/>
                <w:b/>
                <w:bCs/>
                <w:i/>
                <w:iCs/>
                <w:szCs w:val="24"/>
              </w:rPr>
              <w:t>r</w:t>
            </w:r>
            <w:r w:rsidRPr="00A8576F">
              <w:rPr>
                <w:rFonts w:cs="Arial"/>
                <w:b/>
                <w:bCs/>
                <w:i/>
                <w:iCs/>
                <w:szCs w:val="24"/>
              </w:rPr>
              <w:t xml:space="preserve">equirements of this Prudential Standard </w:t>
            </w:r>
          </w:p>
          <w:p w14:paraId="040E2F9E" w14:textId="77777777" w:rsidR="007875F4" w:rsidRPr="00A8576F" w:rsidRDefault="007875F4" w:rsidP="0045726B">
            <w:pPr>
              <w:rPr>
                <w:rFonts w:cs="Arial"/>
                <w:i/>
                <w:iCs/>
                <w:szCs w:val="24"/>
              </w:rPr>
            </w:pPr>
          </w:p>
          <w:p w14:paraId="2AA9C91D" w14:textId="12618C28" w:rsidR="0028297E" w:rsidRDefault="006026D6" w:rsidP="0045726B">
            <w:pPr>
              <w:jc w:val="both"/>
              <w:rPr>
                <w:rFonts w:cs="Arial"/>
                <w:i/>
                <w:iCs/>
                <w:szCs w:val="24"/>
              </w:rPr>
            </w:pPr>
            <w:r w:rsidRPr="00A8576F">
              <w:rPr>
                <w:rFonts w:cs="Arial"/>
                <w:i/>
                <w:iCs/>
                <w:szCs w:val="24"/>
              </w:rPr>
              <w:t xml:space="preserve">This Standard is made in terms of sections 105 and 108 </w:t>
            </w:r>
            <w:r w:rsidR="00980098" w:rsidRPr="00A8576F">
              <w:rPr>
                <w:rFonts w:cs="Arial"/>
                <w:i/>
                <w:iCs/>
                <w:szCs w:val="24"/>
              </w:rPr>
              <w:t xml:space="preserve">of the Financial Sector Regulation Act, 2017 (Act No. </w:t>
            </w:r>
            <w:r w:rsidR="00436D1A" w:rsidRPr="00A8576F">
              <w:rPr>
                <w:rFonts w:cs="Arial"/>
                <w:i/>
                <w:iCs/>
                <w:szCs w:val="24"/>
              </w:rPr>
              <w:t>9</w:t>
            </w:r>
            <w:r w:rsidR="00980098" w:rsidRPr="00A8576F">
              <w:rPr>
                <w:rFonts w:cs="Arial"/>
                <w:i/>
                <w:iCs/>
                <w:szCs w:val="24"/>
              </w:rPr>
              <w:t xml:space="preserve"> of 2017)</w:t>
            </w:r>
            <w:r w:rsidR="008B3C47" w:rsidRPr="00A8576F">
              <w:rPr>
                <w:rFonts w:cs="Arial"/>
                <w:i/>
                <w:iCs/>
                <w:szCs w:val="24"/>
              </w:rPr>
              <w:t>,</w:t>
            </w:r>
            <w:r w:rsidR="00980098" w:rsidRPr="00A8576F">
              <w:rPr>
                <w:rFonts w:cs="Arial"/>
                <w:i/>
                <w:iCs/>
                <w:szCs w:val="24"/>
              </w:rPr>
              <w:t xml:space="preserve"> </w:t>
            </w:r>
            <w:r w:rsidR="00436D1A" w:rsidRPr="00A8576F">
              <w:rPr>
                <w:rFonts w:cs="Arial"/>
                <w:i/>
                <w:iCs/>
                <w:szCs w:val="24"/>
              </w:rPr>
              <w:t xml:space="preserve">read with </w:t>
            </w:r>
            <w:r w:rsidR="008B3C47" w:rsidRPr="00A8576F">
              <w:rPr>
                <w:rFonts w:cs="Arial"/>
                <w:i/>
                <w:iCs/>
                <w:szCs w:val="24"/>
              </w:rPr>
              <w:t xml:space="preserve">sections </w:t>
            </w:r>
            <w:r w:rsidR="00436D1A" w:rsidRPr="00A8576F">
              <w:rPr>
                <w:rFonts w:cs="Arial"/>
                <w:i/>
                <w:iCs/>
                <w:szCs w:val="24"/>
              </w:rPr>
              <w:t xml:space="preserve">45 and 63 of the </w:t>
            </w:r>
            <w:r w:rsidR="0093014A" w:rsidRPr="00A8576F">
              <w:rPr>
                <w:rFonts w:cs="Arial"/>
                <w:i/>
                <w:iCs/>
                <w:szCs w:val="24"/>
              </w:rPr>
              <w:t>Insurance Act, 2017 (Act 18 of 2017)</w:t>
            </w:r>
            <w:r w:rsidR="00FE4750" w:rsidRPr="00A8576F">
              <w:rPr>
                <w:rFonts w:cs="Arial"/>
                <w:i/>
                <w:iCs/>
                <w:szCs w:val="24"/>
              </w:rPr>
              <w:t>.</w:t>
            </w:r>
            <w:r w:rsidR="00980098" w:rsidRPr="00A8576F">
              <w:rPr>
                <w:rFonts w:cs="Arial"/>
                <w:i/>
                <w:iCs/>
                <w:szCs w:val="24"/>
              </w:rPr>
              <w:t xml:space="preserve"> </w:t>
            </w:r>
          </w:p>
          <w:p w14:paraId="22CAE643" w14:textId="77777777" w:rsidR="00863D11" w:rsidRPr="00A8576F" w:rsidRDefault="00863D11" w:rsidP="0045726B">
            <w:pPr>
              <w:jc w:val="both"/>
              <w:rPr>
                <w:rFonts w:cs="Arial"/>
                <w:i/>
                <w:iCs/>
                <w:szCs w:val="24"/>
              </w:rPr>
            </w:pPr>
          </w:p>
          <w:p w14:paraId="5AA34F32" w14:textId="1280458E" w:rsidR="00DD72C0" w:rsidRPr="00A8576F" w:rsidRDefault="007152F9" w:rsidP="0045726B">
            <w:pPr>
              <w:jc w:val="both"/>
              <w:rPr>
                <w:rFonts w:cs="Arial"/>
                <w:i/>
                <w:iCs/>
                <w:szCs w:val="24"/>
              </w:rPr>
            </w:pPr>
            <w:r w:rsidRPr="00A8576F">
              <w:rPr>
                <w:rFonts w:cs="Arial"/>
                <w:i/>
                <w:iCs/>
                <w:szCs w:val="24"/>
              </w:rPr>
              <w:t>Th</w:t>
            </w:r>
            <w:r w:rsidR="0077066B" w:rsidRPr="00A8576F">
              <w:rPr>
                <w:rFonts w:cs="Arial"/>
                <w:i/>
                <w:iCs/>
                <w:szCs w:val="24"/>
              </w:rPr>
              <w:t>i</w:t>
            </w:r>
            <w:r w:rsidRPr="00A8576F">
              <w:rPr>
                <w:rFonts w:cs="Arial"/>
                <w:i/>
                <w:iCs/>
                <w:szCs w:val="24"/>
              </w:rPr>
              <w:t>s</w:t>
            </w:r>
            <w:r w:rsidR="0028297E" w:rsidRPr="00A8576F">
              <w:rPr>
                <w:rFonts w:cs="Arial"/>
                <w:i/>
                <w:iCs/>
                <w:szCs w:val="24"/>
              </w:rPr>
              <w:t xml:space="preserve"> </w:t>
            </w:r>
            <w:r w:rsidR="00486264" w:rsidRPr="00A8576F">
              <w:rPr>
                <w:rFonts w:cs="Arial"/>
                <w:i/>
                <w:iCs/>
                <w:szCs w:val="24"/>
              </w:rPr>
              <w:t>S</w:t>
            </w:r>
            <w:r w:rsidRPr="00A8576F">
              <w:rPr>
                <w:rFonts w:cs="Arial"/>
                <w:i/>
                <w:iCs/>
                <w:szCs w:val="24"/>
              </w:rPr>
              <w:t xml:space="preserve">tandard </w:t>
            </w:r>
            <w:r w:rsidR="00486264" w:rsidRPr="00A8576F">
              <w:rPr>
                <w:rFonts w:cs="Arial"/>
                <w:i/>
                <w:iCs/>
                <w:szCs w:val="24"/>
              </w:rPr>
              <w:t>sets out</w:t>
            </w:r>
            <w:r w:rsidR="00022EA1" w:rsidRPr="00A8576F">
              <w:rPr>
                <w:rFonts w:cs="Arial"/>
                <w:i/>
                <w:iCs/>
                <w:szCs w:val="24"/>
              </w:rPr>
              <w:t xml:space="preserve"> key principles and general requirements for public disclosures, </w:t>
            </w:r>
            <w:r w:rsidR="00486264" w:rsidRPr="00A8576F">
              <w:rPr>
                <w:rFonts w:cs="Arial"/>
                <w:i/>
                <w:iCs/>
                <w:szCs w:val="24"/>
              </w:rPr>
              <w:t xml:space="preserve">with the objective of </w:t>
            </w:r>
            <w:r w:rsidR="00022EA1" w:rsidRPr="00A8576F">
              <w:rPr>
                <w:rFonts w:cs="Arial"/>
                <w:i/>
                <w:iCs/>
                <w:szCs w:val="24"/>
              </w:rPr>
              <w:t xml:space="preserve">promoting transparency, market discipline and </w:t>
            </w:r>
            <w:r w:rsidR="00971006" w:rsidRPr="00A8576F">
              <w:rPr>
                <w:rFonts w:cs="Arial"/>
                <w:i/>
                <w:iCs/>
                <w:szCs w:val="24"/>
              </w:rPr>
              <w:t>stakeholder confidence</w:t>
            </w:r>
            <w:r w:rsidR="00CA4836" w:rsidRPr="00A8576F">
              <w:rPr>
                <w:rFonts w:cs="Arial"/>
                <w:i/>
                <w:iCs/>
                <w:szCs w:val="24"/>
              </w:rPr>
              <w:t>.</w:t>
            </w:r>
            <w:r w:rsidR="00451574" w:rsidRPr="00A8576F">
              <w:rPr>
                <w:rFonts w:cs="Arial"/>
                <w:i/>
                <w:iCs/>
                <w:szCs w:val="24"/>
              </w:rPr>
              <w:t xml:space="preserve"> </w:t>
            </w:r>
            <w:r w:rsidR="00E0249A" w:rsidRPr="00A8576F">
              <w:rPr>
                <w:rFonts w:cs="Arial"/>
                <w:i/>
                <w:iCs/>
                <w:szCs w:val="24"/>
              </w:rPr>
              <w:t xml:space="preserve">The </w:t>
            </w:r>
            <w:r w:rsidR="00486264" w:rsidRPr="00A8576F">
              <w:rPr>
                <w:rFonts w:cs="Arial"/>
                <w:i/>
                <w:iCs/>
                <w:szCs w:val="24"/>
              </w:rPr>
              <w:t>S</w:t>
            </w:r>
            <w:r w:rsidR="00E0249A" w:rsidRPr="00A8576F">
              <w:rPr>
                <w:rFonts w:cs="Arial"/>
                <w:i/>
                <w:iCs/>
                <w:szCs w:val="24"/>
              </w:rPr>
              <w:t xml:space="preserve">tandard </w:t>
            </w:r>
            <w:r w:rsidRPr="00A8576F">
              <w:rPr>
                <w:rFonts w:cs="Arial"/>
                <w:i/>
                <w:iCs/>
                <w:szCs w:val="24"/>
              </w:rPr>
              <w:t>prescrib</w:t>
            </w:r>
            <w:r w:rsidR="00E0249A" w:rsidRPr="00A8576F">
              <w:rPr>
                <w:rFonts w:cs="Arial"/>
                <w:i/>
                <w:iCs/>
                <w:szCs w:val="24"/>
              </w:rPr>
              <w:t>es</w:t>
            </w:r>
            <w:r w:rsidR="003D5CE3" w:rsidRPr="00A8576F">
              <w:rPr>
                <w:rFonts w:cs="Arial"/>
                <w:i/>
                <w:iCs/>
                <w:szCs w:val="24"/>
              </w:rPr>
              <w:t xml:space="preserve"> </w:t>
            </w:r>
            <w:r w:rsidRPr="00A8576F">
              <w:rPr>
                <w:rFonts w:cs="Arial"/>
                <w:i/>
                <w:iCs/>
                <w:szCs w:val="24"/>
              </w:rPr>
              <w:t xml:space="preserve">minimum </w:t>
            </w:r>
            <w:r w:rsidR="00E0249A" w:rsidRPr="00A8576F">
              <w:rPr>
                <w:rFonts w:cs="Arial"/>
                <w:i/>
                <w:iCs/>
                <w:szCs w:val="24"/>
              </w:rPr>
              <w:t xml:space="preserve">information </w:t>
            </w:r>
            <w:r w:rsidR="00486264" w:rsidRPr="00A8576F">
              <w:rPr>
                <w:rFonts w:cs="Arial"/>
                <w:i/>
                <w:iCs/>
                <w:szCs w:val="24"/>
              </w:rPr>
              <w:t xml:space="preserve">that </w:t>
            </w:r>
            <w:r w:rsidR="007C41B8" w:rsidRPr="00A8576F">
              <w:rPr>
                <w:rFonts w:cs="Arial"/>
                <w:i/>
                <w:iCs/>
                <w:szCs w:val="24"/>
              </w:rPr>
              <w:t>insurers</w:t>
            </w:r>
            <w:r w:rsidR="00E346A7" w:rsidRPr="00A8576F">
              <w:rPr>
                <w:rFonts w:cs="Arial"/>
                <w:i/>
                <w:iCs/>
                <w:szCs w:val="24"/>
              </w:rPr>
              <w:t xml:space="preserve"> are required to </w:t>
            </w:r>
            <w:r w:rsidRPr="00A8576F">
              <w:rPr>
                <w:rFonts w:cs="Arial"/>
                <w:i/>
                <w:iCs/>
                <w:szCs w:val="24"/>
              </w:rPr>
              <w:t>public</w:t>
            </w:r>
            <w:r w:rsidR="00E346A7" w:rsidRPr="00A8576F">
              <w:rPr>
                <w:rFonts w:cs="Arial"/>
                <w:i/>
                <w:iCs/>
                <w:szCs w:val="24"/>
              </w:rPr>
              <w:t>ly</w:t>
            </w:r>
            <w:r w:rsidRPr="00A8576F">
              <w:rPr>
                <w:rFonts w:cs="Arial"/>
                <w:i/>
                <w:iCs/>
                <w:szCs w:val="24"/>
              </w:rPr>
              <w:t xml:space="preserve"> disclos</w:t>
            </w:r>
            <w:r w:rsidR="00E346A7" w:rsidRPr="00A8576F">
              <w:rPr>
                <w:rFonts w:cs="Arial"/>
                <w:i/>
                <w:iCs/>
                <w:szCs w:val="24"/>
              </w:rPr>
              <w:t>e</w:t>
            </w:r>
            <w:r w:rsidR="00E1452E" w:rsidRPr="00A8576F">
              <w:rPr>
                <w:rFonts w:cs="Arial"/>
                <w:i/>
                <w:iCs/>
                <w:szCs w:val="24"/>
              </w:rPr>
              <w:t xml:space="preserve">, including </w:t>
            </w:r>
            <w:r w:rsidR="001757DA" w:rsidRPr="00A8576F">
              <w:rPr>
                <w:rFonts w:cs="Arial"/>
                <w:i/>
                <w:iCs/>
                <w:szCs w:val="24"/>
              </w:rPr>
              <w:t>the manner and frequency of such disclosures</w:t>
            </w:r>
            <w:r w:rsidR="003D5CE3" w:rsidRPr="00A8576F">
              <w:rPr>
                <w:rFonts w:cs="Arial"/>
                <w:i/>
                <w:iCs/>
                <w:szCs w:val="24"/>
              </w:rPr>
              <w:t>.</w:t>
            </w:r>
            <w:r w:rsidRPr="00A8576F">
              <w:rPr>
                <w:rFonts w:cs="Arial"/>
                <w:i/>
                <w:iCs/>
                <w:szCs w:val="24"/>
              </w:rPr>
              <w:t xml:space="preserve"> </w:t>
            </w:r>
          </w:p>
          <w:p w14:paraId="69F75B13" w14:textId="46221B30" w:rsidR="000315E9" w:rsidRPr="00A8576F" w:rsidRDefault="000315E9" w:rsidP="0045726B">
            <w:pPr>
              <w:jc w:val="both"/>
              <w:rPr>
                <w:rFonts w:cs="Arial"/>
                <w:i/>
                <w:iCs/>
                <w:szCs w:val="24"/>
              </w:rPr>
            </w:pPr>
          </w:p>
        </w:tc>
      </w:tr>
    </w:tbl>
    <w:p w14:paraId="48322675" w14:textId="77777777" w:rsidR="00A41000" w:rsidRPr="00A8576F" w:rsidRDefault="00A41000" w:rsidP="0045726B">
      <w:pPr>
        <w:rPr>
          <w:rFonts w:cs="Arial"/>
          <w:b/>
          <w:bCs/>
          <w:szCs w:val="24"/>
        </w:rPr>
      </w:pPr>
    </w:p>
    <w:p w14:paraId="30D7F133" w14:textId="5DF9168D" w:rsidR="007875F4" w:rsidRPr="00A8576F" w:rsidRDefault="0068228F" w:rsidP="0045726B">
      <w:pPr>
        <w:rPr>
          <w:rFonts w:cs="Arial"/>
          <w:b/>
          <w:bCs/>
          <w:szCs w:val="24"/>
        </w:rPr>
      </w:pPr>
      <w:r>
        <w:rPr>
          <w:rFonts w:cs="Arial"/>
          <w:b/>
          <w:bCs/>
          <w:szCs w:val="24"/>
        </w:rPr>
        <w:t>C</w:t>
      </w:r>
      <w:r w:rsidR="007875F4" w:rsidRPr="00A8576F">
        <w:rPr>
          <w:rFonts w:cs="Arial"/>
          <w:b/>
          <w:bCs/>
          <w:szCs w:val="24"/>
        </w:rPr>
        <w:t>ontents</w:t>
      </w:r>
    </w:p>
    <w:p w14:paraId="02D18125" w14:textId="77777777" w:rsidR="007875F4" w:rsidRPr="00A8576F" w:rsidRDefault="007875F4" w:rsidP="0045726B">
      <w:pPr>
        <w:rPr>
          <w:rFonts w:cs="Arial"/>
          <w:b/>
          <w:bCs/>
          <w:szCs w:val="24"/>
        </w:rPr>
      </w:pPr>
    </w:p>
    <w:p w14:paraId="2AD82794" w14:textId="68E394C0" w:rsidR="000E18D4" w:rsidRDefault="001C2E57">
      <w:pPr>
        <w:pStyle w:val="TOC1"/>
        <w:rPr>
          <w:rFonts w:asciiTheme="minorHAnsi" w:eastAsiaTheme="minorEastAsia" w:hAnsiTheme="minorHAnsi" w:cstheme="minorBidi"/>
          <w:noProof/>
          <w:kern w:val="2"/>
          <w:szCs w:val="24"/>
          <w:lang w:eastAsia="en-ZA"/>
          <w14:ligatures w14:val="standardContextual"/>
        </w:rPr>
      </w:pPr>
      <w:r w:rsidRPr="00A8576F">
        <w:rPr>
          <w:rFonts w:cs="Arial"/>
          <w:szCs w:val="24"/>
        </w:rPr>
        <w:fldChar w:fldCharType="begin"/>
      </w:r>
      <w:r w:rsidR="00C41F45" w:rsidRPr="00A8576F">
        <w:rPr>
          <w:rFonts w:cs="Arial"/>
          <w:szCs w:val="24"/>
        </w:rPr>
        <w:instrText>TOC \o "1-1" \h \z \u</w:instrText>
      </w:r>
      <w:r w:rsidRPr="00A8576F">
        <w:rPr>
          <w:rFonts w:cs="Arial"/>
          <w:szCs w:val="24"/>
        </w:rPr>
        <w:fldChar w:fldCharType="separate"/>
      </w:r>
      <w:hyperlink w:anchor="_Toc221717253" w:history="1">
        <w:r w:rsidR="000E18D4" w:rsidRPr="007B66C9">
          <w:rPr>
            <w:rStyle w:val="Hyperlink"/>
            <w:noProof/>
          </w:rPr>
          <w:t>1.</w:t>
        </w:r>
        <w:r w:rsidR="000E18D4">
          <w:rPr>
            <w:rFonts w:asciiTheme="minorHAnsi" w:eastAsiaTheme="minorEastAsia" w:hAnsiTheme="minorHAnsi" w:cstheme="minorBidi"/>
            <w:noProof/>
            <w:kern w:val="2"/>
            <w:szCs w:val="24"/>
            <w:lang w:eastAsia="en-ZA"/>
            <w14:ligatures w14:val="standardContextual"/>
          </w:rPr>
          <w:tab/>
        </w:r>
        <w:r w:rsidR="000E18D4" w:rsidRPr="007B66C9">
          <w:rPr>
            <w:rStyle w:val="Hyperlink"/>
            <w:noProof/>
          </w:rPr>
          <w:t>Commencement</w:t>
        </w:r>
        <w:r w:rsidR="000E18D4">
          <w:rPr>
            <w:noProof/>
            <w:webHidden/>
          </w:rPr>
          <w:tab/>
        </w:r>
        <w:r w:rsidR="000E18D4">
          <w:rPr>
            <w:noProof/>
            <w:webHidden/>
          </w:rPr>
          <w:fldChar w:fldCharType="begin"/>
        </w:r>
        <w:r w:rsidR="000E18D4">
          <w:rPr>
            <w:noProof/>
            <w:webHidden/>
          </w:rPr>
          <w:instrText xml:space="preserve"> PAGEREF _Toc221717253 \h </w:instrText>
        </w:r>
        <w:r w:rsidR="000E18D4">
          <w:rPr>
            <w:noProof/>
            <w:webHidden/>
          </w:rPr>
        </w:r>
        <w:r w:rsidR="000E18D4">
          <w:rPr>
            <w:noProof/>
            <w:webHidden/>
          </w:rPr>
          <w:fldChar w:fldCharType="separate"/>
        </w:r>
        <w:r w:rsidR="000E18D4">
          <w:rPr>
            <w:noProof/>
            <w:webHidden/>
          </w:rPr>
          <w:t>2</w:t>
        </w:r>
        <w:r w:rsidR="000E18D4">
          <w:rPr>
            <w:noProof/>
            <w:webHidden/>
          </w:rPr>
          <w:fldChar w:fldCharType="end"/>
        </w:r>
      </w:hyperlink>
    </w:p>
    <w:p w14:paraId="41732C9C" w14:textId="7797C6EC"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4" w:history="1">
        <w:r w:rsidRPr="007B66C9">
          <w:rPr>
            <w:rStyle w:val="Hyperlink"/>
            <w:noProof/>
          </w:rPr>
          <w:t>2.</w:t>
        </w:r>
        <w:r>
          <w:rPr>
            <w:rFonts w:asciiTheme="minorHAnsi" w:eastAsiaTheme="minorEastAsia" w:hAnsiTheme="minorHAnsi" w:cstheme="minorBidi"/>
            <w:noProof/>
            <w:kern w:val="2"/>
            <w:szCs w:val="24"/>
            <w:lang w:eastAsia="en-ZA"/>
            <w14:ligatures w14:val="standardContextual"/>
          </w:rPr>
          <w:tab/>
        </w:r>
        <w:r w:rsidRPr="007B66C9">
          <w:rPr>
            <w:rStyle w:val="Hyperlink"/>
            <w:noProof/>
          </w:rPr>
          <w:t>Definitions</w:t>
        </w:r>
        <w:r>
          <w:rPr>
            <w:noProof/>
            <w:webHidden/>
          </w:rPr>
          <w:tab/>
        </w:r>
        <w:r>
          <w:rPr>
            <w:noProof/>
            <w:webHidden/>
          </w:rPr>
          <w:fldChar w:fldCharType="begin"/>
        </w:r>
        <w:r>
          <w:rPr>
            <w:noProof/>
            <w:webHidden/>
          </w:rPr>
          <w:instrText xml:space="preserve"> PAGEREF _Toc221717254 \h </w:instrText>
        </w:r>
        <w:r>
          <w:rPr>
            <w:noProof/>
            <w:webHidden/>
          </w:rPr>
        </w:r>
        <w:r>
          <w:rPr>
            <w:noProof/>
            <w:webHidden/>
          </w:rPr>
          <w:fldChar w:fldCharType="separate"/>
        </w:r>
        <w:r>
          <w:rPr>
            <w:noProof/>
            <w:webHidden/>
          </w:rPr>
          <w:t>2</w:t>
        </w:r>
        <w:r>
          <w:rPr>
            <w:noProof/>
            <w:webHidden/>
          </w:rPr>
          <w:fldChar w:fldCharType="end"/>
        </w:r>
      </w:hyperlink>
    </w:p>
    <w:p w14:paraId="7A834053" w14:textId="55005DEB"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5" w:history="1">
        <w:r w:rsidRPr="007B66C9">
          <w:rPr>
            <w:rStyle w:val="Hyperlink"/>
            <w:noProof/>
          </w:rPr>
          <w:t>3.</w:t>
        </w:r>
        <w:r>
          <w:rPr>
            <w:rFonts w:asciiTheme="minorHAnsi" w:eastAsiaTheme="minorEastAsia" w:hAnsiTheme="minorHAnsi" w:cstheme="minorBidi"/>
            <w:noProof/>
            <w:kern w:val="2"/>
            <w:szCs w:val="24"/>
            <w:lang w:eastAsia="en-ZA"/>
            <w14:ligatures w14:val="standardContextual"/>
          </w:rPr>
          <w:tab/>
        </w:r>
        <w:r w:rsidRPr="007B66C9">
          <w:rPr>
            <w:rStyle w:val="Hyperlink"/>
            <w:noProof/>
          </w:rPr>
          <w:t>Application</w:t>
        </w:r>
        <w:r>
          <w:rPr>
            <w:noProof/>
            <w:webHidden/>
          </w:rPr>
          <w:tab/>
        </w:r>
        <w:r>
          <w:rPr>
            <w:noProof/>
            <w:webHidden/>
          </w:rPr>
          <w:fldChar w:fldCharType="begin"/>
        </w:r>
        <w:r>
          <w:rPr>
            <w:noProof/>
            <w:webHidden/>
          </w:rPr>
          <w:instrText xml:space="preserve"> PAGEREF _Toc221717255 \h </w:instrText>
        </w:r>
        <w:r>
          <w:rPr>
            <w:noProof/>
            <w:webHidden/>
          </w:rPr>
        </w:r>
        <w:r>
          <w:rPr>
            <w:noProof/>
            <w:webHidden/>
          </w:rPr>
          <w:fldChar w:fldCharType="separate"/>
        </w:r>
        <w:r>
          <w:rPr>
            <w:noProof/>
            <w:webHidden/>
          </w:rPr>
          <w:t>3</w:t>
        </w:r>
        <w:r>
          <w:rPr>
            <w:noProof/>
            <w:webHidden/>
          </w:rPr>
          <w:fldChar w:fldCharType="end"/>
        </w:r>
      </w:hyperlink>
    </w:p>
    <w:p w14:paraId="1847A053" w14:textId="057E5EB6"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6" w:history="1">
        <w:r w:rsidRPr="007B66C9">
          <w:rPr>
            <w:rStyle w:val="Hyperlink"/>
            <w:rFonts w:eastAsia="MS Mincho"/>
            <w:noProof/>
          </w:rPr>
          <w:t>4.</w:t>
        </w:r>
        <w:r>
          <w:rPr>
            <w:rFonts w:asciiTheme="minorHAnsi" w:eastAsiaTheme="minorEastAsia" w:hAnsiTheme="minorHAnsi" w:cstheme="minorBidi"/>
            <w:noProof/>
            <w:kern w:val="2"/>
            <w:szCs w:val="24"/>
            <w:lang w:eastAsia="en-ZA"/>
            <w14:ligatures w14:val="standardContextual"/>
          </w:rPr>
          <w:tab/>
        </w:r>
        <w:r w:rsidRPr="007B66C9">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_Toc221717256 \h </w:instrText>
        </w:r>
        <w:r>
          <w:rPr>
            <w:noProof/>
            <w:webHidden/>
          </w:rPr>
        </w:r>
        <w:r>
          <w:rPr>
            <w:noProof/>
            <w:webHidden/>
          </w:rPr>
          <w:fldChar w:fldCharType="separate"/>
        </w:r>
        <w:r>
          <w:rPr>
            <w:noProof/>
            <w:webHidden/>
          </w:rPr>
          <w:t>3</w:t>
        </w:r>
        <w:r>
          <w:rPr>
            <w:noProof/>
            <w:webHidden/>
          </w:rPr>
          <w:fldChar w:fldCharType="end"/>
        </w:r>
      </w:hyperlink>
    </w:p>
    <w:p w14:paraId="0EDE407C" w14:textId="3C62D44D"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7" w:history="1">
        <w:r w:rsidRPr="007B66C9">
          <w:rPr>
            <w:rStyle w:val="Hyperlink"/>
            <w:rFonts w:eastAsia="MS Mincho"/>
            <w:noProof/>
          </w:rPr>
          <w:t>5.</w:t>
        </w:r>
        <w:r>
          <w:rPr>
            <w:rFonts w:asciiTheme="minorHAnsi" w:eastAsiaTheme="minorEastAsia" w:hAnsiTheme="minorHAnsi" w:cstheme="minorBidi"/>
            <w:noProof/>
            <w:kern w:val="2"/>
            <w:szCs w:val="24"/>
            <w:lang w:eastAsia="en-ZA"/>
            <w14:ligatures w14:val="standardContextual"/>
          </w:rPr>
          <w:tab/>
        </w:r>
        <w:r w:rsidRPr="007B66C9">
          <w:rPr>
            <w:rStyle w:val="Hyperlink"/>
            <w:rFonts w:eastAsia="MS Mincho"/>
            <w:noProof/>
          </w:rPr>
          <w:t xml:space="preserve">Key </w:t>
        </w:r>
        <w:r w:rsidR="00863D11">
          <w:rPr>
            <w:rStyle w:val="Hyperlink"/>
            <w:rFonts w:eastAsia="MS Mincho"/>
            <w:noProof/>
          </w:rPr>
          <w:t>p</w:t>
        </w:r>
        <w:r w:rsidRPr="007B66C9">
          <w:rPr>
            <w:rStyle w:val="Hyperlink"/>
            <w:rFonts w:eastAsia="MS Mincho"/>
            <w:noProof/>
          </w:rPr>
          <w:t xml:space="preserve">ublic </w:t>
        </w:r>
        <w:r w:rsidR="00863D11">
          <w:rPr>
            <w:rStyle w:val="Hyperlink"/>
            <w:rFonts w:eastAsia="MS Mincho"/>
            <w:noProof/>
          </w:rPr>
          <w:t>d</w:t>
        </w:r>
        <w:r w:rsidRPr="007B66C9">
          <w:rPr>
            <w:rStyle w:val="Hyperlink"/>
            <w:rFonts w:eastAsia="MS Mincho"/>
            <w:noProof/>
          </w:rPr>
          <w:t xml:space="preserve">isclosure </w:t>
        </w:r>
        <w:r w:rsidR="00863D11">
          <w:rPr>
            <w:rStyle w:val="Hyperlink"/>
            <w:rFonts w:eastAsia="MS Mincho"/>
            <w:noProof/>
          </w:rPr>
          <w:t>p</w:t>
        </w:r>
        <w:r w:rsidRPr="007B66C9">
          <w:rPr>
            <w:rStyle w:val="Hyperlink"/>
            <w:rFonts w:eastAsia="MS Mincho"/>
            <w:noProof/>
          </w:rPr>
          <w:t>rinciples</w:t>
        </w:r>
        <w:r>
          <w:rPr>
            <w:noProof/>
            <w:webHidden/>
          </w:rPr>
          <w:tab/>
        </w:r>
        <w:r>
          <w:rPr>
            <w:noProof/>
            <w:webHidden/>
          </w:rPr>
          <w:fldChar w:fldCharType="begin"/>
        </w:r>
        <w:r>
          <w:rPr>
            <w:noProof/>
            <w:webHidden/>
          </w:rPr>
          <w:instrText xml:space="preserve"> PAGEREF _Toc221717257 \h </w:instrText>
        </w:r>
        <w:r>
          <w:rPr>
            <w:noProof/>
            <w:webHidden/>
          </w:rPr>
        </w:r>
        <w:r>
          <w:rPr>
            <w:noProof/>
            <w:webHidden/>
          </w:rPr>
          <w:fldChar w:fldCharType="separate"/>
        </w:r>
        <w:r>
          <w:rPr>
            <w:noProof/>
            <w:webHidden/>
          </w:rPr>
          <w:t>3</w:t>
        </w:r>
        <w:r>
          <w:rPr>
            <w:noProof/>
            <w:webHidden/>
          </w:rPr>
          <w:fldChar w:fldCharType="end"/>
        </w:r>
      </w:hyperlink>
    </w:p>
    <w:p w14:paraId="7F5C8E97" w14:textId="069B4B70"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8" w:history="1">
        <w:r w:rsidRPr="007B66C9">
          <w:rPr>
            <w:rStyle w:val="Hyperlink"/>
            <w:rFonts w:eastAsia="MS Mincho"/>
            <w:noProof/>
          </w:rPr>
          <w:t>6.</w:t>
        </w:r>
        <w:r>
          <w:rPr>
            <w:rFonts w:asciiTheme="minorHAnsi" w:eastAsiaTheme="minorEastAsia" w:hAnsiTheme="minorHAnsi" w:cstheme="minorBidi"/>
            <w:noProof/>
            <w:kern w:val="2"/>
            <w:szCs w:val="24"/>
            <w:lang w:eastAsia="en-ZA"/>
            <w14:ligatures w14:val="standardContextual"/>
          </w:rPr>
          <w:tab/>
        </w:r>
        <w:r w:rsidRPr="007B66C9">
          <w:rPr>
            <w:rStyle w:val="Hyperlink"/>
            <w:rFonts w:eastAsia="MS Mincho"/>
            <w:noProof/>
          </w:rPr>
          <w:t xml:space="preserve">General </w:t>
        </w:r>
        <w:r w:rsidR="00863D11">
          <w:rPr>
            <w:rStyle w:val="Hyperlink"/>
            <w:rFonts w:eastAsia="MS Mincho"/>
            <w:noProof/>
          </w:rPr>
          <w:t>p</w:t>
        </w:r>
        <w:r w:rsidRPr="007B66C9">
          <w:rPr>
            <w:rStyle w:val="Hyperlink"/>
            <w:rFonts w:eastAsia="MS Mincho"/>
            <w:noProof/>
          </w:rPr>
          <w:t xml:space="preserve">ublic </w:t>
        </w:r>
        <w:r w:rsidR="00863D11">
          <w:rPr>
            <w:rStyle w:val="Hyperlink"/>
            <w:rFonts w:eastAsia="MS Mincho"/>
            <w:noProof/>
          </w:rPr>
          <w:t>d</w:t>
        </w:r>
        <w:r w:rsidRPr="007B66C9">
          <w:rPr>
            <w:rStyle w:val="Hyperlink"/>
            <w:rFonts w:eastAsia="MS Mincho"/>
            <w:noProof/>
          </w:rPr>
          <w:t xml:space="preserve">isclosure </w:t>
        </w:r>
        <w:r w:rsidR="00863D11">
          <w:rPr>
            <w:rStyle w:val="Hyperlink"/>
            <w:rFonts w:eastAsia="MS Mincho"/>
            <w:noProof/>
          </w:rPr>
          <w:t>r</w:t>
        </w:r>
        <w:r w:rsidRPr="007B66C9">
          <w:rPr>
            <w:rStyle w:val="Hyperlink"/>
            <w:rFonts w:eastAsia="MS Mincho"/>
            <w:noProof/>
          </w:rPr>
          <w:t>equirements</w:t>
        </w:r>
        <w:r>
          <w:rPr>
            <w:noProof/>
            <w:webHidden/>
          </w:rPr>
          <w:tab/>
        </w:r>
        <w:r>
          <w:rPr>
            <w:noProof/>
            <w:webHidden/>
          </w:rPr>
          <w:fldChar w:fldCharType="begin"/>
        </w:r>
        <w:r>
          <w:rPr>
            <w:noProof/>
            <w:webHidden/>
          </w:rPr>
          <w:instrText xml:space="preserve"> PAGEREF _Toc221717258 \h </w:instrText>
        </w:r>
        <w:r>
          <w:rPr>
            <w:noProof/>
            <w:webHidden/>
          </w:rPr>
        </w:r>
        <w:r>
          <w:rPr>
            <w:noProof/>
            <w:webHidden/>
          </w:rPr>
          <w:fldChar w:fldCharType="separate"/>
        </w:r>
        <w:r>
          <w:rPr>
            <w:noProof/>
            <w:webHidden/>
          </w:rPr>
          <w:t>4</w:t>
        </w:r>
        <w:r>
          <w:rPr>
            <w:noProof/>
            <w:webHidden/>
          </w:rPr>
          <w:fldChar w:fldCharType="end"/>
        </w:r>
      </w:hyperlink>
    </w:p>
    <w:p w14:paraId="1CD723E1" w14:textId="2CC68B0C"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59" w:history="1">
        <w:r w:rsidRPr="007B66C9">
          <w:rPr>
            <w:rStyle w:val="Hyperlink"/>
            <w:rFonts w:eastAsia="MS Mincho"/>
            <w:noProof/>
          </w:rPr>
          <w:t>7.</w:t>
        </w:r>
        <w:r>
          <w:rPr>
            <w:rFonts w:asciiTheme="minorHAnsi" w:eastAsiaTheme="minorEastAsia" w:hAnsiTheme="minorHAnsi" w:cstheme="minorBidi"/>
            <w:noProof/>
            <w:kern w:val="2"/>
            <w:szCs w:val="24"/>
            <w:lang w:eastAsia="en-ZA"/>
            <w14:ligatures w14:val="standardContextual"/>
          </w:rPr>
          <w:tab/>
        </w:r>
        <w:r w:rsidRPr="007B66C9">
          <w:rPr>
            <w:rStyle w:val="Hyperlink"/>
            <w:rFonts w:eastAsia="MS Mincho"/>
            <w:noProof/>
          </w:rPr>
          <w:t xml:space="preserve">Prescribed </w:t>
        </w:r>
        <w:r w:rsidR="00863D11">
          <w:rPr>
            <w:rStyle w:val="Hyperlink"/>
            <w:rFonts w:eastAsia="MS Mincho"/>
            <w:noProof/>
          </w:rPr>
          <w:t>p</w:t>
        </w:r>
        <w:r w:rsidRPr="007B66C9">
          <w:rPr>
            <w:rStyle w:val="Hyperlink"/>
            <w:rFonts w:eastAsia="MS Mincho"/>
            <w:noProof/>
          </w:rPr>
          <w:t xml:space="preserve">ublic </w:t>
        </w:r>
        <w:r w:rsidR="00863D11">
          <w:rPr>
            <w:rStyle w:val="Hyperlink"/>
            <w:rFonts w:eastAsia="MS Mincho"/>
            <w:noProof/>
          </w:rPr>
          <w:t>d</w:t>
        </w:r>
        <w:r w:rsidRPr="007B66C9">
          <w:rPr>
            <w:rStyle w:val="Hyperlink"/>
            <w:rFonts w:eastAsia="MS Mincho"/>
            <w:noProof/>
          </w:rPr>
          <w:t xml:space="preserve">isclosure </w:t>
        </w:r>
        <w:r w:rsidR="00863D11">
          <w:rPr>
            <w:rStyle w:val="Hyperlink"/>
            <w:rFonts w:eastAsia="MS Mincho"/>
            <w:noProof/>
          </w:rPr>
          <w:t>r</w:t>
        </w:r>
        <w:r w:rsidRPr="007B66C9">
          <w:rPr>
            <w:rStyle w:val="Hyperlink"/>
            <w:rFonts w:eastAsia="MS Mincho"/>
            <w:noProof/>
          </w:rPr>
          <w:t>equirements</w:t>
        </w:r>
        <w:r>
          <w:rPr>
            <w:noProof/>
            <w:webHidden/>
          </w:rPr>
          <w:tab/>
        </w:r>
        <w:r>
          <w:rPr>
            <w:noProof/>
            <w:webHidden/>
          </w:rPr>
          <w:fldChar w:fldCharType="begin"/>
        </w:r>
        <w:r>
          <w:rPr>
            <w:noProof/>
            <w:webHidden/>
          </w:rPr>
          <w:instrText xml:space="preserve"> PAGEREF _Toc221717259 \h </w:instrText>
        </w:r>
        <w:r>
          <w:rPr>
            <w:noProof/>
            <w:webHidden/>
          </w:rPr>
        </w:r>
        <w:r>
          <w:rPr>
            <w:noProof/>
            <w:webHidden/>
          </w:rPr>
          <w:fldChar w:fldCharType="separate"/>
        </w:r>
        <w:r>
          <w:rPr>
            <w:noProof/>
            <w:webHidden/>
          </w:rPr>
          <w:t>5</w:t>
        </w:r>
        <w:r>
          <w:rPr>
            <w:noProof/>
            <w:webHidden/>
          </w:rPr>
          <w:fldChar w:fldCharType="end"/>
        </w:r>
      </w:hyperlink>
    </w:p>
    <w:p w14:paraId="04882D4F" w14:textId="0CCD761D" w:rsidR="000E18D4" w:rsidRDefault="000E18D4">
      <w:pPr>
        <w:pStyle w:val="TOC1"/>
        <w:rPr>
          <w:rFonts w:asciiTheme="minorHAnsi" w:eastAsiaTheme="minorEastAsia" w:hAnsiTheme="minorHAnsi" w:cstheme="minorBidi"/>
          <w:noProof/>
          <w:kern w:val="2"/>
          <w:szCs w:val="24"/>
          <w:lang w:eastAsia="en-ZA"/>
          <w14:ligatures w14:val="standardContextual"/>
        </w:rPr>
      </w:pPr>
      <w:hyperlink w:anchor="_Toc221717260" w:history="1">
        <w:r w:rsidRPr="007B66C9">
          <w:rPr>
            <w:rStyle w:val="Hyperlink"/>
            <w:noProof/>
          </w:rPr>
          <w:t>8.</w:t>
        </w:r>
        <w:r>
          <w:rPr>
            <w:rFonts w:asciiTheme="minorHAnsi" w:eastAsiaTheme="minorEastAsia" w:hAnsiTheme="minorHAnsi" w:cstheme="minorBidi"/>
            <w:noProof/>
            <w:kern w:val="2"/>
            <w:szCs w:val="24"/>
            <w:lang w:eastAsia="en-ZA"/>
            <w14:ligatures w14:val="standardContextual"/>
          </w:rPr>
          <w:tab/>
        </w:r>
        <w:r w:rsidRPr="007B66C9">
          <w:rPr>
            <w:rStyle w:val="Hyperlink"/>
            <w:noProof/>
          </w:rPr>
          <w:t>Short title</w:t>
        </w:r>
        <w:r>
          <w:rPr>
            <w:noProof/>
            <w:webHidden/>
          </w:rPr>
          <w:tab/>
        </w:r>
        <w:r>
          <w:rPr>
            <w:noProof/>
            <w:webHidden/>
          </w:rPr>
          <w:fldChar w:fldCharType="begin"/>
        </w:r>
        <w:r>
          <w:rPr>
            <w:noProof/>
            <w:webHidden/>
          </w:rPr>
          <w:instrText xml:space="preserve"> PAGEREF _Toc221717260 \h </w:instrText>
        </w:r>
        <w:r>
          <w:rPr>
            <w:noProof/>
            <w:webHidden/>
          </w:rPr>
        </w:r>
        <w:r>
          <w:rPr>
            <w:noProof/>
            <w:webHidden/>
          </w:rPr>
          <w:fldChar w:fldCharType="separate"/>
        </w:r>
        <w:r>
          <w:rPr>
            <w:noProof/>
            <w:webHidden/>
          </w:rPr>
          <w:t>13</w:t>
        </w:r>
        <w:r>
          <w:rPr>
            <w:noProof/>
            <w:webHidden/>
          </w:rPr>
          <w:fldChar w:fldCharType="end"/>
        </w:r>
      </w:hyperlink>
    </w:p>
    <w:p w14:paraId="3199B43C" w14:textId="773ED682" w:rsidR="00E05DB0" w:rsidRPr="00A8576F" w:rsidRDefault="001C2E57" w:rsidP="0045726B">
      <w:pPr>
        <w:pStyle w:val="TOC1"/>
        <w:rPr>
          <w:rFonts w:eastAsiaTheme="minorEastAsia" w:cs="Arial"/>
          <w:noProof/>
          <w:szCs w:val="24"/>
          <w:lang w:eastAsia="en-ZA"/>
        </w:rPr>
      </w:pPr>
      <w:r w:rsidRPr="00A8576F">
        <w:rPr>
          <w:rFonts w:cs="Arial"/>
          <w:szCs w:val="24"/>
        </w:rPr>
        <w:fldChar w:fldCharType="end"/>
      </w:r>
    </w:p>
    <w:p w14:paraId="73FCA48F" w14:textId="70A42F7F" w:rsidR="00C41F45" w:rsidRPr="00A8576F" w:rsidRDefault="00C41F45" w:rsidP="0045726B">
      <w:pPr>
        <w:rPr>
          <w:rFonts w:cs="Arial"/>
          <w:b/>
          <w:bCs/>
          <w:szCs w:val="24"/>
        </w:rPr>
      </w:pPr>
    </w:p>
    <w:p w14:paraId="4891AE9B" w14:textId="77777777" w:rsidR="007875F4" w:rsidRPr="00A8576F" w:rsidRDefault="007875F4" w:rsidP="0045726B">
      <w:pPr>
        <w:rPr>
          <w:rFonts w:cs="Arial"/>
          <w:b/>
          <w:bCs/>
          <w:szCs w:val="24"/>
        </w:rPr>
      </w:pPr>
    </w:p>
    <w:p w14:paraId="2A87B64A" w14:textId="77777777" w:rsidR="007875F4" w:rsidRPr="00A8576F" w:rsidRDefault="007875F4" w:rsidP="0045726B">
      <w:pPr>
        <w:rPr>
          <w:rFonts w:cs="Arial"/>
          <w:b/>
          <w:bCs/>
          <w:szCs w:val="24"/>
        </w:rPr>
      </w:pPr>
    </w:p>
    <w:p w14:paraId="6021A3FB" w14:textId="059CC3C1" w:rsidR="007875F4" w:rsidRPr="00A8576F" w:rsidRDefault="007875F4" w:rsidP="0045726B">
      <w:pPr>
        <w:rPr>
          <w:rFonts w:cs="Arial"/>
          <w:b/>
          <w:bCs/>
          <w:szCs w:val="24"/>
        </w:rPr>
      </w:pPr>
      <w:r w:rsidRPr="00A8576F">
        <w:rPr>
          <w:rFonts w:cs="Arial"/>
          <w:b/>
          <w:bCs/>
          <w:szCs w:val="24"/>
        </w:rPr>
        <w:br w:type="page"/>
      </w:r>
    </w:p>
    <w:p w14:paraId="472D4F66" w14:textId="5F4349FF" w:rsidR="00E7124B" w:rsidRPr="00A8576F" w:rsidRDefault="00E7124B" w:rsidP="0045726B">
      <w:pPr>
        <w:rPr>
          <w:rFonts w:cs="Arial"/>
          <w:szCs w:val="24"/>
        </w:rPr>
      </w:pPr>
      <w:bookmarkStart w:id="0" w:name="_Toc212548482"/>
      <w:bookmarkEnd w:id="0"/>
    </w:p>
    <w:p w14:paraId="3AC72791" w14:textId="18A02963" w:rsidR="008C4A55" w:rsidRDefault="008C4A55" w:rsidP="004D5B05">
      <w:pPr>
        <w:pStyle w:val="Heading1"/>
      </w:pPr>
      <w:bookmarkStart w:id="1" w:name="_Toc221717253"/>
      <w:r>
        <w:t>Commencement</w:t>
      </w:r>
      <w:bookmarkEnd w:id="1"/>
    </w:p>
    <w:p w14:paraId="4A0A6FF9" w14:textId="77777777" w:rsidR="008C4A55" w:rsidRDefault="008C4A55" w:rsidP="008C4A55">
      <w:pPr>
        <w:pStyle w:val="Default"/>
        <w:ind w:left="851"/>
        <w:jc w:val="both"/>
        <w:rPr>
          <w:b/>
          <w:bCs/>
        </w:rPr>
      </w:pPr>
    </w:p>
    <w:p w14:paraId="312B577E" w14:textId="713A144F" w:rsidR="008C4A55" w:rsidRPr="00F14A79" w:rsidRDefault="008C4A55" w:rsidP="008C4A55">
      <w:pPr>
        <w:pStyle w:val="Heading2"/>
      </w:pPr>
      <w:r w:rsidRPr="00A05D46">
        <w:t xml:space="preserve">This Standard commences on </w:t>
      </w:r>
      <w:r w:rsidRPr="00F14A79">
        <w:t>Day-Month-Year</w:t>
      </w:r>
    </w:p>
    <w:p w14:paraId="553CEA22" w14:textId="77777777" w:rsidR="008C4A55" w:rsidRPr="008C4A55" w:rsidRDefault="008C4A55" w:rsidP="008C4A55"/>
    <w:tbl>
      <w:tblPr>
        <w:tblW w:w="81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5940"/>
      </w:tblGrid>
      <w:tr w:rsidR="008C4A55" w:rsidRPr="00E7124B" w14:paraId="26526106" w14:textId="77777777" w:rsidTr="00343924">
        <w:trPr>
          <w:trHeight w:val="179"/>
        </w:trPr>
        <w:tc>
          <w:tcPr>
            <w:tcW w:w="2250" w:type="dxa"/>
            <w:shd w:val="clear" w:color="auto" w:fill="D9D9D9"/>
          </w:tcPr>
          <w:p w14:paraId="583D75AC" w14:textId="77777777" w:rsidR="008C4A55" w:rsidRPr="00E7124B" w:rsidRDefault="008C4A55" w:rsidP="00343924">
            <w:pPr>
              <w:widowControl w:val="0"/>
              <w:autoSpaceDE w:val="0"/>
              <w:autoSpaceDN w:val="0"/>
              <w:adjustRightInd w:val="0"/>
              <w:jc w:val="both"/>
              <w:rPr>
                <w:rFonts w:eastAsia="Calibri" w:cs="Arial"/>
                <w:b/>
                <w:szCs w:val="22"/>
                <w:lang w:val="en-AU"/>
              </w:rPr>
            </w:pPr>
            <w:r w:rsidRPr="00E7124B">
              <w:rPr>
                <w:rFonts w:eastAsia="Calibri" w:cs="Arial"/>
                <w:b/>
                <w:szCs w:val="22"/>
                <w:lang w:val="en-AU"/>
              </w:rPr>
              <w:t>Version Number</w:t>
            </w:r>
          </w:p>
        </w:tc>
        <w:tc>
          <w:tcPr>
            <w:tcW w:w="5940" w:type="dxa"/>
            <w:shd w:val="clear" w:color="auto" w:fill="D9D9D9"/>
          </w:tcPr>
          <w:p w14:paraId="48D8200D" w14:textId="77777777" w:rsidR="008C4A55" w:rsidRPr="00E7124B" w:rsidRDefault="008C4A55" w:rsidP="00343924">
            <w:pPr>
              <w:widowControl w:val="0"/>
              <w:autoSpaceDE w:val="0"/>
              <w:autoSpaceDN w:val="0"/>
              <w:adjustRightInd w:val="0"/>
              <w:jc w:val="both"/>
              <w:rPr>
                <w:rFonts w:eastAsia="Calibri" w:cs="Arial"/>
                <w:b/>
                <w:szCs w:val="22"/>
                <w:lang w:val="en-AU"/>
              </w:rPr>
            </w:pPr>
            <w:r w:rsidRPr="00E7124B">
              <w:rPr>
                <w:rFonts w:eastAsia="Calibri" w:cs="Arial"/>
                <w:b/>
                <w:szCs w:val="22"/>
                <w:lang w:val="en-AU"/>
              </w:rPr>
              <w:t>Commencement Date</w:t>
            </w:r>
          </w:p>
        </w:tc>
      </w:tr>
      <w:tr w:rsidR="008C4A55" w:rsidRPr="00E7124B" w14:paraId="39619B30" w14:textId="77777777" w:rsidTr="00343924">
        <w:trPr>
          <w:trHeight w:val="205"/>
        </w:trPr>
        <w:tc>
          <w:tcPr>
            <w:tcW w:w="2250" w:type="dxa"/>
          </w:tcPr>
          <w:p w14:paraId="4160F5E7" w14:textId="77777777" w:rsidR="008C4A55" w:rsidRPr="00E7124B" w:rsidRDefault="008C4A55" w:rsidP="00343924">
            <w:pPr>
              <w:widowControl w:val="0"/>
              <w:autoSpaceDE w:val="0"/>
              <w:autoSpaceDN w:val="0"/>
              <w:adjustRightInd w:val="0"/>
              <w:jc w:val="both"/>
              <w:rPr>
                <w:rFonts w:eastAsia="Calibri" w:cs="Arial"/>
                <w:color w:val="323232"/>
                <w:szCs w:val="22"/>
                <w:lang w:val="en-AU"/>
              </w:rPr>
            </w:pPr>
            <w:r w:rsidRPr="00E7124B">
              <w:rPr>
                <w:rFonts w:eastAsia="Calibri" w:cs="Arial"/>
                <w:color w:val="323232"/>
                <w:szCs w:val="22"/>
                <w:lang w:val="en-AU"/>
              </w:rPr>
              <w:t>1</w:t>
            </w:r>
          </w:p>
        </w:tc>
        <w:tc>
          <w:tcPr>
            <w:tcW w:w="5940" w:type="dxa"/>
          </w:tcPr>
          <w:p w14:paraId="3FC666C6" w14:textId="77777777" w:rsidR="008C4A55" w:rsidRPr="00E7124B" w:rsidRDefault="008C4A55" w:rsidP="00343924">
            <w:pPr>
              <w:widowControl w:val="0"/>
              <w:autoSpaceDE w:val="0"/>
              <w:autoSpaceDN w:val="0"/>
              <w:adjustRightInd w:val="0"/>
              <w:jc w:val="both"/>
              <w:rPr>
                <w:rFonts w:eastAsia="Calibri" w:cs="Arial"/>
                <w:color w:val="323232"/>
                <w:szCs w:val="22"/>
                <w:lang w:val="en-AU"/>
              </w:rPr>
            </w:pPr>
            <w:r w:rsidRPr="00E7124B">
              <w:rPr>
                <w:rFonts w:eastAsia="Calibri" w:cs="Arial"/>
                <w:color w:val="323232"/>
                <w:szCs w:val="22"/>
                <w:lang w:val="en-AU"/>
              </w:rPr>
              <w:t>……</w:t>
            </w:r>
          </w:p>
        </w:tc>
      </w:tr>
    </w:tbl>
    <w:p w14:paraId="02DC4171" w14:textId="77777777" w:rsidR="008C4A55" w:rsidRDefault="008C4A55" w:rsidP="00C337ED">
      <w:pPr>
        <w:pStyle w:val="Default"/>
        <w:jc w:val="both"/>
        <w:rPr>
          <w:b/>
          <w:bCs/>
        </w:rPr>
      </w:pPr>
    </w:p>
    <w:p w14:paraId="4E9ADE88" w14:textId="0B2E65EC" w:rsidR="00F8765F" w:rsidRPr="00A8576F" w:rsidRDefault="00F8765F" w:rsidP="004D5B05">
      <w:pPr>
        <w:pStyle w:val="Heading1"/>
      </w:pPr>
      <w:bookmarkStart w:id="2" w:name="_Toc221717254"/>
      <w:r w:rsidRPr="00A8576F">
        <w:t>Definitions</w:t>
      </w:r>
      <w:bookmarkEnd w:id="2"/>
      <w:r w:rsidRPr="00A8576F">
        <w:t xml:space="preserve"> </w:t>
      </w:r>
    </w:p>
    <w:p w14:paraId="21FEDC40" w14:textId="77777777" w:rsidR="00A60C16" w:rsidRPr="00A8576F" w:rsidRDefault="00A60C16" w:rsidP="0045726B">
      <w:pPr>
        <w:pStyle w:val="Default"/>
        <w:ind w:left="851"/>
        <w:jc w:val="both"/>
      </w:pPr>
    </w:p>
    <w:p w14:paraId="57B71DA6" w14:textId="01BBB9C3" w:rsidR="005D2804" w:rsidRDefault="00DE29A0" w:rsidP="0045726B">
      <w:pPr>
        <w:pStyle w:val="Heading2"/>
        <w:rPr>
          <w:rFonts w:cs="Arial"/>
          <w:szCs w:val="24"/>
        </w:rPr>
      </w:pPr>
      <w:r w:rsidRPr="00A8576F">
        <w:rPr>
          <w:rFonts w:cs="Arial"/>
          <w:szCs w:val="24"/>
        </w:rPr>
        <w:t>In this Standard</w:t>
      </w:r>
      <w:r w:rsidR="009E31A5">
        <w:rPr>
          <w:rFonts w:cs="Arial"/>
          <w:szCs w:val="24"/>
        </w:rPr>
        <w:t>, the</w:t>
      </w:r>
      <w:r w:rsidRPr="00A8576F">
        <w:rPr>
          <w:rFonts w:cs="Arial"/>
          <w:szCs w:val="24"/>
        </w:rPr>
        <w:t xml:space="preserve">  Insurance Act’ means the Insurance Act, 2017 (Act No. 18 of 2017) and the </w:t>
      </w:r>
      <w:r w:rsidRPr="00F14A79">
        <w:rPr>
          <w:rFonts w:cs="Arial"/>
          <w:szCs w:val="24"/>
        </w:rPr>
        <w:t>‘</w:t>
      </w:r>
      <w:r w:rsidRPr="00A8576F">
        <w:rPr>
          <w:rFonts w:cs="Arial"/>
          <w:szCs w:val="24"/>
        </w:rPr>
        <w:t>Financial Sector Regulation A</w:t>
      </w:r>
      <w:r w:rsidRPr="00F14A79">
        <w:rPr>
          <w:rFonts w:cs="Arial"/>
          <w:szCs w:val="24"/>
        </w:rPr>
        <w:t>ct’</w:t>
      </w:r>
      <w:r w:rsidRPr="00A8576F">
        <w:rPr>
          <w:rFonts w:cs="Arial"/>
          <w:szCs w:val="24"/>
        </w:rPr>
        <w:t xml:space="preserve"> means the Financial Sector Regulations Act, 2017 (Act No. 9 of 2017)</w:t>
      </w:r>
      <w:r w:rsidR="008A7116">
        <w:rPr>
          <w:rFonts w:cs="Arial"/>
          <w:szCs w:val="24"/>
        </w:rPr>
        <w:t>,</w:t>
      </w:r>
      <w:r w:rsidRPr="00A8576F">
        <w:rPr>
          <w:rFonts w:cs="Arial"/>
          <w:szCs w:val="24"/>
        </w:rPr>
        <w:t xml:space="preserve"> and any word or expression to which a meaning has been assigned in these Acts shall have the meaning so assigned to it, unless a different meaning is assigned elsewhere in this Standard</w:t>
      </w:r>
      <w:r w:rsidR="008C4A55">
        <w:rPr>
          <w:rFonts w:cs="Arial"/>
          <w:szCs w:val="24"/>
        </w:rPr>
        <w:t xml:space="preserve">. </w:t>
      </w:r>
    </w:p>
    <w:p w14:paraId="43BDA657" w14:textId="77777777" w:rsidR="008C4A55" w:rsidRPr="008C4A55" w:rsidRDefault="008C4A55" w:rsidP="008C4A55"/>
    <w:p w14:paraId="7921559E" w14:textId="6EBD4886" w:rsidR="008C4A55" w:rsidRDefault="008C4A55" w:rsidP="008C4A55">
      <w:pPr>
        <w:pStyle w:val="Heading2"/>
      </w:pPr>
      <w:r>
        <w:t xml:space="preserve">For the purposes of this Standard – </w:t>
      </w:r>
    </w:p>
    <w:p w14:paraId="26F95427" w14:textId="77777777" w:rsidR="005D2804" w:rsidRPr="00A8576F" w:rsidRDefault="005D2804" w:rsidP="0045726B">
      <w:pPr>
        <w:jc w:val="both"/>
        <w:rPr>
          <w:rFonts w:cs="Arial"/>
          <w:szCs w:val="24"/>
        </w:rPr>
      </w:pPr>
    </w:p>
    <w:p w14:paraId="5A4EA349" w14:textId="16C71C6A" w:rsidR="00926E15" w:rsidRPr="00BB6B82" w:rsidRDefault="007A1469" w:rsidP="00BB6B82">
      <w:pPr>
        <w:spacing w:after="120"/>
        <w:ind w:left="851"/>
        <w:jc w:val="both"/>
        <w:rPr>
          <w:rFonts w:eastAsia="MS Mincho" w:cs="Arial"/>
          <w:b/>
          <w:bCs/>
          <w:szCs w:val="24"/>
        </w:rPr>
      </w:pPr>
      <w:r w:rsidRPr="00A8576F">
        <w:rPr>
          <w:rFonts w:eastAsia="MS Mincho" w:cs="Arial"/>
          <w:b/>
          <w:bCs/>
          <w:szCs w:val="24"/>
        </w:rPr>
        <w:t>“</w:t>
      </w:r>
      <w:r w:rsidR="00E8383C" w:rsidRPr="00A8576F">
        <w:rPr>
          <w:rFonts w:eastAsia="MS Mincho" w:cs="Arial"/>
          <w:b/>
          <w:bCs/>
          <w:szCs w:val="24"/>
        </w:rPr>
        <w:t>Authority</w:t>
      </w:r>
      <w:r w:rsidRPr="00A8576F">
        <w:rPr>
          <w:rFonts w:eastAsia="MS Mincho" w:cs="Arial"/>
          <w:b/>
          <w:bCs/>
          <w:szCs w:val="24"/>
        </w:rPr>
        <w:t>”</w:t>
      </w:r>
      <w:r w:rsidR="00E8383C" w:rsidRPr="00A8576F">
        <w:rPr>
          <w:rFonts w:eastAsia="MS Mincho" w:cs="Arial"/>
          <w:b/>
          <w:bCs/>
          <w:szCs w:val="24"/>
        </w:rPr>
        <w:t xml:space="preserve"> </w:t>
      </w:r>
      <w:r w:rsidR="00E8383C" w:rsidRPr="00A8576F">
        <w:rPr>
          <w:rFonts w:eastAsia="MS Mincho" w:cs="Arial"/>
          <w:szCs w:val="24"/>
        </w:rPr>
        <w:t xml:space="preserve">means the Prudential Authority established in terms of section 32 of the Financial Sector Regulation Act, </w:t>
      </w:r>
      <w:proofErr w:type="gramStart"/>
      <w:r w:rsidR="00E8383C" w:rsidRPr="00A8576F">
        <w:rPr>
          <w:rFonts w:eastAsia="MS Mincho" w:cs="Arial"/>
          <w:szCs w:val="24"/>
        </w:rPr>
        <w:t>2017</w:t>
      </w:r>
      <w:r w:rsidR="007F1179" w:rsidRPr="00A8576F">
        <w:rPr>
          <w:rFonts w:eastAsia="MS Mincho" w:cs="Arial"/>
          <w:b/>
          <w:bCs/>
          <w:szCs w:val="24"/>
        </w:rPr>
        <w:t>;</w:t>
      </w:r>
      <w:proofErr w:type="gramEnd"/>
      <w:r w:rsidR="00E8383C" w:rsidRPr="00A8576F">
        <w:rPr>
          <w:rFonts w:eastAsia="MS Mincho" w:cs="Arial"/>
          <w:b/>
          <w:bCs/>
          <w:szCs w:val="24"/>
        </w:rPr>
        <w:t xml:space="preserve"> </w:t>
      </w:r>
    </w:p>
    <w:p w14:paraId="22E4C5A9" w14:textId="1DD60FFF" w:rsidR="00C52077" w:rsidRPr="00A8576F" w:rsidRDefault="007A1469" w:rsidP="009A71C8">
      <w:pPr>
        <w:spacing w:after="120"/>
        <w:ind w:left="851"/>
        <w:jc w:val="both"/>
        <w:rPr>
          <w:rFonts w:eastAsia="MS Mincho" w:cs="Arial"/>
          <w:szCs w:val="24"/>
        </w:rPr>
      </w:pPr>
      <w:r w:rsidRPr="00A8576F">
        <w:rPr>
          <w:rFonts w:eastAsia="MS Mincho" w:cs="Arial"/>
          <w:b/>
          <w:bCs/>
          <w:szCs w:val="24"/>
        </w:rPr>
        <w:t>“</w:t>
      </w:r>
      <w:proofErr w:type="gramStart"/>
      <w:r w:rsidR="0050255C" w:rsidRPr="00A8576F">
        <w:rPr>
          <w:rFonts w:eastAsia="MS Mincho" w:cs="Arial"/>
          <w:b/>
          <w:bCs/>
          <w:szCs w:val="24"/>
        </w:rPr>
        <w:t>confidential</w:t>
      </w:r>
      <w:proofErr w:type="gramEnd"/>
      <w:r w:rsidR="006505A0" w:rsidRPr="00A8576F">
        <w:rPr>
          <w:rFonts w:eastAsia="MS Mincho" w:cs="Arial"/>
          <w:b/>
          <w:bCs/>
          <w:szCs w:val="24"/>
        </w:rPr>
        <w:t xml:space="preserve"> information</w:t>
      </w:r>
      <w:r w:rsidRPr="00A8576F">
        <w:rPr>
          <w:rFonts w:eastAsia="MS Mincho" w:cs="Arial"/>
          <w:b/>
          <w:bCs/>
          <w:szCs w:val="24"/>
        </w:rPr>
        <w:t>”</w:t>
      </w:r>
      <w:r w:rsidR="0050255C" w:rsidRPr="00A8576F">
        <w:rPr>
          <w:rFonts w:eastAsia="MS Mincho" w:cs="Arial"/>
          <w:szCs w:val="24"/>
        </w:rPr>
        <w:t xml:space="preserve"> means </w:t>
      </w:r>
      <w:r w:rsidR="006505A0" w:rsidRPr="00A8576F">
        <w:rPr>
          <w:rFonts w:eastAsia="MS Mincho" w:cs="Arial"/>
          <w:szCs w:val="24"/>
        </w:rPr>
        <w:t xml:space="preserve">information relating to </w:t>
      </w:r>
      <w:r w:rsidR="0050255C" w:rsidRPr="00A8576F">
        <w:rPr>
          <w:rFonts w:eastAsia="MS Mincho" w:cs="Arial"/>
          <w:szCs w:val="24"/>
        </w:rPr>
        <w:t>policyholder</w:t>
      </w:r>
      <w:r w:rsidR="006505A0" w:rsidRPr="00A8576F">
        <w:rPr>
          <w:rFonts w:eastAsia="MS Mincho" w:cs="Arial"/>
          <w:szCs w:val="24"/>
        </w:rPr>
        <w:t>s</w:t>
      </w:r>
      <w:r w:rsidR="0050255C" w:rsidRPr="00A8576F">
        <w:rPr>
          <w:rFonts w:eastAsia="MS Mincho" w:cs="Arial"/>
          <w:szCs w:val="24"/>
        </w:rPr>
        <w:t xml:space="preserve"> </w:t>
      </w:r>
      <w:r w:rsidR="006505A0" w:rsidRPr="00A8576F">
        <w:rPr>
          <w:rFonts w:eastAsia="MS Mincho" w:cs="Arial"/>
          <w:szCs w:val="24"/>
        </w:rPr>
        <w:t>or</w:t>
      </w:r>
      <w:r w:rsidR="0050255C" w:rsidRPr="00A8576F">
        <w:rPr>
          <w:rFonts w:eastAsia="MS Mincho" w:cs="Arial"/>
          <w:szCs w:val="24"/>
        </w:rPr>
        <w:t xml:space="preserve"> insured parties</w:t>
      </w:r>
      <w:r w:rsidR="006505A0" w:rsidRPr="00A8576F">
        <w:rPr>
          <w:rFonts w:eastAsia="MS Mincho" w:cs="Arial"/>
          <w:szCs w:val="24"/>
        </w:rPr>
        <w:t xml:space="preserve">, or other information subject </w:t>
      </w:r>
      <w:r w:rsidR="0042079A" w:rsidRPr="00A8576F">
        <w:rPr>
          <w:rFonts w:eastAsia="MS Mincho" w:cs="Arial"/>
          <w:szCs w:val="24"/>
        </w:rPr>
        <w:t>to contractual</w:t>
      </w:r>
      <w:r w:rsidR="0050255C" w:rsidRPr="00A8576F">
        <w:rPr>
          <w:rFonts w:eastAsia="MS Mincho" w:cs="Arial"/>
          <w:szCs w:val="24"/>
        </w:rPr>
        <w:t xml:space="preserve"> </w:t>
      </w:r>
      <w:r w:rsidR="006505A0" w:rsidRPr="00A8576F">
        <w:rPr>
          <w:rFonts w:eastAsia="MS Mincho" w:cs="Arial"/>
          <w:szCs w:val="24"/>
        </w:rPr>
        <w:t xml:space="preserve">or legislative obligations of secrecy or confidentiality, including </w:t>
      </w:r>
      <w:r w:rsidR="0050255C" w:rsidRPr="00A8576F">
        <w:rPr>
          <w:rFonts w:eastAsia="MS Mincho" w:cs="Arial"/>
          <w:szCs w:val="24"/>
        </w:rPr>
        <w:t xml:space="preserve">information </w:t>
      </w:r>
      <w:r w:rsidR="006505A0" w:rsidRPr="00A8576F">
        <w:rPr>
          <w:rFonts w:eastAsia="MS Mincho" w:cs="Arial"/>
          <w:szCs w:val="24"/>
        </w:rPr>
        <w:t xml:space="preserve">protected under applicable privacy legislation or contractual </w:t>
      </w:r>
      <w:proofErr w:type="gramStart"/>
      <w:r w:rsidR="006505A0" w:rsidRPr="00A8576F">
        <w:rPr>
          <w:rFonts w:eastAsia="MS Mincho" w:cs="Arial"/>
          <w:szCs w:val="24"/>
        </w:rPr>
        <w:t>arrangements</w:t>
      </w:r>
      <w:r w:rsidR="00847BB8" w:rsidRPr="00A8576F">
        <w:rPr>
          <w:rFonts w:eastAsia="MS Mincho" w:cs="Arial"/>
          <w:szCs w:val="24"/>
        </w:rPr>
        <w:t>;</w:t>
      </w:r>
      <w:proofErr w:type="gramEnd"/>
    </w:p>
    <w:p w14:paraId="73B93159" w14:textId="764103A5" w:rsidR="00C52077" w:rsidRPr="00A8576F" w:rsidRDefault="007A1469" w:rsidP="009A71C8">
      <w:pPr>
        <w:spacing w:after="120"/>
        <w:ind w:left="851"/>
        <w:jc w:val="both"/>
        <w:rPr>
          <w:rFonts w:eastAsia="MS Mincho" w:cs="Arial"/>
          <w:szCs w:val="24"/>
        </w:rPr>
      </w:pPr>
      <w:r w:rsidRPr="00A8576F">
        <w:rPr>
          <w:rFonts w:eastAsia="MS Mincho" w:cs="Arial"/>
          <w:b/>
          <w:bCs/>
          <w:szCs w:val="24"/>
        </w:rPr>
        <w:t>“</w:t>
      </w:r>
      <w:r w:rsidR="005B5DD8" w:rsidRPr="00A8576F">
        <w:rPr>
          <w:rFonts w:eastAsia="MS Mincho" w:cs="Arial"/>
          <w:b/>
          <w:bCs/>
          <w:szCs w:val="24"/>
        </w:rPr>
        <w:t>d</w:t>
      </w:r>
      <w:r w:rsidR="002B471B" w:rsidRPr="00A8576F">
        <w:rPr>
          <w:rFonts w:eastAsia="MS Mincho" w:cs="Arial"/>
          <w:b/>
          <w:bCs/>
          <w:szCs w:val="24"/>
        </w:rPr>
        <w:t>isclosure</w:t>
      </w:r>
      <w:r w:rsidRPr="00A8576F">
        <w:rPr>
          <w:rFonts w:eastAsia="MS Mincho" w:cs="Arial"/>
          <w:b/>
          <w:bCs/>
          <w:szCs w:val="24"/>
        </w:rPr>
        <w:t>”</w:t>
      </w:r>
      <w:r w:rsidR="002B471B" w:rsidRPr="00A8576F">
        <w:rPr>
          <w:rFonts w:eastAsia="MS Mincho" w:cs="Arial"/>
          <w:szCs w:val="24"/>
        </w:rPr>
        <w:t xml:space="preserve"> means the publication of information publicly, either directly or by reference to information disclosed under other law or legal </w:t>
      </w:r>
      <w:proofErr w:type="gramStart"/>
      <w:r w:rsidR="002B471B" w:rsidRPr="00A8576F">
        <w:rPr>
          <w:rFonts w:eastAsia="MS Mincho" w:cs="Arial"/>
          <w:szCs w:val="24"/>
        </w:rPr>
        <w:t>obligation</w:t>
      </w:r>
      <w:r w:rsidR="005B5DD8" w:rsidRPr="00A8576F">
        <w:rPr>
          <w:rFonts w:eastAsia="MS Mincho" w:cs="Arial"/>
          <w:szCs w:val="24"/>
        </w:rPr>
        <w:t>;</w:t>
      </w:r>
      <w:proofErr w:type="gramEnd"/>
    </w:p>
    <w:p w14:paraId="550055A9" w14:textId="559B225B" w:rsidR="00C52077" w:rsidRPr="00A8576F" w:rsidRDefault="007A1469" w:rsidP="009A71C8">
      <w:pPr>
        <w:spacing w:after="120"/>
        <w:ind w:left="851"/>
        <w:jc w:val="both"/>
        <w:rPr>
          <w:rFonts w:eastAsia="MS Mincho" w:cs="Arial"/>
          <w:szCs w:val="24"/>
        </w:rPr>
      </w:pPr>
      <w:r w:rsidRPr="00A8576F">
        <w:rPr>
          <w:rFonts w:eastAsia="MS Mincho" w:cs="Arial"/>
          <w:b/>
          <w:bCs/>
          <w:szCs w:val="24"/>
        </w:rPr>
        <w:t>“</w:t>
      </w:r>
      <w:proofErr w:type="gramStart"/>
      <w:r w:rsidRPr="00A8576F">
        <w:rPr>
          <w:rFonts w:eastAsia="MS Mincho" w:cs="Arial"/>
          <w:b/>
          <w:bCs/>
          <w:szCs w:val="24"/>
        </w:rPr>
        <w:t>f</w:t>
      </w:r>
      <w:r w:rsidR="00EC643B" w:rsidRPr="00A8576F">
        <w:rPr>
          <w:rFonts w:eastAsia="MS Mincho" w:cs="Arial"/>
          <w:b/>
          <w:bCs/>
          <w:szCs w:val="24"/>
        </w:rPr>
        <w:t>inancial</w:t>
      </w:r>
      <w:proofErr w:type="gramEnd"/>
      <w:r w:rsidR="00EC643B" w:rsidRPr="00A8576F">
        <w:rPr>
          <w:rFonts w:eastAsia="MS Mincho" w:cs="Arial"/>
          <w:b/>
          <w:bCs/>
          <w:szCs w:val="24"/>
        </w:rPr>
        <w:t xml:space="preserve"> year</w:t>
      </w:r>
      <w:r w:rsidRPr="00A8576F">
        <w:rPr>
          <w:rFonts w:eastAsia="MS Mincho" w:cs="Arial"/>
          <w:b/>
          <w:bCs/>
          <w:szCs w:val="24"/>
        </w:rPr>
        <w:t>”</w:t>
      </w:r>
      <w:r w:rsidR="00EC643B" w:rsidRPr="00A8576F">
        <w:rPr>
          <w:rFonts w:eastAsia="MS Mincho" w:cs="Arial"/>
          <w:szCs w:val="24"/>
        </w:rPr>
        <w:t xml:space="preserve"> means the 12-month period for which an insurer prepares its financial </w:t>
      </w:r>
      <w:proofErr w:type="gramStart"/>
      <w:r w:rsidR="00EC643B" w:rsidRPr="00A8576F">
        <w:rPr>
          <w:rFonts w:eastAsia="MS Mincho" w:cs="Arial"/>
          <w:szCs w:val="24"/>
        </w:rPr>
        <w:t>statements</w:t>
      </w:r>
      <w:r w:rsidR="00847BB8" w:rsidRPr="00A8576F">
        <w:rPr>
          <w:rFonts w:eastAsia="MS Mincho" w:cs="Arial"/>
          <w:szCs w:val="24"/>
        </w:rPr>
        <w:t>;</w:t>
      </w:r>
      <w:proofErr w:type="gramEnd"/>
    </w:p>
    <w:p w14:paraId="0FA2F076" w14:textId="1A94E93E" w:rsidR="007E762A" w:rsidRPr="00A8576F" w:rsidRDefault="007A1469" w:rsidP="005022B4">
      <w:pPr>
        <w:spacing w:after="120"/>
        <w:ind w:left="851"/>
        <w:jc w:val="both"/>
        <w:rPr>
          <w:rFonts w:eastAsia="MS Mincho" w:cs="Arial"/>
          <w:szCs w:val="24"/>
        </w:rPr>
      </w:pPr>
      <w:r w:rsidRPr="00A8576F">
        <w:rPr>
          <w:rFonts w:eastAsia="MS Mincho" w:cs="Arial"/>
          <w:b/>
          <w:bCs/>
          <w:szCs w:val="24"/>
        </w:rPr>
        <w:t>“I</w:t>
      </w:r>
      <w:r w:rsidR="0050255C" w:rsidRPr="00A8576F">
        <w:rPr>
          <w:rFonts w:eastAsia="MS Mincho" w:cs="Arial"/>
          <w:b/>
          <w:bCs/>
          <w:szCs w:val="24"/>
        </w:rPr>
        <w:t>FRS</w:t>
      </w:r>
      <w:r w:rsidRPr="00A8576F">
        <w:rPr>
          <w:rFonts w:eastAsia="MS Mincho" w:cs="Arial"/>
          <w:b/>
          <w:bCs/>
          <w:szCs w:val="24"/>
        </w:rPr>
        <w:t>”</w:t>
      </w:r>
      <w:r w:rsidR="0050255C" w:rsidRPr="00A8576F">
        <w:rPr>
          <w:rFonts w:eastAsia="MS Mincho" w:cs="Arial"/>
          <w:szCs w:val="24"/>
        </w:rPr>
        <w:t xml:space="preserve"> means the International Financial Reporting Standards as issued by the International Accounting Standards </w:t>
      </w:r>
      <w:proofErr w:type="gramStart"/>
      <w:r w:rsidR="0050255C" w:rsidRPr="00A8576F">
        <w:rPr>
          <w:rFonts w:eastAsia="MS Mincho" w:cs="Arial"/>
          <w:szCs w:val="24"/>
        </w:rPr>
        <w:t>Board</w:t>
      </w:r>
      <w:r w:rsidR="009C5789" w:rsidRPr="00A8576F">
        <w:rPr>
          <w:rFonts w:eastAsia="MS Mincho" w:cs="Arial"/>
          <w:szCs w:val="24"/>
        </w:rPr>
        <w:t>;</w:t>
      </w:r>
      <w:proofErr w:type="gramEnd"/>
    </w:p>
    <w:p w14:paraId="0560E0C0" w14:textId="67F79315" w:rsidR="00302287" w:rsidRPr="00F55104" w:rsidRDefault="00E40EE8" w:rsidP="00F55104">
      <w:pPr>
        <w:spacing w:after="120"/>
        <w:ind w:left="851"/>
        <w:jc w:val="both"/>
        <w:rPr>
          <w:rFonts w:eastAsia="MS Mincho" w:cs="Arial"/>
          <w:szCs w:val="24"/>
        </w:rPr>
      </w:pPr>
      <w:r w:rsidRPr="00E40EE8">
        <w:rPr>
          <w:rFonts w:eastAsia="MS Mincho" w:cs="Arial"/>
          <w:szCs w:val="24"/>
        </w:rPr>
        <w:t>“</w:t>
      </w:r>
      <w:proofErr w:type="gramStart"/>
      <w:r w:rsidR="00005A7D" w:rsidRPr="00A8576F">
        <w:rPr>
          <w:rFonts w:eastAsia="MS Mincho" w:cs="Arial"/>
          <w:b/>
          <w:bCs/>
          <w:szCs w:val="24"/>
        </w:rPr>
        <w:t>material</w:t>
      </w:r>
      <w:proofErr w:type="gramEnd"/>
      <w:r w:rsidR="00164D40">
        <w:rPr>
          <w:rFonts w:eastAsia="MS Mincho" w:cs="Arial"/>
          <w:b/>
          <w:bCs/>
          <w:szCs w:val="24"/>
        </w:rPr>
        <w:t xml:space="preserve"> information</w:t>
      </w:r>
      <w:r w:rsidR="007A1469" w:rsidRPr="00A8576F">
        <w:rPr>
          <w:rFonts w:eastAsia="MS Mincho" w:cs="Arial"/>
          <w:b/>
          <w:bCs/>
          <w:szCs w:val="24"/>
        </w:rPr>
        <w:t>”</w:t>
      </w:r>
      <w:r w:rsidR="00005A7D" w:rsidRPr="00A8576F">
        <w:rPr>
          <w:rFonts w:eastAsia="MS Mincho" w:cs="Arial"/>
          <w:szCs w:val="24"/>
        </w:rPr>
        <w:t xml:space="preserve"> means information, which, in its </w:t>
      </w:r>
      <w:r w:rsidR="00194363" w:rsidRPr="00A8576F">
        <w:rPr>
          <w:rFonts w:eastAsia="MS Mincho" w:cs="Arial"/>
          <w:szCs w:val="24"/>
        </w:rPr>
        <w:t>omission,</w:t>
      </w:r>
      <w:r w:rsidR="00005A7D" w:rsidRPr="00A8576F">
        <w:rPr>
          <w:rFonts w:eastAsia="MS Mincho" w:cs="Arial"/>
          <w:szCs w:val="24"/>
        </w:rPr>
        <w:t xml:space="preserve"> misstatement </w:t>
      </w:r>
      <w:r w:rsidR="000D1CB5" w:rsidRPr="00A8576F">
        <w:rPr>
          <w:rFonts w:eastAsia="MS Mincho" w:cs="Arial"/>
          <w:szCs w:val="24"/>
        </w:rPr>
        <w:t>or obfuscation</w:t>
      </w:r>
      <w:r w:rsidR="00005A7D" w:rsidRPr="00A8576F">
        <w:rPr>
          <w:rFonts w:eastAsia="MS Mincho" w:cs="Arial"/>
          <w:szCs w:val="24"/>
        </w:rPr>
        <w:t xml:space="preserve">, may reasonably be expected to influence the decision-making of the </w:t>
      </w:r>
      <w:r w:rsidR="000D1CB5" w:rsidRPr="00A8576F">
        <w:rPr>
          <w:rFonts w:eastAsia="MS Mincho" w:cs="Arial"/>
          <w:szCs w:val="24"/>
        </w:rPr>
        <w:t>stakeholders</w:t>
      </w:r>
      <w:r w:rsidR="00005A7D" w:rsidRPr="00A8576F">
        <w:rPr>
          <w:rFonts w:eastAsia="MS Mincho" w:cs="Arial"/>
          <w:szCs w:val="24"/>
        </w:rPr>
        <w:t xml:space="preserve"> of the disclosed </w:t>
      </w:r>
      <w:proofErr w:type="gramStart"/>
      <w:r w:rsidR="00005A7D" w:rsidRPr="00A8576F">
        <w:rPr>
          <w:rFonts w:eastAsia="MS Mincho" w:cs="Arial"/>
          <w:szCs w:val="24"/>
        </w:rPr>
        <w:t>information;</w:t>
      </w:r>
      <w:proofErr w:type="gramEnd"/>
    </w:p>
    <w:p w14:paraId="0C27426A" w14:textId="0C6E7A92" w:rsidR="00A613C4" w:rsidRPr="00A8576F" w:rsidRDefault="00F92B45" w:rsidP="005022B4">
      <w:pPr>
        <w:spacing w:after="120"/>
        <w:ind w:left="851"/>
        <w:jc w:val="both"/>
        <w:rPr>
          <w:rFonts w:eastAsia="MS Mincho" w:cs="Arial"/>
          <w:szCs w:val="24"/>
        </w:rPr>
      </w:pPr>
      <w:r w:rsidRPr="00A8576F">
        <w:rPr>
          <w:rFonts w:eastAsia="MS Mincho" w:cs="Arial"/>
          <w:b/>
          <w:bCs/>
          <w:szCs w:val="24"/>
        </w:rPr>
        <w:t>“</w:t>
      </w:r>
      <w:r w:rsidR="00CE28BB" w:rsidRPr="00A8576F">
        <w:rPr>
          <w:rFonts w:eastAsia="MS Mincho" w:cs="Arial"/>
          <w:b/>
          <w:bCs/>
          <w:szCs w:val="24"/>
        </w:rPr>
        <w:t>p</w:t>
      </w:r>
      <w:r w:rsidRPr="00A8576F">
        <w:rPr>
          <w:rFonts w:eastAsia="MS Mincho" w:cs="Arial"/>
          <w:b/>
          <w:bCs/>
          <w:szCs w:val="24"/>
        </w:rPr>
        <w:t>latform”</w:t>
      </w:r>
      <w:r w:rsidR="00CE28BB" w:rsidRPr="00A8576F">
        <w:rPr>
          <w:rFonts w:eastAsia="MS Mincho" w:cs="Arial"/>
          <w:szCs w:val="24"/>
        </w:rPr>
        <w:t xml:space="preserve"> means </w:t>
      </w:r>
      <w:r w:rsidR="0045407B" w:rsidRPr="00A8576F">
        <w:rPr>
          <w:rFonts w:eastAsia="MS Mincho" w:cs="Arial"/>
          <w:szCs w:val="24"/>
        </w:rPr>
        <w:t>a</w:t>
      </w:r>
      <w:r w:rsidR="009F4E23" w:rsidRPr="00A8576F">
        <w:rPr>
          <w:rFonts w:eastAsia="MS Mincho" w:cs="Arial"/>
          <w:szCs w:val="24"/>
        </w:rPr>
        <w:t>ny facility, whether</w:t>
      </w:r>
      <w:r w:rsidR="00AA130B" w:rsidRPr="00A8576F">
        <w:rPr>
          <w:rFonts w:eastAsia="MS Mincho" w:cs="Arial"/>
          <w:szCs w:val="24"/>
        </w:rPr>
        <w:t xml:space="preserve"> digital, online or otherwise, through which prescribed information is made publicly accessible to stakeholders</w:t>
      </w:r>
      <w:r w:rsidR="00892356">
        <w:rPr>
          <w:rFonts w:eastAsia="MS Mincho" w:cs="Arial"/>
          <w:szCs w:val="24"/>
        </w:rPr>
        <w:t xml:space="preserve"> (</w:t>
      </w:r>
      <w:r w:rsidR="00A54226">
        <w:rPr>
          <w:rFonts w:eastAsia="MS Mincho" w:cs="Arial"/>
          <w:szCs w:val="24"/>
        </w:rPr>
        <w:t>free access with no registration)</w:t>
      </w:r>
      <w:r w:rsidR="00AA130B" w:rsidRPr="00A8576F">
        <w:rPr>
          <w:rFonts w:eastAsia="MS Mincho" w:cs="Arial"/>
          <w:szCs w:val="24"/>
        </w:rPr>
        <w:t xml:space="preserve">. This </w:t>
      </w:r>
      <w:r w:rsidR="00262D6B" w:rsidRPr="00A8576F">
        <w:rPr>
          <w:rFonts w:eastAsia="MS Mincho" w:cs="Arial"/>
          <w:szCs w:val="24"/>
        </w:rPr>
        <w:t>m</w:t>
      </w:r>
      <w:r w:rsidR="00AA130B" w:rsidRPr="00A8576F">
        <w:rPr>
          <w:rFonts w:eastAsia="MS Mincho" w:cs="Arial"/>
          <w:szCs w:val="24"/>
        </w:rPr>
        <w:t>a</w:t>
      </w:r>
      <w:r w:rsidR="00262D6B" w:rsidRPr="00A8576F">
        <w:rPr>
          <w:rFonts w:eastAsia="MS Mincho" w:cs="Arial"/>
          <w:szCs w:val="24"/>
        </w:rPr>
        <w:t>y include websites, electronic portals, mobile applications or, where applicable, physical publication methods</w:t>
      </w:r>
      <w:r w:rsidR="00841591" w:rsidRPr="00A8576F">
        <w:rPr>
          <w:rFonts w:eastAsia="MS Mincho" w:cs="Arial"/>
          <w:szCs w:val="24"/>
        </w:rPr>
        <w:t xml:space="preserve">. The platform may be managed directly by the insurer or by a </w:t>
      </w:r>
      <w:r w:rsidR="00925846" w:rsidRPr="00A8576F">
        <w:rPr>
          <w:rFonts w:eastAsia="MS Mincho" w:cs="Arial"/>
          <w:szCs w:val="24"/>
        </w:rPr>
        <w:t>third-party</w:t>
      </w:r>
      <w:r w:rsidR="00841591" w:rsidRPr="00A8576F">
        <w:rPr>
          <w:rFonts w:eastAsia="MS Mincho" w:cs="Arial"/>
          <w:szCs w:val="24"/>
        </w:rPr>
        <w:t xml:space="preserve"> service provider</w:t>
      </w:r>
      <w:r w:rsidR="005072C6" w:rsidRPr="00A8576F">
        <w:rPr>
          <w:rFonts w:eastAsia="MS Mincho" w:cs="Arial"/>
          <w:szCs w:val="24"/>
        </w:rPr>
        <w:t xml:space="preserve">, provided that the information remains accessible to stakeholders in a clear and understandable </w:t>
      </w:r>
      <w:proofErr w:type="gramStart"/>
      <w:r w:rsidR="00F32FCB" w:rsidRPr="00A8576F">
        <w:rPr>
          <w:rFonts w:eastAsia="MS Mincho" w:cs="Arial"/>
          <w:szCs w:val="24"/>
        </w:rPr>
        <w:t>manner;</w:t>
      </w:r>
      <w:proofErr w:type="gramEnd"/>
    </w:p>
    <w:p w14:paraId="2D527F69" w14:textId="1FE7202F" w:rsidR="007E762A" w:rsidRPr="00A8576F" w:rsidRDefault="00E136DC" w:rsidP="005022B4">
      <w:pPr>
        <w:spacing w:after="120"/>
        <w:ind w:left="851"/>
        <w:jc w:val="both"/>
        <w:rPr>
          <w:rFonts w:eastAsia="MS Mincho" w:cs="Arial"/>
          <w:szCs w:val="24"/>
        </w:rPr>
      </w:pPr>
      <w:r w:rsidRPr="00A8576F">
        <w:rPr>
          <w:rFonts w:eastAsia="MS Mincho" w:cs="Arial"/>
          <w:b/>
          <w:bCs/>
          <w:szCs w:val="24"/>
        </w:rPr>
        <w:t>“</w:t>
      </w:r>
      <w:proofErr w:type="gramStart"/>
      <w:r w:rsidRPr="00A8576F">
        <w:rPr>
          <w:rFonts w:eastAsia="MS Mincho" w:cs="Arial"/>
          <w:b/>
          <w:bCs/>
          <w:szCs w:val="24"/>
        </w:rPr>
        <w:t>prescribed</w:t>
      </w:r>
      <w:proofErr w:type="gramEnd"/>
      <w:r w:rsidRPr="00A8576F">
        <w:rPr>
          <w:rFonts w:eastAsia="MS Mincho" w:cs="Arial"/>
          <w:b/>
          <w:bCs/>
          <w:szCs w:val="24"/>
        </w:rPr>
        <w:t xml:space="preserve"> information” </w:t>
      </w:r>
      <w:r w:rsidRPr="00A8576F">
        <w:rPr>
          <w:rFonts w:eastAsia="MS Mincho" w:cs="Arial"/>
          <w:szCs w:val="24"/>
        </w:rPr>
        <w:t xml:space="preserve">means </w:t>
      </w:r>
      <w:r w:rsidR="00A334E0" w:rsidRPr="00A8576F">
        <w:rPr>
          <w:rFonts w:eastAsia="MS Mincho" w:cs="Arial"/>
          <w:szCs w:val="24"/>
        </w:rPr>
        <w:t>the set of qualit</w:t>
      </w:r>
      <w:r w:rsidR="004106A9" w:rsidRPr="00A8576F">
        <w:rPr>
          <w:rFonts w:eastAsia="MS Mincho" w:cs="Arial"/>
          <w:szCs w:val="24"/>
        </w:rPr>
        <w:t xml:space="preserve">ative and quantitative </w:t>
      </w:r>
      <w:r w:rsidR="004750BF" w:rsidRPr="00A8576F">
        <w:rPr>
          <w:rFonts w:eastAsia="MS Mincho" w:cs="Arial"/>
          <w:szCs w:val="24"/>
        </w:rPr>
        <w:t>disclosures</w:t>
      </w:r>
      <w:r w:rsidR="004106A9" w:rsidRPr="00A8576F">
        <w:rPr>
          <w:rFonts w:eastAsia="MS Mincho" w:cs="Arial"/>
          <w:szCs w:val="24"/>
        </w:rPr>
        <w:t xml:space="preserve"> that an insurer is required to make publicly in terms of this Standard</w:t>
      </w:r>
      <w:r w:rsidR="00E93674" w:rsidRPr="00A8576F">
        <w:rPr>
          <w:rFonts w:eastAsia="MS Mincho" w:cs="Arial"/>
          <w:szCs w:val="24"/>
        </w:rPr>
        <w:t xml:space="preserve">, </w:t>
      </w:r>
      <w:r w:rsidR="0028297E" w:rsidRPr="00A8576F">
        <w:rPr>
          <w:rFonts w:eastAsia="MS Mincho" w:cs="Arial"/>
          <w:szCs w:val="24"/>
        </w:rPr>
        <w:t>including</w:t>
      </w:r>
      <w:r w:rsidR="00E93674" w:rsidRPr="00A8576F">
        <w:rPr>
          <w:rFonts w:eastAsia="MS Mincho" w:cs="Arial"/>
          <w:szCs w:val="24"/>
        </w:rPr>
        <w:t xml:space="preserve"> all material information </w:t>
      </w:r>
      <w:r w:rsidR="0028297E" w:rsidRPr="00A8576F">
        <w:rPr>
          <w:rFonts w:eastAsia="MS Mincho" w:cs="Arial"/>
          <w:szCs w:val="24"/>
        </w:rPr>
        <w:t xml:space="preserve">specified or contemplated in this Standard, </w:t>
      </w:r>
      <w:r w:rsidR="00E93674" w:rsidRPr="00A8576F">
        <w:rPr>
          <w:rFonts w:eastAsia="MS Mincho" w:cs="Arial"/>
          <w:szCs w:val="24"/>
        </w:rPr>
        <w:t>to enable stakeholders</w:t>
      </w:r>
      <w:r w:rsidR="00627087" w:rsidRPr="00A8576F">
        <w:rPr>
          <w:rFonts w:eastAsia="MS Mincho" w:cs="Arial"/>
          <w:szCs w:val="24"/>
        </w:rPr>
        <w:t xml:space="preserve"> to assess the insurer’s business profile</w:t>
      </w:r>
      <w:r w:rsidR="006A4D27" w:rsidRPr="00A8576F">
        <w:rPr>
          <w:rFonts w:eastAsia="MS Mincho" w:cs="Arial"/>
          <w:szCs w:val="24"/>
        </w:rPr>
        <w:t xml:space="preserve">, governance </w:t>
      </w:r>
      <w:r w:rsidR="007E762A" w:rsidRPr="00A8576F">
        <w:rPr>
          <w:rFonts w:eastAsia="MS Mincho" w:cs="Arial"/>
          <w:szCs w:val="24"/>
        </w:rPr>
        <w:t>arrangements</w:t>
      </w:r>
      <w:r w:rsidR="006A4D27" w:rsidRPr="00A8576F">
        <w:rPr>
          <w:rFonts w:eastAsia="MS Mincho" w:cs="Arial"/>
          <w:szCs w:val="24"/>
        </w:rPr>
        <w:t>, risk exposure</w:t>
      </w:r>
      <w:r w:rsidR="0028297E" w:rsidRPr="00A8576F">
        <w:rPr>
          <w:rFonts w:eastAsia="MS Mincho" w:cs="Arial"/>
          <w:szCs w:val="24"/>
        </w:rPr>
        <w:t>s</w:t>
      </w:r>
      <w:r w:rsidR="006A4D27" w:rsidRPr="00A8576F">
        <w:rPr>
          <w:rFonts w:eastAsia="MS Mincho" w:cs="Arial"/>
          <w:szCs w:val="24"/>
        </w:rPr>
        <w:t xml:space="preserve">, capital adequacy and financial </w:t>
      </w:r>
      <w:proofErr w:type="gramStart"/>
      <w:r w:rsidR="006A4D27" w:rsidRPr="00A8576F">
        <w:rPr>
          <w:rFonts w:eastAsia="MS Mincho" w:cs="Arial"/>
          <w:szCs w:val="24"/>
        </w:rPr>
        <w:t>condition;</w:t>
      </w:r>
      <w:proofErr w:type="gramEnd"/>
    </w:p>
    <w:p w14:paraId="2C3FF612" w14:textId="1E1F684E" w:rsidR="007E762A" w:rsidRPr="00A8576F" w:rsidRDefault="007A1469" w:rsidP="005022B4">
      <w:pPr>
        <w:spacing w:after="120"/>
        <w:ind w:left="851"/>
        <w:jc w:val="both"/>
        <w:rPr>
          <w:rFonts w:eastAsia="MS Mincho" w:cs="Arial"/>
          <w:szCs w:val="24"/>
        </w:rPr>
      </w:pPr>
      <w:r w:rsidRPr="00A8576F">
        <w:rPr>
          <w:rFonts w:eastAsia="MS Mincho" w:cs="Arial"/>
          <w:b/>
          <w:bCs/>
          <w:szCs w:val="24"/>
        </w:rPr>
        <w:t>“</w:t>
      </w:r>
      <w:proofErr w:type="gramStart"/>
      <w:r w:rsidR="006F611D" w:rsidRPr="00A8576F">
        <w:rPr>
          <w:rFonts w:eastAsia="MS Mincho" w:cs="Arial"/>
          <w:b/>
          <w:bCs/>
          <w:szCs w:val="24"/>
        </w:rPr>
        <w:t>qualitative</w:t>
      </w:r>
      <w:proofErr w:type="gramEnd"/>
      <w:r w:rsidR="006F611D" w:rsidRPr="00A8576F">
        <w:rPr>
          <w:rFonts w:eastAsia="MS Mincho" w:cs="Arial"/>
          <w:b/>
          <w:bCs/>
          <w:szCs w:val="24"/>
        </w:rPr>
        <w:t xml:space="preserve"> information</w:t>
      </w:r>
      <w:r w:rsidRPr="00A8576F">
        <w:rPr>
          <w:rFonts w:eastAsia="MS Mincho" w:cs="Arial"/>
          <w:b/>
          <w:bCs/>
          <w:szCs w:val="24"/>
        </w:rPr>
        <w:t>”</w:t>
      </w:r>
      <w:r w:rsidR="006F611D" w:rsidRPr="00A8576F">
        <w:rPr>
          <w:rFonts w:eastAsia="MS Mincho" w:cs="Arial"/>
          <w:szCs w:val="24"/>
        </w:rPr>
        <w:t xml:space="preserve"> means </w:t>
      </w:r>
      <w:r w:rsidR="00327D7D" w:rsidRPr="00A8576F">
        <w:rPr>
          <w:rFonts w:eastAsia="MS Mincho" w:cs="Arial"/>
          <w:szCs w:val="24"/>
        </w:rPr>
        <w:t>non-numerical information that provides contex</w:t>
      </w:r>
      <w:r w:rsidR="00F009E9" w:rsidRPr="00A8576F">
        <w:rPr>
          <w:rFonts w:eastAsia="MS Mincho" w:cs="Arial"/>
          <w:szCs w:val="24"/>
        </w:rPr>
        <w:t>t</w:t>
      </w:r>
      <w:r w:rsidR="00327D7D" w:rsidRPr="00A8576F">
        <w:rPr>
          <w:rFonts w:eastAsia="MS Mincho" w:cs="Arial"/>
          <w:szCs w:val="24"/>
        </w:rPr>
        <w:t>, explanat</w:t>
      </w:r>
      <w:r w:rsidR="00F009E9" w:rsidRPr="00A8576F">
        <w:rPr>
          <w:rFonts w:eastAsia="MS Mincho" w:cs="Arial"/>
          <w:szCs w:val="24"/>
        </w:rPr>
        <w:t>ion</w:t>
      </w:r>
      <w:r w:rsidR="00327D7D" w:rsidRPr="00A8576F">
        <w:rPr>
          <w:rFonts w:eastAsia="MS Mincho" w:cs="Arial"/>
          <w:szCs w:val="24"/>
        </w:rPr>
        <w:t xml:space="preserve"> or </w:t>
      </w:r>
      <w:r w:rsidR="006F611D" w:rsidRPr="00A8576F">
        <w:rPr>
          <w:rFonts w:eastAsia="MS Mincho" w:cs="Arial"/>
          <w:szCs w:val="24"/>
        </w:rPr>
        <w:t>descripti</w:t>
      </w:r>
      <w:r w:rsidR="00F009E9" w:rsidRPr="00A8576F">
        <w:rPr>
          <w:rFonts w:eastAsia="MS Mincho" w:cs="Arial"/>
          <w:szCs w:val="24"/>
        </w:rPr>
        <w:t xml:space="preserve">on regarding </w:t>
      </w:r>
      <w:r w:rsidR="00327D7D" w:rsidRPr="00A8576F">
        <w:rPr>
          <w:rFonts w:eastAsia="MS Mincho" w:cs="Arial"/>
          <w:szCs w:val="24"/>
        </w:rPr>
        <w:t xml:space="preserve">the insurer’s business, </w:t>
      </w:r>
      <w:r w:rsidR="006F611D" w:rsidRPr="00A8576F">
        <w:rPr>
          <w:rFonts w:eastAsia="MS Mincho" w:cs="Arial"/>
          <w:szCs w:val="24"/>
        </w:rPr>
        <w:t>including governance, risk management</w:t>
      </w:r>
      <w:r w:rsidR="00923423" w:rsidRPr="00A8576F">
        <w:rPr>
          <w:rFonts w:eastAsia="MS Mincho" w:cs="Arial"/>
          <w:szCs w:val="24"/>
        </w:rPr>
        <w:t xml:space="preserve"> practices</w:t>
      </w:r>
      <w:r w:rsidR="006F611D" w:rsidRPr="00A8576F">
        <w:rPr>
          <w:rFonts w:eastAsia="MS Mincho" w:cs="Arial"/>
          <w:szCs w:val="24"/>
        </w:rPr>
        <w:t xml:space="preserve">, internal controls, and material </w:t>
      </w:r>
      <w:proofErr w:type="gramStart"/>
      <w:r w:rsidR="006F611D" w:rsidRPr="00A8576F">
        <w:rPr>
          <w:rFonts w:eastAsia="MS Mincho" w:cs="Arial"/>
          <w:szCs w:val="24"/>
        </w:rPr>
        <w:t>developments</w:t>
      </w:r>
      <w:r w:rsidR="001538FF" w:rsidRPr="00A8576F">
        <w:rPr>
          <w:rFonts w:eastAsia="MS Mincho" w:cs="Arial"/>
          <w:szCs w:val="24"/>
        </w:rPr>
        <w:t>;</w:t>
      </w:r>
      <w:proofErr w:type="gramEnd"/>
    </w:p>
    <w:p w14:paraId="79576181" w14:textId="56B6232A" w:rsidR="00340C1C" w:rsidRPr="00A8576F" w:rsidRDefault="007A1469" w:rsidP="005022B4">
      <w:pPr>
        <w:spacing w:after="120"/>
        <w:ind w:left="851"/>
        <w:jc w:val="both"/>
        <w:rPr>
          <w:rFonts w:eastAsia="MS Mincho" w:cs="Arial"/>
          <w:szCs w:val="24"/>
        </w:rPr>
      </w:pPr>
      <w:r w:rsidRPr="00A8576F">
        <w:rPr>
          <w:rFonts w:eastAsia="MS Mincho" w:cs="Arial"/>
          <w:b/>
          <w:bCs/>
          <w:szCs w:val="24"/>
        </w:rPr>
        <w:lastRenderedPageBreak/>
        <w:t>“</w:t>
      </w:r>
      <w:proofErr w:type="gramStart"/>
      <w:r w:rsidR="003C6FB3" w:rsidRPr="00A8576F">
        <w:rPr>
          <w:rFonts w:eastAsia="MS Mincho" w:cs="Arial"/>
          <w:b/>
          <w:bCs/>
          <w:szCs w:val="24"/>
        </w:rPr>
        <w:t>quantitative</w:t>
      </w:r>
      <w:proofErr w:type="gramEnd"/>
      <w:r w:rsidR="003C6FB3" w:rsidRPr="00A8576F">
        <w:rPr>
          <w:rFonts w:eastAsia="MS Mincho" w:cs="Arial"/>
          <w:b/>
          <w:bCs/>
          <w:szCs w:val="24"/>
        </w:rPr>
        <w:t xml:space="preserve"> </w:t>
      </w:r>
      <w:r w:rsidR="00D61538" w:rsidRPr="00A8576F">
        <w:rPr>
          <w:rFonts w:eastAsia="MS Mincho" w:cs="Arial"/>
          <w:b/>
          <w:bCs/>
          <w:szCs w:val="24"/>
        </w:rPr>
        <w:t>i</w:t>
      </w:r>
      <w:r w:rsidR="003C6FB3" w:rsidRPr="00A8576F">
        <w:rPr>
          <w:rFonts w:eastAsia="MS Mincho" w:cs="Arial"/>
          <w:b/>
          <w:bCs/>
          <w:szCs w:val="24"/>
        </w:rPr>
        <w:t>nformation</w:t>
      </w:r>
      <w:r w:rsidRPr="00A8576F">
        <w:rPr>
          <w:rFonts w:eastAsia="MS Mincho" w:cs="Arial"/>
          <w:b/>
          <w:bCs/>
          <w:szCs w:val="24"/>
        </w:rPr>
        <w:t>”</w:t>
      </w:r>
      <w:r w:rsidR="003C6FB3" w:rsidRPr="00A8576F">
        <w:rPr>
          <w:rFonts w:eastAsia="MS Mincho" w:cs="Arial"/>
          <w:szCs w:val="24"/>
        </w:rPr>
        <w:t xml:space="preserve"> means numerical </w:t>
      </w:r>
      <w:r w:rsidR="00327D7D" w:rsidRPr="00A8576F">
        <w:rPr>
          <w:rFonts w:eastAsia="MS Mincho" w:cs="Arial"/>
          <w:szCs w:val="24"/>
        </w:rPr>
        <w:t xml:space="preserve">or </w:t>
      </w:r>
      <w:r w:rsidR="002C1CDF" w:rsidRPr="00A8576F">
        <w:rPr>
          <w:rFonts w:eastAsia="MS Mincho" w:cs="Arial"/>
          <w:szCs w:val="24"/>
        </w:rPr>
        <w:t xml:space="preserve">otherwise </w:t>
      </w:r>
      <w:r w:rsidR="00327D7D" w:rsidRPr="00A8576F">
        <w:rPr>
          <w:rFonts w:eastAsia="MS Mincho" w:cs="Arial"/>
          <w:szCs w:val="24"/>
        </w:rPr>
        <w:t xml:space="preserve">measurable information </w:t>
      </w:r>
      <w:r w:rsidR="003C6FB3" w:rsidRPr="00A8576F">
        <w:rPr>
          <w:rFonts w:eastAsia="MS Mincho" w:cs="Arial"/>
          <w:szCs w:val="24"/>
        </w:rPr>
        <w:t xml:space="preserve">relating to </w:t>
      </w:r>
      <w:r w:rsidR="002C1CDF" w:rsidRPr="00A8576F">
        <w:rPr>
          <w:rFonts w:eastAsia="MS Mincho" w:cs="Arial"/>
          <w:szCs w:val="24"/>
        </w:rPr>
        <w:t xml:space="preserve">the insurer’s </w:t>
      </w:r>
      <w:r w:rsidR="003C6FB3" w:rsidRPr="00A8576F">
        <w:rPr>
          <w:rFonts w:eastAsia="MS Mincho" w:cs="Arial"/>
          <w:szCs w:val="24"/>
        </w:rPr>
        <w:t xml:space="preserve">financial performance, capital adequacy, solvency, technical provisions, investment portfolio and risk </w:t>
      </w:r>
      <w:proofErr w:type="gramStart"/>
      <w:r w:rsidR="003C6FB3" w:rsidRPr="00A8576F">
        <w:rPr>
          <w:rFonts w:eastAsia="MS Mincho" w:cs="Arial"/>
          <w:szCs w:val="24"/>
        </w:rPr>
        <w:t>metrics</w:t>
      </w:r>
      <w:r w:rsidR="00D61538" w:rsidRPr="00A8576F">
        <w:rPr>
          <w:rFonts w:eastAsia="MS Mincho" w:cs="Arial"/>
          <w:szCs w:val="24"/>
        </w:rPr>
        <w:t>;</w:t>
      </w:r>
      <w:proofErr w:type="gramEnd"/>
    </w:p>
    <w:p w14:paraId="20ABF58F" w14:textId="246FE8E9" w:rsidR="00DE51DA" w:rsidRPr="00DE51DA" w:rsidRDefault="007A1469" w:rsidP="00DE51DA">
      <w:pPr>
        <w:spacing w:after="120"/>
        <w:ind w:left="851"/>
        <w:jc w:val="both"/>
        <w:rPr>
          <w:rFonts w:eastAsia="MS Mincho" w:cs="Arial"/>
          <w:szCs w:val="24"/>
        </w:rPr>
      </w:pPr>
      <w:r w:rsidRPr="00A8576F">
        <w:rPr>
          <w:rFonts w:eastAsia="MS Mincho" w:cs="Arial"/>
          <w:b/>
          <w:bCs/>
          <w:szCs w:val="24"/>
        </w:rPr>
        <w:t>“</w:t>
      </w:r>
      <w:r w:rsidR="0056720A" w:rsidRPr="00A8576F">
        <w:rPr>
          <w:rFonts w:eastAsia="MS Mincho" w:cs="Arial"/>
          <w:b/>
          <w:bCs/>
          <w:szCs w:val="24"/>
        </w:rPr>
        <w:t>s</w:t>
      </w:r>
      <w:r w:rsidR="00005A7D" w:rsidRPr="00A8576F">
        <w:rPr>
          <w:rFonts w:eastAsia="MS Mincho" w:cs="Arial"/>
          <w:b/>
          <w:bCs/>
          <w:szCs w:val="24"/>
        </w:rPr>
        <w:t>takeholder</w:t>
      </w:r>
      <w:r w:rsidR="000D1CB5" w:rsidRPr="00A8576F">
        <w:rPr>
          <w:rFonts w:eastAsia="MS Mincho" w:cs="Arial"/>
          <w:b/>
          <w:bCs/>
          <w:szCs w:val="24"/>
        </w:rPr>
        <w:t>s</w:t>
      </w:r>
      <w:r w:rsidRPr="00A8576F">
        <w:rPr>
          <w:rFonts w:eastAsia="MS Mincho" w:cs="Arial"/>
          <w:b/>
          <w:bCs/>
          <w:szCs w:val="24"/>
        </w:rPr>
        <w:t>”</w:t>
      </w:r>
      <w:r w:rsidR="00C70963" w:rsidRPr="00A8576F">
        <w:rPr>
          <w:rFonts w:eastAsia="MS Mincho" w:cs="Arial"/>
          <w:szCs w:val="24"/>
        </w:rPr>
        <w:t xml:space="preserve"> </w:t>
      </w:r>
      <w:r w:rsidR="0050255C" w:rsidRPr="00A8576F">
        <w:rPr>
          <w:rFonts w:eastAsia="MS Mincho" w:cs="Arial"/>
          <w:szCs w:val="24"/>
        </w:rPr>
        <w:t xml:space="preserve">means </w:t>
      </w:r>
      <w:r w:rsidR="00327D7D" w:rsidRPr="00A8576F">
        <w:rPr>
          <w:rFonts w:eastAsia="MS Mincho" w:cs="Arial"/>
          <w:szCs w:val="24"/>
        </w:rPr>
        <w:t xml:space="preserve">any person or entity </w:t>
      </w:r>
      <w:r w:rsidR="006505A0" w:rsidRPr="00A8576F">
        <w:rPr>
          <w:rFonts w:eastAsia="MS Mincho" w:cs="Arial"/>
          <w:szCs w:val="24"/>
        </w:rPr>
        <w:t xml:space="preserve">that can reasonably be expected to have </w:t>
      </w:r>
      <w:r w:rsidR="00327D7D" w:rsidRPr="00A8576F">
        <w:rPr>
          <w:rFonts w:eastAsia="MS Mincho" w:cs="Arial"/>
          <w:szCs w:val="24"/>
        </w:rPr>
        <w:t>an interest in</w:t>
      </w:r>
      <w:r w:rsidR="006505A0" w:rsidRPr="00A8576F">
        <w:rPr>
          <w:rFonts w:eastAsia="MS Mincho" w:cs="Arial"/>
          <w:szCs w:val="24"/>
        </w:rPr>
        <w:t xml:space="preserve">, or be affected by, the insurer’s business, including policyholders, </w:t>
      </w:r>
      <w:r w:rsidR="00327D7D" w:rsidRPr="00A8576F">
        <w:rPr>
          <w:rFonts w:eastAsia="MS Mincho" w:cs="Arial"/>
          <w:szCs w:val="24"/>
        </w:rPr>
        <w:t xml:space="preserve">potential policyholders, </w:t>
      </w:r>
      <w:r w:rsidR="00C70963" w:rsidRPr="00A8576F">
        <w:rPr>
          <w:rFonts w:eastAsia="MS Mincho" w:cs="Arial"/>
          <w:szCs w:val="24"/>
        </w:rPr>
        <w:t>investors</w:t>
      </w:r>
      <w:r w:rsidR="009E0382" w:rsidRPr="00A8576F">
        <w:rPr>
          <w:rFonts w:eastAsia="MS Mincho" w:cs="Arial"/>
          <w:szCs w:val="24"/>
        </w:rPr>
        <w:t xml:space="preserve">, </w:t>
      </w:r>
      <w:r w:rsidR="00327D7D" w:rsidRPr="00A8576F">
        <w:rPr>
          <w:rFonts w:eastAsia="MS Mincho" w:cs="Arial"/>
          <w:szCs w:val="24"/>
        </w:rPr>
        <w:t>beneficiaries and other</w:t>
      </w:r>
      <w:r w:rsidR="006505A0" w:rsidRPr="00A8576F">
        <w:rPr>
          <w:rFonts w:eastAsia="MS Mincho" w:cs="Arial"/>
          <w:szCs w:val="24"/>
        </w:rPr>
        <w:t xml:space="preserve"> members of the public</w:t>
      </w:r>
      <w:r w:rsidR="009C5789" w:rsidRPr="002A5A21">
        <w:rPr>
          <w:rFonts w:eastAsia="MS Mincho" w:cs="Arial"/>
          <w:szCs w:val="24"/>
        </w:rPr>
        <w:t>;</w:t>
      </w:r>
      <w:r w:rsidR="007E762A" w:rsidRPr="002A5A21">
        <w:rPr>
          <w:rFonts w:eastAsia="MS Mincho" w:cs="Arial"/>
          <w:szCs w:val="24"/>
        </w:rPr>
        <w:t xml:space="preserve"> </w:t>
      </w:r>
      <w:r w:rsidR="000D1DC6" w:rsidRPr="002A5A21">
        <w:rPr>
          <w:rFonts w:eastAsia="MS Mincho" w:cs="Arial"/>
          <w:szCs w:val="24"/>
        </w:rPr>
        <w:t>and</w:t>
      </w:r>
    </w:p>
    <w:p w14:paraId="0399EB01" w14:textId="38373590" w:rsidR="0050255C" w:rsidRPr="00A8576F" w:rsidRDefault="00DE51DA" w:rsidP="00DE51DA">
      <w:pPr>
        <w:spacing w:after="120"/>
        <w:ind w:left="851"/>
        <w:jc w:val="both"/>
        <w:rPr>
          <w:rFonts w:eastAsia="MS Mincho" w:cs="Arial"/>
          <w:szCs w:val="24"/>
        </w:rPr>
      </w:pPr>
      <w:r>
        <w:rPr>
          <w:rFonts w:eastAsia="MS Mincho" w:cs="Arial"/>
          <w:szCs w:val="24"/>
        </w:rPr>
        <w:t>“</w:t>
      </w:r>
      <w:r w:rsidR="0050255C" w:rsidRPr="00DE51DA">
        <w:rPr>
          <w:rFonts w:eastAsia="MS Mincho" w:cs="Arial"/>
          <w:b/>
          <w:bCs/>
          <w:szCs w:val="24"/>
        </w:rPr>
        <w:t>technical provisions</w:t>
      </w:r>
      <w:r w:rsidR="002A5A21" w:rsidRPr="00DE51DA">
        <w:rPr>
          <w:rFonts w:eastAsia="MS Mincho" w:cs="Arial"/>
          <w:szCs w:val="24"/>
        </w:rPr>
        <w:t>”</w:t>
      </w:r>
      <w:r w:rsidR="00EE2959" w:rsidRPr="00DE51DA">
        <w:rPr>
          <w:rFonts w:eastAsia="MS Mincho" w:cs="Arial"/>
          <w:szCs w:val="24"/>
        </w:rPr>
        <w:t xml:space="preserve"> </w:t>
      </w:r>
      <w:r w:rsidR="00666D99" w:rsidRPr="00DE51DA">
        <w:rPr>
          <w:rFonts w:eastAsia="MS Mincho" w:cs="Arial"/>
          <w:szCs w:val="24"/>
        </w:rPr>
        <w:t xml:space="preserve">means </w:t>
      </w:r>
      <w:r w:rsidR="00EE2959" w:rsidRPr="00A8576F">
        <w:rPr>
          <w:rFonts w:eastAsia="MS Mincho" w:cs="Arial"/>
          <w:szCs w:val="24"/>
        </w:rPr>
        <w:t xml:space="preserve">the </w:t>
      </w:r>
      <w:r w:rsidR="007E762A" w:rsidRPr="00A8576F">
        <w:rPr>
          <w:rFonts w:eastAsia="MS Mincho" w:cs="Arial"/>
          <w:szCs w:val="24"/>
        </w:rPr>
        <w:t xml:space="preserve">amount representing an insurer’s quantified insurance obligations, calculated in accordance with the valuation principles and requirements set out in the Prudential Financial Soundness Standard on Valuation of Technical Provisions (FSI 2.2), comprising a best estimate of future cash flows and an appropriate risk margin, and representing the amount the insurer must set aside to ensure it can meet all future obligations to policyholders as they fall due. </w:t>
      </w:r>
    </w:p>
    <w:p w14:paraId="0501986F" w14:textId="77777777" w:rsidR="00F8286C" w:rsidRPr="00A8576F" w:rsidRDefault="00F8286C" w:rsidP="00DE51DA">
      <w:pPr>
        <w:spacing w:after="120"/>
        <w:ind w:left="851"/>
        <w:jc w:val="both"/>
        <w:rPr>
          <w:rFonts w:eastAsia="MS Mincho" w:cs="Arial"/>
          <w:szCs w:val="24"/>
        </w:rPr>
      </w:pPr>
    </w:p>
    <w:p w14:paraId="150F3195" w14:textId="0038EFDA" w:rsidR="00573C5D" w:rsidRPr="00A8576F" w:rsidRDefault="00F8286C" w:rsidP="004D5B05">
      <w:pPr>
        <w:pStyle w:val="Heading1"/>
      </w:pPr>
      <w:bookmarkStart w:id="3" w:name="_Toc221717255"/>
      <w:r w:rsidRPr="00A8576F">
        <w:t>Application</w:t>
      </w:r>
      <w:bookmarkEnd w:id="3"/>
    </w:p>
    <w:p w14:paraId="18FB4808" w14:textId="77777777" w:rsidR="001121BD" w:rsidRPr="00A8576F" w:rsidRDefault="001121BD" w:rsidP="0045726B">
      <w:pPr>
        <w:pStyle w:val="Default"/>
        <w:ind w:left="851"/>
        <w:jc w:val="both"/>
        <w:rPr>
          <w:b/>
          <w:bCs/>
        </w:rPr>
      </w:pPr>
    </w:p>
    <w:p w14:paraId="6EB67CF8" w14:textId="3FDD58CC" w:rsidR="006B2478" w:rsidRPr="00A8576F" w:rsidRDefault="00F8286C" w:rsidP="0045726B">
      <w:pPr>
        <w:pStyle w:val="ListParagraph"/>
        <w:numPr>
          <w:ilvl w:val="1"/>
          <w:numId w:val="1"/>
        </w:numPr>
        <w:jc w:val="both"/>
        <w:rPr>
          <w:rFonts w:cs="Arial"/>
          <w:szCs w:val="24"/>
        </w:rPr>
      </w:pPr>
      <w:r w:rsidRPr="00A8576F">
        <w:rPr>
          <w:rFonts w:cs="Arial"/>
          <w:szCs w:val="24"/>
        </w:rPr>
        <w:t xml:space="preserve">This Standard applies to all insurers licensed under the </w:t>
      </w:r>
      <w:r w:rsidR="00F306FA" w:rsidRPr="00A8576F">
        <w:rPr>
          <w:rFonts w:cs="Arial"/>
          <w:szCs w:val="24"/>
        </w:rPr>
        <w:t xml:space="preserve">Insurance </w:t>
      </w:r>
      <w:r w:rsidRPr="00A8576F">
        <w:rPr>
          <w:rFonts w:cs="Arial"/>
          <w:szCs w:val="24"/>
        </w:rPr>
        <w:t>Act,</w:t>
      </w:r>
      <w:r w:rsidR="00684F4D" w:rsidRPr="00A8576F">
        <w:rPr>
          <w:rFonts w:cs="Arial"/>
          <w:szCs w:val="24"/>
        </w:rPr>
        <w:t xml:space="preserve"> </w:t>
      </w:r>
      <w:r w:rsidRPr="00A8576F">
        <w:rPr>
          <w:rFonts w:cs="Arial"/>
          <w:szCs w:val="24"/>
        </w:rPr>
        <w:t xml:space="preserve">other than </w:t>
      </w:r>
      <w:proofErr w:type="spellStart"/>
      <w:r w:rsidRPr="00A8576F">
        <w:rPr>
          <w:rFonts w:cs="Arial"/>
          <w:szCs w:val="24"/>
        </w:rPr>
        <w:t>microinsurers</w:t>
      </w:r>
      <w:proofErr w:type="spellEnd"/>
      <w:r w:rsidRPr="00A8576F">
        <w:rPr>
          <w:rFonts w:cs="Arial"/>
          <w:szCs w:val="24"/>
        </w:rPr>
        <w:t xml:space="preserve">, </w:t>
      </w:r>
      <w:r w:rsidR="00204E6D" w:rsidRPr="00A8576F">
        <w:rPr>
          <w:rFonts w:cs="Arial"/>
          <w:szCs w:val="24"/>
        </w:rPr>
        <w:t xml:space="preserve">groups, </w:t>
      </w:r>
      <w:r w:rsidR="005740D1" w:rsidRPr="00A8576F">
        <w:rPr>
          <w:rFonts w:cs="Arial"/>
          <w:szCs w:val="24"/>
        </w:rPr>
        <w:t xml:space="preserve">controlling companies, </w:t>
      </w:r>
      <w:r w:rsidRPr="00A8576F">
        <w:rPr>
          <w:rFonts w:cs="Arial"/>
          <w:szCs w:val="24"/>
        </w:rPr>
        <w:t>Lloyd’s and branches of foreign reinsurers.</w:t>
      </w:r>
    </w:p>
    <w:p w14:paraId="0DF70E07" w14:textId="77777777" w:rsidR="00573C5D" w:rsidRPr="00A8576F" w:rsidRDefault="00573C5D" w:rsidP="0045726B">
      <w:pPr>
        <w:jc w:val="both"/>
        <w:rPr>
          <w:rFonts w:cs="Arial"/>
          <w:szCs w:val="24"/>
        </w:rPr>
      </w:pPr>
    </w:p>
    <w:p w14:paraId="735B7C05" w14:textId="263BA947" w:rsidR="00BF47F5" w:rsidRPr="00A8576F" w:rsidRDefault="00BF47F5" w:rsidP="004D5B05">
      <w:pPr>
        <w:pStyle w:val="Heading1"/>
        <w:rPr>
          <w:rFonts w:eastAsia="MS Mincho"/>
        </w:rPr>
      </w:pPr>
      <w:bookmarkStart w:id="4" w:name="_Toc221717256"/>
      <w:r w:rsidRPr="00A8576F">
        <w:rPr>
          <w:rFonts w:eastAsia="MS Mincho"/>
        </w:rPr>
        <w:t>Roles and responsibilities</w:t>
      </w:r>
      <w:bookmarkEnd w:id="4"/>
    </w:p>
    <w:p w14:paraId="52F3C190" w14:textId="77777777" w:rsidR="001121BD" w:rsidRPr="00A8576F" w:rsidRDefault="001121BD" w:rsidP="0045726B">
      <w:pPr>
        <w:pStyle w:val="Default"/>
        <w:ind w:left="851"/>
        <w:jc w:val="both"/>
        <w:rPr>
          <w:rFonts w:eastAsia="MS Mincho"/>
          <w:b/>
          <w:bCs/>
        </w:rPr>
      </w:pPr>
    </w:p>
    <w:p w14:paraId="4900C1A7" w14:textId="5962DD35" w:rsidR="008F5C53" w:rsidRPr="00797FEF" w:rsidRDefault="002C3DAD" w:rsidP="00797FEF">
      <w:pPr>
        <w:pStyle w:val="ListParagraph"/>
        <w:numPr>
          <w:ilvl w:val="1"/>
          <w:numId w:val="1"/>
        </w:numPr>
        <w:jc w:val="both"/>
        <w:rPr>
          <w:rFonts w:eastAsia="MS Mincho" w:cs="Arial"/>
          <w:szCs w:val="24"/>
        </w:rPr>
      </w:pPr>
      <w:r w:rsidRPr="00A8576F">
        <w:rPr>
          <w:rFonts w:eastAsia="MS Mincho" w:cs="Arial"/>
          <w:szCs w:val="24"/>
        </w:rPr>
        <w:t xml:space="preserve">The </w:t>
      </w:r>
      <w:r w:rsidR="001C4192" w:rsidRPr="00A8576F">
        <w:rPr>
          <w:rFonts w:eastAsia="MS Mincho" w:cs="Arial"/>
          <w:szCs w:val="24"/>
        </w:rPr>
        <w:t>b</w:t>
      </w:r>
      <w:r w:rsidR="000D1DC6" w:rsidRPr="00A8576F">
        <w:rPr>
          <w:rFonts w:eastAsia="MS Mincho" w:cs="Arial"/>
          <w:szCs w:val="24"/>
        </w:rPr>
        <w:t>oard</w:t>
      </w:r>
      <w:r w:rsidR="00C558B1" w:rsidRPr="00A8576F">
        <w:rPr>
          <w:rFonts w:eastAsia="MS Mincho" w:cs="Arial"/>
          <w:szCs w:val="24"/>
        </w:rPr>
        <w:t xml:space="preserve"> </w:t>
      </w:r>
      <w:r w:rsidRPr="00A8576F">
        <w:rPr>
          <w:rFonts w:eastAsia="MS Mincho" w:cs="Arial"/>
          <w:szCs w:val="24"/>
        </w:rPr>
        <w:t>is ultimately responsible for ensuring that the insurer complies with the principles and requirements of this Standard</w:t>
      </w:r>
      <w:r w:rsidR="001F2A76" w:rsidRPr="00A8576F">
        <w:rPr>
          <w:rFonts w:eastAsia="MS Mincho" w:cs="Arial"/>
          <w:szCs w:val="24"/>
        </w:rPr>
        <w:t xml:space="preserve">, including ensuring that any approvals from the Authority related to public disclosure requirements are obtained </w:t>
      </w:r>
      <w:r w:rsidR="00B4490E">
        <w:rPr>
          <w:rFonts w:eastAsia="MS Mincho" w:cs="Arial"/>
          <w:szCs w:val="24"/>
        </w:rPr>
        <w:t>in a timely manner</w:t>
      </w:r>
      <w:r w:rsidR="001F2A76" w:rsidRPr="00A8576F">
        <w:rPr>
          <w:rFonts w:eastAsia="MS Mincho" w:cs="Arial"/>
          <w:szCs w:val="24"/>
        </w:rPr>
        <w:t>.</w:t>
      </w:r>
      <w:r w:rsidR="261C77CE" w:rsidRPr="00A8576F">
        <w:rPr>
          <w:rFonts w:eastAsia="MS Mincho" w:cs="Arial"/>
          <w:szCs w:val="24"/>
        </w:rPr>
        <w:t xml:space="preserve"> </w:t>
      </w:r>
    </w:p>
    <w:p w14:paraId="77EC223D" w14:textId="63D68CCE" w:rsidR="008F5C53" w:rsidRPr="00797FEF" w:rsidRDefault="0041220C" w:rsidP="008F5C53">
      <w:pPr>
        <w:pStyle w:val="ListParagraph"/>
        <w:numPr>
          <w:ilvl w:val="1"/>
          <w:numId w:val="1"/>
        </w:numPr>
        <w:jc w:val="both"/>
        <w:rPr>
          <w:rFonts w:eastAsia="MS Mincho" w:cs="Arial"/>
          <w:szCs w:val="24"/>
        </w:rPr>
      </w:pPr>
      <w:r w:rsidRPr="00A8576F">
        <w:rPr>
          <w:rFonts w:eastAsia="MS Mincho" w:cs="Arial"/>
          <w:szCs w:val="24"/>
        </w:rPr>
        <w:t xml:space="preserve">The </w:t>
      </w:r>
      <w:r w:rsidR="00577208" w:rsidRPr="00A8576F">
        <w:rPr>
          <w:rFonts w:eastAsia="MS Mincho" w:cs="Arial"/>
          <w:szCs w:val="24"/>
        </w:rPr>
        <w:t>b</w:t>
      </w:r>
      <w:r w:rsidRPr="00A8576F">
        <w:rPr>
          <w:rFonts w:eastAsia="MS Mincho" w:cs="Arial"/>
          <w:szCs w:val="24"/>
        </w:rPr>
        <w:t>oard must</w:t>
      </w:r>
      <w:r w:rsidR="007E79FE" w:rsidRPr="00A8576F">
        <w:rPr>
          <w:rFonts w:eastAsia="MS Mincho" w:cs="Arial"/>
          <w:szCs w:val="24"/>
        </w:rPr>
        <w:t xml:space="preserve"> </w:t>
      </w:r>
      <w:r w:rsidR="00D354FE" w:rsidRPr="00A8576F">
        <w:rPr>
          <w:rFonts w:eastAsia="MS Mincho" w:cs="Arial"/>
          <w:szCs w:val="24"/>
        </w:rPr>
        <w:t>a</w:t>
      </w:r>
      <w:r w:rsidRPr="00A8576F">
        <w:rPr>
          <w:rFonts w:eastAsia="MS Mincho" w:cs="Arial"/>
          <w:szCs w:val="24"/>
        </w:rPr>
        <w:t xml:space="preserve">pprove and oversee the </w:t>
      </w:r>
      <w:r w:rsidR="007E79FE" w:rsidRPr="00A8576F">
        <w:rPr>
          <w:rFonts w:eastAsia="MS Mincho" w:cs="Arial"/>
          <w:szCs w:val="24"/>
        </w:rPr>
        <w:t xml:space="preserve">insurer’s </w:t>
      </w:r>
      <w:r w:rsidRPr="00A8576F">
        <w:rPr>
          <w:rFonts w:eastAsia="MS Mincho" w:cs="Arial"/>
          <w:szCs w:val="24"/>
        </w:rPr>
        <w:t xml:space="preserve">public disclosure </w:t>
      </w:r>
      <w:r w:rsidR="007E79FE" w:rsidRPr="00A8576F">
        <w:rPr>
          <w:rFonts w:eastAsia="MS Mincho" w:cs="Arial"/>
          <w:szCs w:val="24"/>
        </w:rPr>
        <w:t xml:space="preserve">framework </w:t>
      </w:r>
      <w:r w:rsidR="001F2A76" w:rsidRPr="00A8576F">
        <w:rPr>
          <w:rFonts w:eastAsia="MS Mincho" w:cs="Arial"/>
          <w:szCs w:val="24"/>
        </w:rPr>
        <w:t>and</w:t>
      </w:r>
      <w:r w:rsidR="007E79FE" w:rsidRPr="00A8576F">
        <w:rPr>
          <w:rFonts w:eastAsia="MS Mincho" w:cs="Arial"/>
          <w:szCs w:val="24"/>
        </w:rPr>
        <w:t xml:space="preserve"> </w:t>
      </w:r>
      <w:r w:rsidR="00D354FE" w:rsidRPr="00A8576F">
        <w:rPr>
          <w:rFonts w:eastAsia="MS Mincho" w:cs="Arial"/>
          <w:szCs w:val="24"/>
        </w:rPr>
        <w:t>e</w:t>
      </w:r>
      <w:r w:rsidRPr="00A8576F">
        <w:rPr>
          <w:rFonts w:eastAsia="MS Mincho" w:cs="Arial"/>
          <w:szCs w:val="24"/>
        </w:rPr>
        <w:t xml:space="preserve">nsure adequate governance and </w:t>
      </w:r>
      <w:r w:rsidR="007E79FE" w:rsidRPr="00A8576F">
        <w:rPr>
          <w:rFonts w:eastAsia="MS Mincho" w:cs="Arial"/>
          <w:szCs w:val="24"/>
        </w:rPr>
        <w:t xml:space="preserve">internal </w:t>
      </w:r>
      <w:r w:rsidRPr="00A8576F">
        <w:rPr>
          <w:rFonts w:eastAsia="MS Mincho" w:cs="Arial"/>
          <w:szCs w:val="24"/>
        </w:rPr>
        <w:t xml:space="preserve">controls exist </w:t>
      </w:r>
      <w:r w:rsidR="00E028DD">
        <w:rPr>
          <w:rFonts w:eastAsia="MS Mincho" w:cs="Arial"/>
          <w:szCs w:val="24"/>
        </w:rPr>
        <w:t>for</w:t>
      </w:r>
      <w:r w:rsidRPr="00A8576F">
        <w:rPr>
          <w:rFonts w:eastAsia="MS Mincho" w:cs="Arial"/>
          <w:szCs w:val="24"/>
        </w:rPr>
        <w:t xml:space="preserve"> the preparation and publication of disclosed information</w:t>
      </w:r>
      <w:r w:rsidR="001F2A76" w:rsidRPr="00A8576F">
        <w:rPr>
          <w:rFonts w:eastAsia="MS Mincho" w:cs="Arial"/>
          <w:szCs w:val="24"/>
        </w:rPr>
        <w:t xml:space="preserve">. This includes ensuring that internal processes </w:t>
      </w:r>
      <w:r w:rsidR="00D91066">
        <w:rPr>
          <w:rFonts w:eastAsia="MS Mincho" w:cs="Arial"/>
          <w:szCs w:val="24"/>
        </w:rPr>
        <w:t>are in place</w:t>
      </w:r>
      <w:r w:rsidR="001F2A76" w:rsidRPr="00A8576F">
        <w:rPr>
          <w:rFonts w:eastAsia="MS Mincho" w:cs="Arial"/>
          <w:szCs w:val="24"/>
        </w:rPr>
        <w:t xml:space="preserve"> to verify the quality and reliability of both qualitative and quantitative information disclosed. </w:t>
      </w:r>
    </w:p>
    <w:p w14:paraId="1EED5B1F" w14:textId="38E4A2C3" w:rsidR="008F5C53" w:rsidRPr="00BF11D4" w:rsidRDefault="007E79FE" w:rsidP="008F5C53">
      <w:pPr>
        <w:pStyle w:val="ListParagraph"/>
        <w:numPr>
          <w:ilvl w:val="1"/>
          <w:numId w:val="1"/>
        </w:numPr>
        <w:jc w:val="both"/>
        <w:rPr>
          <w:rFonts w:eastAsia="MS Mincho" w:cs="Arial"/>
          <w:szCs w:val="24"/>
        </w:rPr>
      </w:pPr>
      <w:r w:rsidRPr="00A8576F">
        <w:rPr>
          <w:rFonts w:eastAsia="MS Mincho" w:cs="Arial"/>
          <w:szCs w:val="24"/>
        </w:rPr>
        <w:t xml:space="preserve">The board must </w:t>
      </w:r>
      <w:r w:rsidR="00D354FE" w:rsidRPr="00A8576F">
        <w:rPr>
          <w:rFonts w:eastAsia="MS Mincho" w:cs="Arial"/>
          <w:szCs w:val="24"/>
        </w:rPr>
        <w:t>r</w:t>
      </w:r>
      <w:r w:rsidR="0041220C" w:rsidRPr="00A8576F">
        <w:rPr>
          <w:rFonts w:eastAsia="MS Mincho" w:cs="Arial"/>
          <w:szCs w:val="24"/>
        </w:rPr>
        <w:t xml:space="preserve">eview and confirm that </w:t>
      </w:r>
      <w:r w:rsidRPr="00A8576F">
        <w:rPr>
          <w:rFonts w:eastAsia="MS Mincho" w:cs="Arial"/>
          <w:szCs w:val="24"/>
        </w:rPr>
        <w:t xml:space="preserve">all information disclosed is </w:t>
      </w:r>
      <w:r w:rsidR="0041220C" w:rsidRPr="00A8576F">
        <w:rPr>
          <w:rFonts w:eastAsia="MS Mincho" w:cs="Arial"/>
          <w:szCs w:val="24"/>
        </w:rPr>
        <w:t>accurate, complete</w:t>
      </w:r>
      <w:r w:rsidR="005E77E0">
        <w:rPr>
          <w:rFonts w:eastAsia="MS Mincho" w:cs="Arial"/>
          <w:szCs w:val="24"/>
        </w:rPr>
        <w:t xml:space="preserve"> </w:t>
      </w:r>
      <w:r w:rsidR="0041220C" w:rsidRPr="00A8576F">
        <w:rPr>
          <w:rFonts w:eastAsia="MS Mincho" w:cs="Arial"/>
          <w:szCs w:val="24"/>
        </w:rPr>
        <w:t>and understandable</w:t>
      </w:r>
      <w:r w:rsidR="005E77E0">
        <w:rPr>
          <w:rFonts w:eastAsia="MS Mincho" w:cs="Arial"/>
          <w:szCs w:val="24"/>
        </w:rPr>
        <w:t>,</w:t>
      </w:r>
      <w:r w:rsidR="001F2A76" w:rsidRPr="00A8576F">
        <w:rPr>
          <w:rFonts w:eastAsia="MS Mincho" w:cs="Arial"/>
          <w:szCs w:val="24"/>
        </w:rPr>
        <w:t xml:space="preserve"> and that disclosures are made in accordance with the frequency and format required by this Standard.</w:t>
      </w:r>
    </w:p>
    <w:p w14:paraId="21AAA7EB" w14:textId="2606660E" w:rsidR="008F5C53" w:rsidRPr="00BF11D4" w:rsidRDefault="0041220C" w:rsidP="008F5C53">
      <w:pPr>
        <w:pStyle w:val="ListParagraph"/>
        <w:numPr>
          <w:ilvl w:val="1"/>
          <w:numId w:val="1"/>
        </w:numPr>
        <w:jc w:val="both"/>
        <w:rPr>
          <w:rFonts w:eastAsia="MS Mincho" w:cs="Arial"/>
          <w:szCs w:val="24"/>
        </w:rPr>
      </w:pPr>
      <w:r w:rsidRPr="00A8576F">
        <w:rPr>
          <w:rFonts w:eastAsia="MS Mincho" w:cs="Arial"/>
          <w:szCs w:val="24"/>
        </w:rPr>
        <w:t xml:space="preserve">The </w:t>
      </w:r>
      <w:r w:rsidR="005A6F24" w:rsidRPr="00A8576F">
        <w:rPr>
          <w:rFonts w:eastAsia="MS Mincho" w:cs="Arial"/>
          <w:szCs w:val="24"/>
        </w:rPr>
        <w:t xml:space="preserve">head of </w:t>
      </w:r>
      <w:r w:rsidR="00907FBB">
        <w:rPr>
          <w:rFonts w:eastAsia="MS Mincho" w:cs="Arial"/>
          <w:szCs w:val="24"/>
        </w:rPr>
        <w:t xml:space="preserve">the </w:t>
      </w:r>
      <w:r w:rsidR="005A6F24" w:rsidRPr="00A8576F">
        <w:rPr>
          <w:rFonts w:eastAsia="MS Mincho" w:cs="Arial"/>
          <w:szCs w:val="24"/>
        </w:rPr>
        <w:t>i</w:t>
      </w:r>
      <w:r w:rsidR="00D917FE" w:rsidRPr="00A8576F">
        <w:rPr>
          <w:rFonts w:eastAsia="MS Mincho" w:cs="Arial"/>
          <w:szCs w:val="24"/>
        </w:rPr>
        <w:t xml:space="preserve">nternal audit control function </w:t>
      </w:r>
      <w:r w:rsidR="00FB28AB" w:rsidRPr="00A8576F">
        <w:rPr>
          <w:rFonts w:eastAsia="MS Mincho" w:cs="Arial"/>
          <w:szCs w:val="24"/>
        </w:rPr>
        <w:t xml:space="preserve">must </w:t>
      </w:r>
      <w:r w:rsidRPr="00A8576F">
        <w:rPr>
          <w:rFonts w:eastAsia="MS Mincho" w:cs="Arial"/>
          <w:szCs w:val="24"/>
        </w:rPr>
        <w:t xml:space="preserve">provide </w:t>
      </w:r>
      <w:r w:rsidR="002C0151">
        <w:rPr>
          <w:rFonts w:eastAsia="MS Mincho" w:cs="Arial"/>
          <w:szCs w:val="24"/>
        </w:rPr>
        <w:t xml:space="preserve">an </w:t>
      </w:r>
      <w:r w:rsidR="005A6F24" w:rsidRPr="00A8576F">
        <w:rPr>
          <w:rFonts w:eastAsia="MS Mincho" w:cs="Arial"/>
          <w:szCs w:val="24"/>
        </w:rPr>
        <w:t xml:space="preserve">independent </w:t>
      </w:r>
      <w:r w:rsidR="006E0460">
        <w:rPr>
          <w:rFonts w:eastAsia="MS Mincho" w:cs="Arial"/>
          <w:szCs w:val="24"/>
        </w:rPr>
        <w:t>review</w:t>
      </w:r>
      <w:r w:rsidRPr="00A8576F">
        <w:rPr>
          <w:rFonts w:eastAsia="MS Mincho" w:cs="Arial"/>
          <w:szCs w:val="24"/>
        </w:rPr>
        <w:t xml:space="preserve"> </w:t>
      </w:r>
      <w:r w:rsidR="009030D5">
        <w:rPr>
          <w:rFonts w:eastAsia="MS Mincho" w:cs="Arial"/>
          <w:szCs w:val="24"/>
        </w:rPr>
        <w:t>of</w:t>
      </w:r>
      <w:r w:rsidRPr="00A8576F">
        <w:rPr>
          <w:rFonts w:eastAsia="MS Mincho" w:cs="Arial"/>
          <w:szCs w:val="24"/>
        </w:rPr>
        <w:t xml:space="preserve"> </w:t>
      </w:r>
      <w:r w:rsidRPr="00F55104">
        <w:rPr>
          <w:rFonts w:eastAsia="MS Mincho" w:cs="Arial"/>
          <w:szCs w:val="24"/>
        </w:rPr>
        <w:t>the accuracy and reliability of the quantitative and qualitative information disclosed publicly</w:t>
      </w:r>
      <w:r w:rsidR="4BE9A599" w:rsidRPr="00F55104">
        <w:rPr>
          <w:rFonts w:eastAsia="MS Mincho" w:cs="Arial"/>
          <w:szCs w:val="24"/>
        </w:rPr>
        <w:t>,</w:t>
      </w:r>
      <w:r w:rsidR="4BE9A599" w:rsidRPr="00A8576F">
        <w:rPr>
          <w:rFonts w:eastAsia="MS Mincho" w:cs="Arial"/>
          <w:szCs w:val="24"/>
        </w:rPr>
        <w:t xml:space="preserve"> including information</w:t>
      </w:r>
      <w:r w:rsidR="00F83DE9">
        <w:rPr>
          <w:rFonts w:eastAsia="MS Mincho" w:cs="Arial"/>
          <w:szCs w:val="24"/>
        </w:rPr>
        <w:t xml:space="preserve"> </w:t>
      </w:r>
      <w:r w:rsidR="0003441D">
        <w:rPr>
          <w:rFonts w:eastAsia="MS Mincho" w:cs="Arial"/>
          <w:szCs w:val="24"/>
        </w:rPr>
        <w:t>on</w:t>
      </w:r>
      <w:r w:rsidR="00F83DE9">
        <w:rPr>
          <w:rFonts w:eastAsia="MS Mincho" w:cs="Arial"/>
          <w:szCs w:val="24"/>
        </w:rPr>
        <w:t xml:space="preserve"> the</w:t>
      </w:r>
      <w:r w:rsidR="4BE9A599" w:rsidRPr="00A8576F">
        <w:rPr>
          <w:rFonts w:eastAsia="MS Mincho" w:cs="Arial"/>
          <w:szCs w:val="24"/>
        </w:rPr>
        <w:t xml:space="preserve"> </w:t>
      </w:r>
      <w:r w:rsidR="00ED43BC">
        <w:rPr>
          <w:rFonts w:eastAsia="MS Mincho" w:cs="Arial"/>
          <w:szCs w:val="24"/>
        </w:rPr>
        <w:t>website</w:t>
      </w:r>
      <w:r w:rsidR="00F83DE9">
        <w:rPr>
          <w:rFonts w:eastAsia="MS Mincho" w:cs="Arial"/>
          <w:szCs w:val="24"/>
        </w:rPr>
        <w:t>.</w:t>
      </w:r>
      <w:r w:rsidRPr="00A8576F">
        <w:rPr>
          <w:rFonts w:eastAsia="MS Mincho" w:cs="Arial"/>
          <w:szCs w:val="24"/>
        </w:rPr>
        <w:t xml:space="preserve"> </w:t>
      </w:r>
      <w:r w:rsidR="005A6F24" w:rsidRPr="00A8576F">
        <w:rPr>
          <w:rFonts w:eastAsia="MS Mincho" w:cs="Arial"/>
          <w:szCs w:val="24"/>
        </w:rPr>
        <w:t xml:space="preserve">The function must also review the processes and controls supporting public disclosures to assess their effectiveness, and report findings and recommendations to the board. </w:t>
      </w:r>
    </w:p>
    <w:p w14:paraId="1D7159F1" w14:textId="2BA7F6B3" w:rsidR="0041220C" w:rsidRPr="00A8576F" w:rsidRDefault="0017432C" w:rsidP="0045726B">
      <w:pPr>
        <w:pStyle w:val="ListParagraph"/>
        <w:numPr>
          <w:ilvl w:val="1"/>
          <w:numId w:val="1"/>
        </w:numPr>
        <w:jc w:val="both"/>
        <w:rPr>
          <w:rFonts w:eastAsia="MS Mincho" w:cs="Arial"/>
          <w:szCs w:val="24"/>
        </w:rPr>
      </w:pPr>
      <w:r w:rsidRPr="00A8576F">
        <w:rPr>
          <w:rFonts w:eastAsia="MS Mincho" w:cs="Arial"/>
          <w:szCs w:val="24"/>
        </w:rPr>
        <w:t>The head</w:t>
      </w:r>
      <w:r w:rsidR="005A6F24" w:rsidRPr="00A8576F">
        <w:rPr>
          <w:rFonts w:eastAsia="MS Mincho" w:cs="Arial"/>
          <w:szCs w:val="24"/>
        </w:rPr>
        <w:t>s</w:t>
      </w:r>
      <w:r w:rsidRPr="00A8576F">
        <w:rPr>
          <w:rFonts w:eastAsia="MS Mincho" w:cs="Arial"/>
          <w:szCs w:val="24"/>
        </w:rPr>
        <w:t xml:space="preserve"> of risk management, compliance and actuarial functions must</w:t>
      </w:r>
      <w:r w:rsidR="0041220C" w:rsidRPr="00A8576F">
        <w:rPr>
          <w:rFonts w:eastAsia="MS Mincho" w:cs="Arial"/>
          <w:szCs w:val="24"/>
        </w:rPr>
        <w:t xml:space="preserve"> perform </w:t>
      </w:r>
      <w:r w:rsidR="003D5620" w:rsidRPr="00A8576F">
        <w:rPr>
          <w:rFonts w:eastAsia="MS Mincho" w:cs="Arial"/>
          <w:szCs w:val="24"/>
        </w:rPr>
        <w:t xml:space="preserve">their </w:t>
      </w:r>
      <w:r w:rsidR="0041220C" w:rsidRPr="00A8576F">
        <w:rPr>
          <w:rFonts w:eastAsia="MS Mincho" w:cs="Arial"/>
          <w:szCs w:val="24"/>
        </w:rPr>
        <w:t xml:space="preserve">responsibilities in </w:t>
      </w:r>
      <w:r w:rsidR="003D5620" w:rsidRPr="00A8576F">
        <w:rPr>
          <w:rFonts w:eastAsia="MS Mincho" w:cs="Arial"/>
          <w:szCs w:val="24"/>
        </w:rPr>
        <w:t xml:space="preserve">accordance </w:t>
      </w:r>
      <w:r w:rsidR="0041220C" w:rsidRPr="00A8576F">
        <w:rPr>
          <w:rFonts w:eastAsia="MS Mincho" w:cs="Arial"/>
          <w:szCs w:val="24"/>
        </w:rPr>
        <w:t xml:space="preserve">with </w:t>
      </w:r>
      <w:r w:rsidR="003D5620" w:rsidRPr="00A8576F">
        <w:rPr>
          <w:rFonts w:eastAsia="MS Mincho" w:cs="Arial"/>
          <w:szCs w:val="24"/>
        </w:rPr>
        <w:t>their r</w:t>
      </w:r>
      <w:r w:rsidR="00DA4687" w:rsidRPr="00A8576F">
        <w:rPr>
          <w:rFonts w:eastAsia="MS Mincho" w:cs="Arial"/>
          <w:szCs w:val="24"/>
        </w:rPr>
        <w:t>oles as set out in Prudential Governance and Operational Standard 2 (</w:t>
      </w:r>
      <w:r w:rsidR="00DB34FC" w:rsidRPr="00A8576F">
        <w:rPr>
          <w:rFonts w:eastAsia="MS Mincho" w:cs="Arial"/>
          <w:szCs w:val="24"/>
        </w:rPr>
        <w:t>GOI</w:t>
      </w:r>
      <w:r w:rsidR="005A6F24" w:rsidRPr="00A8576F">
        <w:rPr>
          <w:rFonts w:eastAsia="MS Mincho" w:cs="Arial"/>
          <w:szCs w:val="24"/>
        </w:rPr>
        <w:t>2</w:t>
      </w:r>
      <w:r w:rsidR="002C0151" w:rsidRPr="00A8576F">
        <w:rPr>
          <w:rFonts w:eastAsia="MS Mincho" w:cs="Arial"/>
          <w:szCs w:val="24"/>
        </w:rPr>
        <w:t>)</w:t>
      </w:r>
      <w:r w:rsidR="002C0151">
        <w:rPr>
          <w:rFonts w:eastAsia="MS Mincho" w:cs="Arial"/>
          <w:szCs w:val="24"/>
        </w:rPr>
        <w:t xml:space="preserve"> and</w:t>
      </w:r>
      <w:r w:rsidR="005A6F24" w:rsidRPr="00A8576F">
        <w:rPr>
          <w:rFonts w:eastAsia="MS Mincho" w:cs="Arial"/>
          <w:szCs w:val="24"/>
        </w:rPr>
        <w:t xml:space="preserve"> provide the board with sufficient information to enable it to discharge its oversight duties relating to public disclosures. </w:t>
      </w:r>
    </w:p>
    <w:p w14:paraId="697A69EF" w14:textId="4EFF9FF5" w:rsidR="00AB5E4F" w:rsidRPr="00A8576F" w:rsidRDefault="00AB5E4F" w:rsidP="0045726B">
      <w:pPr>
        <w:ind w:left="851" w:hanging="851"/>
        <w:jc w:val="both"/>
        <w:rPr>
          <w:rFonts w:eastAsia="MS Mincho" w:cs="Arial"/>
          <w:szCs w:val="24"/>
        </w:rPr>
      </w:pPr>
    </w:p>
    <w:p w14:paraId="7327D8A2" w14:textId="196D311A" w:rsidR="004472B3" w:rsidRPr="00A8576F" w:rsidRDefault="000903D0" w:rsidP="004D5B05">
      <w:pPr>
        <w:pStyle w:val="Heading1"/>
        <w:rPr>
          <w:rFonts w:eastAsia="MS Mincho"/>
        </w:rPr>
      </w:pPr>
      <w:bookmarkStart w:id="5" w:name="_Toc221717257"/>
      <w:r w:rsidRPr="00A8576F">
        <w:rPr>
          <w:rFonts w:eastAsia="MS Mincho"/>
        </w:rPr>
        <w:t xml:space="preserve">Key </w:t>
      </w:r>
      <w:r w:rsidR="002B171A">
        <w:rPr>
          <w:rFonts w:eastAsia="MS Mincho"/>
        </w:rPr>
        <w:t>p</w:t>
      </w:r>
      <w:r w:rsidR="00E67342" w:rsidRPr="00A8576F">
        <w:rPr>
          <w:rFonts w:eastAsia="MS Mincho"/>
        </w:rPr>
        <w:t xml:space="preserve">ublic </w:t>
      </w:r>
      <w:r w:rsidR="002B171A">
        <w:rPr>
          <w:rFonts w:eastAsia="MS Mincho"/>
        </w:rPr>
        <w:t>d</w:t>
      </w:r>
      <w:r w:rsidR="00704C0B" w:rsidRPr="00A8576F">
        <w:rPr>
          <w:rFonts w:eastAsia="MS Mincho"/>
        </w:rPr>
        <w:t xml:space="preserve">isclosure </w:t>
      </w:r>
      <w:r w:rsidR="002B171A">
        <w:rPr>
          <w:rFonts w:eastAsia="MS Mincho"/>
        </w:rPr>
        <w:t>p</w:t>
      </w:r>
      <w:r w:rsidR="00704C0B" w:rsidRPr="00A8576F">
        <w:rPr>
          <w:rFonts w:eastAsia="MS Mincho"/>
        </w:rPr>
        <w:t>rinciples</w:t>
      </w:r>
      <w:bookmarkEnd w:id="5"/>
      <w:r w:rsidR="00A43B4B" w:rsidRPr="00A8576F">
        <w:rPr>
          <w:rFonts w:eastAsia="MS Mincho"/>
        </w:rPr>
        <w:t xml:space="preserve"> </w:t>
      </w:r>
    </w:p>
    <w:p w14:paraId="20140DC9" w14:textId="77777777" w:rsidR="00022F01" w:rsidRPr="00A8576F" w:rsidRDefault="00022F01" w:rsidP="0045726B">
      <w:pPr>
        <w:pStyle w:val="Default"/>
        <w:ind w:left="851" w:hanging="851"/>
        <w:jc w:val="both"/>
        <w:rPr>
          <w:rFonts w:eastAsia="MS Mincho"/>
          <w:b/>
          <w:bCs/>
        </w:rPr>
      </w:pPr>
    </w:p>
    <w:p w14:paraId="0CADA313" w14:textId="0D94FE15" w:rsidR="001E7977" w:rsidRPr="00817A4F" w:rsidRDefault="00202578" w:rsidP="00C15585">
      <w:pPr>
        <w:pStyle w:val="ListParagraph"/>
        <w:numPr>
          <w:ilvl w:val="1"/>
          <w:numId w:val="9"/>
        </w:numPr>
        <w:ind w:left="851" w:hanging="851"/>
        <w:jc w:val="both"/>
        <w:rPr>
          <w:rFonts w:eastAsia="MS Mincho" w:cs="Arial"/>
          <w:b/>
          <w:bCs/>
          <w:i/>
          <w:iCs/>
          <w:szCs w:val="24"/>
        </w:rPr>
      </w:pPr>
      <w:r w:rsidRPr="00817A4F">
        <w:rPr>
          <w:rFonts w:eastAsia="MS Mincho" w:cs="Arial"/>
          <w:b/>
          <w:bCs/>
          <w:szCs w:val="24"/>
        </w:rPr>
        <w:t>T</w:t>
      </w:r>
      <w:r w:rsidR="00AB7DAE" w:rsidRPr="00817A4F">
        <w:rPr>
          <w:rFonts w:eastAsia="MS Mincho" w:cs="Arial"/>
          <w:b/>
          <w:bCs/>
          <w:szCs w:val="24"/>
        </w:rPr>
        <w:t>ime</w:t>
      </w:r>
      <w:r w:rsidR="00324699" w:rsidRPr="00817A4F">
        <w:rPr>
          <w:rFonts w:eastAsia="MS Mincho" w:cs="Arial"/>
          <w:b/>
          <w:bCs/>
          <w:szCs w:val="24"/>
        </w:rPr>
        <w:t xml:space="preserve">ly </w:t>
      </w:r>
      <w:r w:rsidR="002B171A" w:rsidRPr="00817A4F">
        <w:rPr>
          <w:rFonts w:eastAsia="MS Mincho" w:cs="Arial"/>
          <w:b/>
          <w:bCs/>
          <w:szCs w:val="24"/>
        </w:rPr>
        <w:t>d</w:t>
      </w:r>
      <w:r w:rsidR="00324699" w:rsidRPr="00817A4F">
        <w:rPr>
          <w:rFonts w:eastAsia="MS Mincho" w:cs="Arial"/>
          <w:b/>
          <w:bCs/>
          <w:szCs w:val="24"/>
        </w:rPr>
        <w:t>isclosures</w:t>
      </w:r>
      <w:r w:rsidR="00473213" w:rsidRPr="00817A4F">
        <w:rPr>
          <w:rFonts w:eastAsia="MS Mincho" w:cs="Arial"/>
          <w:b/>
          <w:bCs/>
          <w:szCs w:val="24"/>
        </w:rPr>
        <w:t xml:space="preserve"> and </w:t>
      </w:r>
      <w:r w:rsidR="002B171A" w:rsidRPr="00817A4F">
        <w:rPr>
          <w:rFonts w:eastAsia="MS Mincho" w:cs="Arial"/>
          <w:b/>
          <w:bCs/>
          <w:szCs w:val="24"/>
        </w:rPr>
        <w:t>a</w:t>
      </w:r>
      <w:r w:rsidR="005F76B1" w:rsidRPr="00817A4F">
        <w:rPr>
          <w:rFonts w:eastAsia="MS Mincho" w:cs="Arial"/>
          <w:b/>
          <w:bCs/>
          <w:szCs w:val="24"/>
        </w:rPr>
        <w:t>ccessibility</w:t>
      </w:r>
    </w:p>
    <w:p w14:paraId="6425B4E2" w14:textId="77777777" w:rsidR="001E7977" w:rsidRPr="001E7977" w:rsidRDefault="001E7977" w:rsidP="001E7977">
      <w:pPr>
        <w:pStyle w:val="ListParagraph"/>
        <w:ind w:left="360" w:right="-1"/>
        <w:jc w:val="both"/>
        <w:rPr>
          <w:rFonts w:eastAsia="MS Mincho" w:cs="Arial"/>
          <w:i/>
          <w:iCs/>
          <w:szCs w:val="24"/>
        </w:rPr>
      </w:pPr>
    </w:p>
    <w:p w14:paraId="2BF5E052" w14:textId="27E42E04" w:rsidR="001E7977" w:rsidRDefault="001E7977" w:rsidP="00ED58FE">
      <w:pPr>
        <w:pStyle w:val="ListParagraph"/>
        <w:numPr>
          <w:ilvl w:val="2"/>
          <w:numId w:val="9"/>
        </w:numPr>
        <w:ind w:left="851" w:hanging="851"/>
        <w:jc w:val="both"/>
        <w:rPr>
          <w:rFonts w:eastAsia="MS Mincho" w:cs="Arial"/>
        </w:rPr>
      </w:pPr>
      <w:r w:rsidRPr="006F4411">
        <w:rPr>
          <w:rFonts w:eastAsia="MS Mincho" w:cs="Arial"/>
        </w:rPr>
        <w:t xml:space="preserve">Public disclosures must be made in a timely manner through a publicly accessible platform and presented in </w:t>
      </w:r>
      <w:r w:rsidR="00826DC3">
        <w:rPr>
          <w:rFonts w:eastAsia="MS Mincho" w:cs="Arial"/>
        </w:rPr>
        <w:t>an understandable manner</w:t>
      </w:r>
      <w:r w:rsidRPr="006F4411">
        <w:rPr>
          <w:rFonts w:eastAsia="MS Mincho" w:cs="Arial"/>
        </w:rPr>
        <w:t xml:space="preserve">, allowing stakeholders to locate, interpret and use the information effectively.  </w:t>
      </w:r>
    </w:p>
    <w:p w14:paraId="0A19D6F5" w14:textId="77777777" w:rsidR="0090334B" w:rsidRDefault="0090334B" w:rsidP="0090334B">
      <w:pPr>
        <w:pStyle w:val="ListParagraph"/>
        <w:ind w:left="851"/>
        <w:jc w:val="both"/>
        <w:rPr>
          <w:rFonts w:eastAsia="MS Mincho" w:cs="Arial"/>
        </w:rPr>
      </w:pPr>
    </w:p>
    <w:p w14:paraId="1C97ED56" w14:textId="77C626BE" w:rsidR="009B29CC" w:rsidRPr="00817A4F" w:rsidRDefault="004E6956" w:rsidP="00ED58FE">
      <w:pPr>
        <w:pStyle w:val="ListParagraph"/>
        <w:numPr>
          <w:ilvl w:val="1"/>
          <w:numId w:val="9"/>
        </w:numPr>
        <w:ind w:left="851" w:hanging="851"/>
        <w:jc w:val="both"/>
        <w:rPr>
          <w:rFonts w:eastAsia="MS Mincho" w:cs="Arial"/>
          <w:b/>
          <w:bCs/>
        </w:rPr>
      </w:pPr>
      <w:r w:rsidRPr="00817A4F">
        <w:rPr>
          <w:rFonts w:eastAsia="MS Mincho" w:cs="Arial"/>
          <w:b/>
          <w:bCs/>
        </w:rPr>
        <w:t xml:space="preserve">Accuracy and </w:t>
      </w:r>
      <w:r w:rsidR="002B171A" w:rsidRPr="00817A4F">
        <w:rPr>
          <w:rFonts w:eastAsia="MS Mincho" w:cs="Arial"/>
          <w:b/>
          <w:bCs/>
        </w:rPr>
        <w:t>r</w:t>
      </w:r>
      <w:r w:rsidR="0090334B" w:rsidRPr="00817A4F">
        <w:rPr>
          <w:rFonts w:eastAsia="MS Mincho" w:cs="Arial"/>
          <w:b/>
          <w:bCs/>
        </w:rPr>
        <w:t>eliability</w:t>
      </w:r>
    </w:p>
    <w:p w14:paraId="6B6183E2" w14:textId="77777777" w:rsidR="0090334B" w:rsidRDefault="0090334B" w:rsidP="0090334B">
      <w:pPr>
        <w:pStyle w:val="ListParagraph"/>
        <w:ind w:left="851"/>
        <w:jc w:val="both"/>
        <w:rPr>
          <w:rFonts w:eastAsia="MS Mincho" w:cs="Arial"/>
        </w:rPr>
      </w:pPr>
    </w:p>
    <w:p w14:paraId="697441A8" w14:textId="2971B4C9" w:rsidR="00047916" w:rsidRPr="0090334B" w:rsidRDefault="0090334B" w:rsidP="00ED58FE">
      <w:pPr>
        <w:pStyle w:val="ListParagraph"/>
        <w:numPr>
          <w:ilvl w:val="2"/>
          <w:numId w:val="9"/>
        </w:numPr>
        <w:ind w:left="851" w:hanging="851"/>
        <w:jc w:val="both"/>
        <w:rPr>
          <w:rFonts w:eastAsia="MS Mincho" w:cs="Arial"/>
        </w:rPr>
      </w:pPr>
      <w:r w:rsidRPr="0090334B">
        <w:rPr>
          <w:rFonts w:eastAsia="MS Mincho" w:cs="Arial"/>
        </w:rPr>
        <w:t>Publicly disclosed information must be accurate</w:t>
      </w:r>
      <w:r w:rsidR="00C36F9E">
        <w:rPr>
          <w:rFonts w:eastAsia="MS Mincho" w:cs="Arial"/>
        </w:rPr>
        <w:t xml:space="preserve"> and</w:t>
      </w:r>
      <w:r w:rsidRPr="0090334B">
        <w:rPr>
          <w:rFonts w:eastAsia="MS Mincho" w:cs="Arial"/>
        </w:rPr>
        <w:t xml:space="preserve"> </w:t>
      </w:r>
      <w:r w:rsidR="00C15585" w:rsidRPr="0090334B">
        <w:rPr>
          <w:rFonts w:eastAsia="MS Mincho" w:cs="Arial"/>
        </w:rPr>
        <w:t>complete and</w:t>
      </w:r>
      <w:r w:rsidRPr="0090334B">
        <w:rPr>
          <w:rFonts w:eastAsia="MS Mincho" w:cs="Arial"/>
        </w:rPr>
        <w:t xml:space="preserve"> </w:t>
      </w:r>
      <w:r w:rsidR="00C36F9E">
        <w:rPr>
          <w:rFonts w:eastAsia="MS Mincho" w:cs="Arial"/>
        </w:rPr>
        <w:t xml:space="preserve">be </w:t>
      </w:r>
      <w:r w:rsidRPr="0090334B">
        <w:rPr>
          <w:rFonts w:eastAsia="MS Mincho" w:cs="Arial"/>
        </w:rPr>
        <w:t>prepared using methodologies and</w:t>
      </w:r>
      <w:r w:rsidR="00DF0084">
        <w:rPr>
          <w:rFonts w:eastAsia="MS Mincho" w:cs="Arial"/>
        </w:rPr>
        <w:t xml:space="preserve"> key</w:t>
      </w:r>
      <w:r w:rsidRPr="0090334B">
        <w:rPr>
          <w:rFonts w:eastAsia="MS Mincho" w:cs="Arial"/>
        </w:rPr>
        <w:t xml:space="preserve"> assumptions that are reasonable and consistent with applicable prudential and professional standards.</w:t>
      </w:r>
    </w:p>
    <w:p w14:paraId="4C5B4A65" w14:textId="77777777" w:rsidR="00C55DBF" w:rsidRPr="00C55DBF" w:rsidRDefault="00C55DBF" w:rsidP="00C55DBF">
      <w:pPr>
        <w:pStyle w:val="ListParagraph"/>
        <w:ind w:left="851"/>
        <w:rPr>
          <w:rFonts w:cs="Arial"/>
          <w:vanish/>
          <w:szCs w:val="24"/>
        </w:rPr>
      </w:pPr>
    </w:p>
    <w:p w14:paraId="0CEB935A" w14:textId="77777777" w:rsidR="00FE75FC" w:rsidRPr="0090334B" w:rsidRDefault="00FE75FC" w:rsidP="0090334B">
      <w:pPr>
        <w:ind w:right="-1"/>
        <w:jc w:val="both"/>
        <w:rPr>
          <w:rFonts w:eastAsia="MS Mincho" w:cs="Arial"/>
          <w:i/>
          <w:iCs/>
          <w:szCs w:val="24"/>
        </w:rPr>
      </w:pPr>
    </w:p>
    <w:p w14:paraId="71CA9B69" w14:textId="4488609F" w:rsidR="00864499" w:rsidRPr="00817A4F" w:rsidRDefault="00830936" w:rsidP="00ED58FE">
      <w:pPr>
        <w:pStyle w:val="ListParagraph"/>
        <w:numPr>
          <w:ilvl w:val="1"/>
          <w:numId w:val="9"/>
        </w:numPr>
        <w:ind w:left="851" w:hanging="851"/>
        <w:jc w:val="both"/>
        <w:rPr>
          <w:rFonts w:eastAsia="MS Mincho" w:cs="Arial"/>
          <w:b/>
          <w:bCs/>
        </w:rPr>
      </w:pPr>
      <w:r w:rsidRPr="00817A4F">
        <w:rPr>
          <w:rFonts w:eastAsia="MS Mincho" w:cs="Arial"/>
          <w:b/>
          <w:bCs/>
        </w:rPr>
        <w:t xml:space="preserve">Material </w:t>
      </w:r>
      <w:r w:rsidR="00C36F9E" w:rsidRPr="00817A4F">
        <w:rPr>
          <w:rFonts w:eastAsia="MS Mincho" w:cs="Arial"/>
          <w:b/>
          <w:bCs/>
        </w:rPr>
        <w:t>c</w:t>
      </w:r>
      <w:r w:rsidRPr="00817A4F">
        <w:rPr>
          <w:rFonts w:eastAsia="MS Mincho" w:cs="Arial"/>
          <w:b/>
          <w:bCs/>
        </w:rPr>
        <w:t>onsi</w:t>
      </w:r>
      <w:r w:rsidR="002F0485" w:rsidRPr="00817A4F">
        <w:rPr>
          <w:rFonts w:eastAsia="MS Mincho" w:cs="Arial"/>
          <w:b/>
          <w:bCs/>
        </w:rPr>
        <w:t>derations</w:t>
      </w:r>
      <w:r w:rsidR="00D63E33" w:rsidRPr="00817A4F">
        <w:rPr>
          <w:rFonts w:eastAsia="MS Mincho" w:cs="Arial"/>
          <w:b/>
          <w:bCs/>
        </w:rPr>
        <w:t xml:space="preserve">, </w:t>
      </w:r>
      <w:r w:rsidR="00C36F9E" w:rsidRPr="00817A4F">
        <w:rPr>
          <w:rFonts w:eastAsia="MS Mincho" w:cs="Arial"/>
          <w:b/>
          <w:bCs/>
        </w:rPr>
        <w:t>c</w:t>
      </w:r>
      <w:r w:rsidR="00D63E33" w:rsidRPr="00817A4F">
        <w:rPr>
          <w:rFonts w:eastAsia="MS Mincho" w:cs="Arial"/>
          <w:b/>
          <w:bCs/>
        </w:rPr>
        <w:t>larity</w:t>
      </w:r>
      <w:r w:rsidR="00E4064C" w:rsidRPr="00817A4F">
        <w:rPr>
          <w:rFonts w:eastAsia="MS Mincho" w:cs="Arial"/>
          <w:b/>
          <w:bCs/>
        </w:rPr>
        <w:t xml:space="preserve"> and </w:t>
      </w:r>
      <w:r w:rsidR="00C36F9E" w:rsidRPr="00817A4F">
        <w:rPr>
          <w:rFonts w:eastAsia="MS Mincho" w:cs="Arial"/>
          <w:b/>
          <w:bCs/>
        </w:rPr>
        <w:t>p</w:t>
      </w:r>
      <w:r w:rsidR="00E4064C" w:rsidRPr="00817A4F">
        <w:rPr>
          <w:rFonts w:eastAsia="MS Mincho" w:cs="Arial"/>
          <w:b/>
          <w:bCs/>
        </w:rPr>
        <w:t>roportionality</w:t>
      </w:r>
    </w:p>
    <w:p w14:paraId="680F4A25" w14:textId="77777777" w:rsidR="00C55DBF" w:rsidRDefault="00C55DBF" w:rsidP="00C55DBF">
      <w:pPr>
        <w:pStyle w:val="ListParagraph"/>
        <w:ind w:left="851"/>
        <w:rPr>
          <w:rFonts w:cs="Arial"/>
          <w:lang w:val="en-US"/>
        </w:rPr>
      </w:pPr>
    </w:p>
    <w:p w14:paraId="518CD63F" w14:textId="3EEF7B52" w:rsidR="00A97EF9" w:rsidRPr="00C55DBF" w:rsidRDefault="009E6605" w:rsidP="00ED58FE">
      <w:pPr>
        <w:pStyle w:val="ListParagraph"/>
        <w:numPr>
          <w:ilvl w:val="2"/>
          <w:numId w:val="9"/>
        </w:numPr>
        <w:ind w:left="851" w:hanging="851"/>
        <w:jc w:val="both"/>
        <w:rPr>
          <w:rFonts w:cs="Arial"/>
          <w:lang w:val="en-US"/>
        </w:rPr>
      </w:pPr>
      <w:r w:rsidRPr="00C55DBF">
        <w:rPr>
          <w:rFonts w:eastAsia="MS Mincho" w:cs="Arial"/>
          <w:szCs w:val="24"/>
        </w:rPr>
        <w:t xml:space="preserve">Insurers must ensure that </w:t>
      </w:r>
      <w:r w:rsidR="00713FCA" w:rsidRPr="00C55DBF">
        <w:rPr>
          <w:rFonts w:eastAsia="MS Mincho" w:cs="Arial"/>
          <w:szCs w:val="24"/>
        </w:rPr>
        <w:t xml:space="preserve">qualitative and quantitative </w:t>
      </w:r>
      <w:r w:rsidRPr="00C55DBF">
        <w:rPr>
          <w:rFonts w:eastAsia="MS Mincho" w:cs="Arial"/>
          <w:szCs w:val="24"/>
        </w:rPr>
        <w:t xml:space="preserve">information </w:t>
      </w:r>
      <w:r w:rsidR="00486B66">
        <w:rPr>
          <w:rFonts w:eastAsia="MS Mincho" w:cs="Arial"/>
          <w:szCs w:val="24"/>
        </w:rPr>
        <w:t xml:space="preserve">disclosed </w:t>
      </w:r>
      <w:r w:rsidR="00486B66" w:rsidRPr="00C55DBF">
        <w:rPr>
          <w:rFonts w:eastAsia="MS Mincho" w:cs="Arial"/>
          <w:szCs w:val="24"/>
        </w:rPr>
        <w:t xml:space="preserve">publicly </w:t>
      </w:r>
      <w:r w:rsidR="008B063D" w:rsidRPr="00C55DBF">
        <w:rPr>
          <w:rFonts w:eastAsia="MS Mincho" w:cs="Arial"/>
          <w:szCs w:val="24"/>
        </w:rPr>
        <w:t>includes all information</w:t>
      </w:r>
      <w:r w:rsidR="006F541C" w:rsidRPr="00C55DBF">
        <w:rPr>
          <w:rFonts w:eastAsia="MS Mincho" w:cs="Arial"/>
          <w:szCs w:val="24"/>
        </w:rPr>
        <w:t xml:space="preserve"> that could reasonably be considered material. </w:t>
      </w:r>
    </w:p>
    <w:p w14:paraId="50687691" w14:textId="00ACDE23" w:rsidR="003B3D71" w:rsidRPr="00C55DBF" w:rsidRDefault="009263E9" w:rsidP="00ED58FE">
      <w:pPr>
        <w:pStyle w:val="ListParagraph"/>
        <w:numPr>
          <w:ilvl w:val="2"/>
          <w:numId w:val="9"/>
        </w:numPr>
        <w:ind w:left="851" w:hanging="851"/>
        <w:jc w:val="both"/>
        <w:rPr>
          <w:rFonts w:cs="Arial"/>
          <w:lang w:val="en-US"/>
        </w:rPr>
      </w:pPr>
      <w:r w:rsidRPr="00C55DBF">
        <w:rPr>
          <w:rFonts w:eastAsia="MS Mincho" w:cs="Arial"/>
        </w:rPr>
        <w:t xml:space="preserve">This information must also be presented in a manner that is relevant and proportionate to the nature, scale and complexity of the insurer’s business, </w:t>
      </w:r>
      <w:r w:rsidR="00810EDE">
        <w:rPr>
          <w:rFonts w:eastAsia="MS Mincho" w:cs="Arial"/>
        </w:rPr>
        <w:t>ensuring</w:t>
      </w:r>
      <w:r w:rsidRPr="00C55DBF">
        <w:rPr>
          <w:rFonts w:eastAsia="MS Mincho" w:cs="Arial"/>
        </w:rPr>
        <w:t xml:space="preserve"> stakeholders have sufficient information to make meaningful and informed assessments of the insurer’s business profile, governance</w:t>
      </w:r>
      <w:r w:rsidR="00AD04C0" w:rsidRPr="00C55DBF">
        <w:rPr>
          <w:rFonts w:eastAsia="MS Mincho" w:cs="Arial"/>
        </w:rPr>
        <w:t xml:space="preserve"> arrangements</w:t>
      </w:r>
      <w:r w:rsidR="00484433" w:rsidRPr="00C55DBF">
        <w:rPr>
          <w:rFonts w:eastAsia="MS Mincho" w:cs="Arial"/>
        </w:rPr>
        <w:t>,</w:t>
      </w:r>
      <w:r w:rsidRPr="00C55DBF">
        <w:rPr>
          <w:rFonts w:eastAsia="MS Mincho" w:cs="Arial"/>
        </w:rPr>
        <w:t xml:space="preserve"> risk exposures, capital adequacy and financial condition.</w:t>
      </w:r>
    </w:p>
    <w:p w14:paraId="4025C46B" w14:textId="77777777" w:rsidR="00B60315" w:rsidRPr="00A8576F" w:rsidRDefault="00B60315" w:rsidP="00777A92">
      <w:pPr>
        <w:jc w:val="both"/>
        <w:rPr>
          <w:rFonts w:eastAsia="MS Mincho" w:cs="Arial"/>
          <w:szCs w:val="24"/>
        </w:rPr>
      </w:pPr>
    </w:p>
    <w:p w14:paraId="71E59F49" w14:textId="6D7FE218" w:rsidR="009263E9" w:rsidRPr="00A8576F" w:rsidRDefault="00083A04" w:rsidP="004D5B05">
      <w:pPr>
        <w:pStyle w:val="Heading1"/>
        <w:rPr>
          <w:rFonts w:eastAsia="MS Mincho"/>
        </w:rPr>
      </w:pPr>
      <w:bookmarkStart w:id="6" w:name="_Toc221717258"/>
      <w:r w:rsidRPr="00A8576F">
        <w:rPr>
          <w:rFonts w:eastAsia="MS Mincho"/>
        </w:rPr>
        <w:t xml:space="preserve">General </w:t>
      </w:r>
      <w:r w:rsidR="009E69D0">
        <w:rPr>
          <w:rFonts w:eastAsia="MS Mincho"/>
        </w:rPr>
        <w:t>p</w:t>
      </w:r>
      <w:r w:rsidRPr="00A8576F">
        <w:rPr>
          <w:rFonts w:eastAsia="MS Mincho"/>
        </w:rPr>
        <w:t xml:space="preserve">ublic </w:t>
      </w:r>
      <w:r w:rsidR="009E69D0">
        <w:rPr>
          <w:rFonts w:eastAsia="MS Mincho"/>
        </w:rPr>
        <w:t>d</w:t>
      </w:r>
      <w:r w:rsidRPr="00A8576F">
        <w:rPr>
          <w:rFonts w:eastAsia="MS Mincho"/>
        </w:rPr>
        <w:t xml:space="preserve">isclosure </w:t>
      </w:r>
      <w:r w:rsidR="009E69D0">
        <w:rPr>
          <w:rFonts w:eastAsia="MS Mincho"/>
        </w:rPr>
        <w:t>r</w:t>
      </w:r>
      <w:r w:rsidRPr="00A8576F">
        <w:rPr>
          <w:rFonts w:eastAsia="MS Mincho"/>
        </w:rPr>
        <w:t>equirements</w:t>
      </w:r>
      <w:bookmarkEnd w:id="6"/>
    </w:p>
    <w:p w14:paraId="2EC1BC13" w14:textId="77777777" w:rsidR="00D62640" w:rsidRPr="00A8576F" w:rsidRDefault="00D62640" w:rsidP="0045726B">
      <w:pPr>
        <w:pStyle w:val="Heading2"/>
        <w:numPr>
          <w:ilvl w:val="0"/>
          <w:numId w:val="0"/>
        </w:numPr>
        <w:ind w:left="851"/>
        <w:rPr>
          <w:rFonts w:eastAsia="MS Mincho" w:cs="Arial"/>
          <w:szCs w:val="24"/>
        </w:rPr>
      </w:pPr>
    </w:p>
    <w:p w14:paraId="1E48983D" w14:textId="5EDC5E5E" w:rsidR="00DE51DA" w:rsidRPr="00DE51DA" w:rsidRDefault="002325CF" w:rsidP="00DE51DA">
      <w:pPr>
        <w:pStyle w:val="ListParagraph"/>
        <w:numPr>
          <w:ilvl w:val="1"/>
          <w:numId w:val="1"/>
        </w:numPr>
        <w:jc w:val="both"/>
        <w:rPr>
          <w:rFonts w:eastAsia="MS Mincho" w:cs="Arial"/>
        </w:rPr>
      </w:pPr>
      <w:r w:rsidRPr="00DE51DA">
        <w:rPr>
          <w:rFonts w:eastAsia="MS Mincho" w:cs="Arial"/>
          <w:szCs w:val="24"/>
        </w:rPr>
        <w:t>I</w:t>
      </w:r>
      <w:r w:rsidR="00B10D45" w:rsidRPr="00DE51DA">
        <w:rPr>
          <w:rFonts w:eastAsia="MS Mincho" w:cs="Arial"/>
          <w:szCs w:val="24"/>
        </w:rPr>
        <w:t xml:space="preserve">nsurers must establish and maintain internal governance </w:t>
      </w:r>
      <w:r w:rsidR="00AD04C0" w:rsidRPr="00DE51DA">
        <w:rPr>
          <w:rFonts w:eastAsia="MS Mincho" w:cs="Arial"/>
          <w:szCs w:val="24"/>
        </w:rPr>
        <w:t xml:space="preserve">arrangements </w:t>
      </w:r>
      <w:r w:rsidR="00B10D45" w:rsidRPr="00DE51DA">
        <w:rPr>
          <w:rFonts w:eastAsia="MS Mincho" w:cs="Arial"/>
          <w:szCs w:val="24"/>
        </w:rPr>
        <w:t>and control processes, including a formal disclosure framework to support the board and relevant control functions in verifying the quality and reliability of both qualitative and quantitative information disclosed publicly. These processes must be implemented in accordance with the requirements set out in the Prudential Standard Governance and Operations for Insurers 1 (GOI</w:t>
      </w:r>
      <w:r w:rsidR="00DF0A4E" w:rsidRPr="00DE51DA">
        <w:rPr>
          <w:rFonts w:eastAsia="MS Mincho" w:cs="Arial"/>
          <w:szCs w:val="24"/>
        </w:rPr>
        <w:t>-</w:t>
      </w:r>
      <w:r w:rsidR="00B10D45" w:rsidRPr="00DE51DA">
        <w:rPr>
          <w:rFonts w:eastAsia="MS Mincho" w:cs="Arial"/>
          <w:szCs w:val="24"/>
        </w:rPr>
        <w:t>1).</w:t>
      </w:r>
    </w:p>
    <w:p w14:paraId="428106B1" w14:textId="7F9F4829" w:rsidR="006E5DC4" w:rsidRPr="00DE51DA" w:rsidRDefault="002857BF" w:rsidP="00DE51DA">
      <w:pPr>
        <w:pStyle w:val="ListParagraph"/>
        <w:numPr>
          <w:ilvl w:val="1"/>
          <w:numId w:val="1"/>
        </w:numPr>
        <w:jc w:val="both"/>
        <w:rPr>
          <w:rStyle w:val="CommentReference"/>
          <w:rFonts w:eastAsia="MS Mincho" w:cs="Arial"/>
          <w:sz w:val="24"/>
          <w:szCs w:val="24"/>
        </w:rPr>
      </w:pPr>
      <w:r w:rsidRPr="59EB61C6">
        <w:rPr>
          <w:rFonts w:eastAsia="MS Mincho" w:cs="Arial"/>
        </w:rPr>
        <w:t xml:space="preserve">An insurer </w:t>
      </w:r>
      <w:r w:rsidR="009A53AA" w:rsidRPr="59EB61C6">
        <w:rPr>
          <w:rFonts w:eastAsia="MS Mincho" w:cs="Arial"/>
        </w:rPr>
        <w:t>may</w:t>
      </w:r>
      <w:r w:rsidR="5AEF3D46" w:rsidRPr="59EB61C6">
        <w:rPr>
          <w:rFonts w:eastAsia="MS Mincho" w:cs="Arial"/>
        </w:rPr>
        <w:t>,</w:t>
      </w:r>
      <w:r w:rsidR="009A53AA" w:rsidRPr="59EB61C6">
        <w:rPr>
          <w:rFonts w:eastAsia="MS Mincho" w:cs="Arial"/>
        </w:rPr>
        <w:t xml:space="preserve"> </w:t>
      </w:r>
      <w:r w:rsidR="2862304F" w:rsidRPr="59EB61C6">
        <w:rPr>
          <w:rFonts w:eastAsia="MS Mincho" w:cs="Arial"/>
        </w:rPr>
        <w:t xml:space="preserve">in accordance with section 45(2)(a) of the Insurance Act, </w:t>
      </w:r>
      <w:r w:rsidR="009A53AA" w:rsidRPr="59EB61C6">
        <w:rPr>
          <w:rFonts w:eastAsia="MS Mincho" w:cs="Arial"/>
        </w:rPr>
        <w:t>apply</w:t>
      </w:r>
      <w:r w:rsidRPr="59EB61C6">
        <w:rPr>
          <w:rFonts w:eastAsia="MS Mincho" w:cs="Arial"/>
        </w:rPr>
        <w:t xml:space="preserve"> to the Authority for </w:t>
      </w:r>
      <w:r w:rsidR="00B5633E" w:rsidRPr="59EB61C6">
        <w:rPr>
          <w:rFonts w:eastAsia="MS Mincho" w:cs="Arial"/>
        </w:rPr>
        <w:t xml:space="preserve">approval </w:t>
      </w:r>
      <w:r w:rsidR="00DE51DA">
        <w:rPr>
          <w:rFonts w:eastAsia="MS Mincho" w:cs="Arial"/>
        </w:rPr>
        <w:t>to</w:t>
      </w:r>
      <w:r w:rsidR="00ED4ECA" w:rsidRPr="59EB61C6">
        <w:rPr>
          <w:rFonts w:eastAsia="MS Mincho" w:cs="Arial"/>
        </w:rPr>
        <w:t xml:space="preserve"> </w:t>
      </w:r>
      <w:r w:rsidR="00B5633E" w:rsidRPr="59EB61C6">
        <w:rPr>
          <w:rFonts w:eastAsia="MS Mincho" w:cs="Arial"/>
        </w:rPr>
        <w:t>not</w:t>
      </w:r>
      <w:r w:rsidR="00E111AA">
        <w:rPr>
          <w:rFonts w:eastAsia="MS Mincho" w:cs="Arial"/>
        </w:rPr>
        <w:t xml:space="preserve"> </w:t>
      </w:r>
      <w:r w:rsidR="00B5633E" w:rsidRPr="59EB61C6">
        <w:rPr>
          <w:rFonts w:eastAsia="MS Mincho" w:cs="Arial"/>
        </w:rPr>
        <w:t xml:space="preserve">publicly disclose </w:t>
      </w:r>
      <w:r w:rsidR="00B36F77" w:rsidRPr="59EB61C6">
        <w:rPr>
          <w:rFonts w:eastAsia="MS Mincho" w:cs="Arial"/>
        </w:rPr>
        <w:t xml:space="preserve">specific </w:t>
      </w:r>
      <w:r w:rsidRPr="59EB61C6">
        <w:rPr>
          <w:rFonts w:eastAsia="MS Mincho" w:cs="Arial"/>
        </w:rPr>
        <w:t xml:space="preserve">information </w:t>
      </w:r>
      <w:r w:rsidR="000725CF" w:rsidRPr="59EB61C6">
        <w:rPr>
          <w:rFonts w:eastAsia="MS Mincho" w:cs="Arial"/>
        </w:rPr>
        <w:t xml:space="preserve">required under this </w:t>
      </w:r>
      <w:r w:rsidR="00DE51DA" w:rsidRPr="59EB61C6">
        <w:rPr>
          <w:rFonts w:eastAsia="MS Mincho" w:cs="Arial"/>
        </w:rPr>
        <w:t>Standard.</w:t>
      </w:r>
      <w:r w:rsidR="000D2F3E" w:rsidRPr="59EB61C6">
        <w:rPr>
          <w:rStyle w:val="CommentReference"/>
          <w:rFonts w:cs="Arial"/>
          <w:sz w:val="24"/>
          <w:szCs w:val="24"/>
        </w:rPr>
        <w:t xml:space="preserve"> </w:t>
      </w:r>
      <w:r w:rsidR="007E3306" w:rsidRPr="59EB61C6">
        <w:rPr>
          <w:rStyle w:val="CommentReference"/>
          <w:rFonts w:cs="Arial"/>
          <w:sz w:val="24"/>
          <w:szCs w:val="24"/>
        </w:rPr>
        <w:t>Any such application</w:t>
      </w:r>
      <w:r w:rsidR="006F4769" w:rsidRPr="59EB61C6">
        <w:rPr>
          <w:rStyle w:val="CommentReference"/>
          <w:rFonts w:cs="Arial"/>
          <w:sz w:val="24"/>
          <w:szCs w:val="24"/>
        </w:rPr>
        <w:t xml:space="preserve"> must be submitted in the manner and form </w:t>
      </w:r>
      <w:r w:rsidR="00325721" w:rsidRPr="59EB61C6">
        <w:rPr>
          <w:rStyle w:val="CommentReference"/>
          <w:rFonts w:cs="Arial"/>
          <w:sz w:val="24"/>
          <w:szCs w:val="24"/>
        </w:rPr>
        <w:t xml:space="preserve">determined by the Authority and must clearly demonstrate that </w:t>
      </w:r>
      <w:r w:rsidR="00DE51DA">
        <w:rPr>
          <w:rStyle w:val="CommentReference"/>
          <w:rFonts w:cs="Arial"/>
          <w:sz w:val="24"/>
          <w:szCs w:val="24"/>
        </w:rPr>
        <w:t xml:space="preserve">public </w:t>
      </w:r>
      <w:r w:rsidR="00DE51DA" w:rsidRPr="59EB61C6">
        <w:rPr>
          <w:rStyle w:val="CommentReference"/>
          <w:rFonts w:cs="Arial"/>
          <w:sz w:val="24"/>
          <w:szCs w:val="24"/>
        </w:rPr>
        <w:t>disclosure</w:t>
      </w:r>
      <w:r w:rsidR="00325721" w:rsidRPr="59EB61C6">
        <w:rPr>
          <w:rStyle w:val="CommentReference"/>
          <w:rFonts w:cs="Arial"/>
          <w:sz w:val="24"/>
          <w:szCs w:val="24"/>
        </w:rPr>
        <w:t xml:space="preserve"> </w:t>
      </w:r>
      <w:r w:rsidR="0038334B" w:rsidRPr="59EB61C6">
        <w:rPr>
          <w:rStyle w:val="CommentReference"/>
          <w:rFonts w:cs="Arial"/>
          <w:sz w:val="24"/>
          <w:szCs w:val="24"/>
        </w:rPr>
        <w:t xml:space="preserve">of the relevant information would </w:t>
      </w:r>
      <w:r w:rsidR="00E111AA">
        <w:rPr>
          <w:rStyle w:val="CommentReference"/>
          <w:rFonts w:cs="Arial"/>
          <w:sz w:val="24"/>
          <w:szCs w:val="24"/>
        </w:rPr>
        <w:t>result in one or more of the circumstances c</w:t>
      </w:r>
      <w:r w:rsidR="00DE51DA">
        <w:rPr>
          <w:rStyle w:val="CommentReference"/>
          <w:rFonts w:cs="Arial"/>
          <w:sz w:val="24"/>
          <w:szCs w:val="24"/>
        </w:rPr>
        <w:t>ontemplated in</w:t>
      </w:r>
      <w:r w:rsidR="00DE51DA" w:rsidRPr="59EB61C6">
        <w:rPr>
          <w:rStyle w:val="CommentReference"/>
          <w:rFonts w:cs="Arial"/>
          <w:sz w:val="24"/>
          <w:szCs w:val="24"/>
        </w:rPr>
        <w:t xml:space="preserve"> section</w:t>
      </w:r>
      <w:r w:rsidR="0038334B" w:rsidRPr="59EB61C6">
        <w:rPr>
          <w:rStyle w:val="CommentReference"/>
          <w:rFonts w:cs="Arial"/>
          <w:sz w:val="24"/>
          <w:szCs w:val="24"/>
        </w:rPr>
        <w:t xml:space="preserve"> 45(2)</w:t>
      </w:r>
      <w:r w:rsidR="00FD6FE2" w:rsidRPr="59EB61C6">
        <w:rPr>
          <w:rStyle w:val="CommentReference"/>
          <w:rFonts w:cs="Arial"/>
          <w:sz w:val="24"/>
          <w:szCs w:val="24"/>
        </w:rPr>
        <w:t>(a)</w:t>
      </w:r>
      <w:r w:rsidR="00A030D0" w:rsidRPr="59EB61C6">
        <w:rPr>
          <w:rStyle w:val="CommentReference"/>
          <w:rFonts w:cs="Arial"/>
          <w:sz w:val="24"/>
          <w:szCs w:val="24"/>
        </w:rPr>
        <w:t>(</w:t>
      </w:r>
      <w:r w:rsidR="00484433" w:rsidRPr="59EB61C6">
        <w:rPr>
          <w:rStyle w:val="CommentReference"/>
          <w:rFonts w:cs="Arial"/>
          <w:sz w:val="24"/>
          <w:szCs w:val="24"/>
        </w:rPr>
        <w:t>i) -(</w:t>
      </w:r>
      <w:r w:rsidR="00A030D0" w:rsidRPr="59EB61C6">
        <w:rPr>
          <w:rStyle w:val="CommentReference"/>
          <w:rFonts w:cs="Arial"/>
          <w:sz w:val="24"/>
          <w:szCs w:val="24"/>
        </w:rPr>
        <w:t>vi)</w:t>
      </w:r>
      <w:r w:rsidR="00EA2384" w:rsidRPr="59EB61C6">
        <w:rPr>
          <w:rStyle w:val="CommentReference"/>
          <w:rFonts w:cs="Arial"/>
          <w:sz w:val="24"/>
          <w:szCs w:val="24"/>
        </w:rPr>
        <w:t xml:space="preserve"> of the Insurance Act</w:t>
      </w:r>
      <w:r w:rsidR="00A030D0" w:rsidRPr="59EB61C6">
        <w:rPr>
          <w:rStyle w:val="CommentReference"/>
          <w:rFonts w:cs="Arial"/>
          <w:sz w:val="24"/>
          <w:szCs w:val="24"/>
        </w:rPr>
        <w:t>.</w:t>
      </w:r>
    </w:p>
    <w:p w14:paraId="04EA097E" w14:textId="1CA04C20" w:rsidR="009C636C" w:rsidRPr="00DE51DA" w:rsidRDefault="006E4ED6" w:rsidP="00DE51DA">
      <w:pPr>
        <w:pStyle w:val="ListParagraph"/>
        <w:numPr>
          <w:ilvl w:val="1"/>
          <w:numId w:val="1"/>
        </w:numPr>
        <w:jc w:val="both"/>
        <w:rPr>
          <w:rStyle w:val="CommentReference"/>
          <w:rFonts w:eastAsia="MS Mincho" w:cs="Arial"/>
          <w:sz w:val="24"/>
          <w:szCs w:val="24"/>
        </w:rPr>
      </w:pPr>
      <w:r w:rsidRPr="00A8576F">
        <w:rPr>
          <w:rStyle w:val="CommentReference"/>
          <w:rFonts w:eastAsia="MS Mincho" w:cs="Arial"/>
          <w:sz w:val="24"/>
          <w:szCs w:val="24"/>
        </w:rPr>
        <w:t>Where the Authority approves the non-disclosure of specific information, the insurer must comply with such approval in accordance with section 45(2)(b) of the Insurance Act, including any conditions or directions imposed by the Authority regarding how the non-disclosure is reflected in the insurer’s public disclosures.</w:t>
      </w:r>
    </w:p>
    <w:p w14:paraId="58C7CA53" w14:textId="500EB209" w:rsidR="00DE51DA" w:rsidRPr="00DE51DA" w:rsidRDefault="009C636C" w:rsidP="00DE51DA">
      <w:pPr>
        <w:pStyle w:val="Heading2"/>
        <w:rPr>
          <w:rFonts w:eastAsia="MS Mincho" w:cs="Arial"/>
          <w:szCs w:val="24"/>
        </w:rPr>
      </w:pPr>
      <w:r w:rsidRPr="009C636C">
        <w:rPr>
          <w:rStyle w:val="CommentReference"/>
          <w:rFonts w:eastAsia="MS Mincho" w:cs="Arial"/>
          <w:sz w:val="24"/>
          <w:szCs w:val="24"/>
        </w:rPr>
        <w:t xml:space="preserve">In addition to the requirements in paragraph </w:t>
      </w:r>
      <w:r w:rsidR="005B1FEF">
        <w:rPr>
          <w:rStyle w:val="CommentReference"/>
          <w:rFonts w:eastAsia="MS Mincho" w:cs="Arial"/>
          <w:sz w:val="24"/>
          <w:szCs w:val="24"/>
        </w:rPr>
        <w:t>7</w:t>
      </w:r>
      <w:r w:rsidR="00DE51DA">
        <w:rPr>
          <w:rStyle w:val="CommentReference"/>
          <w:rFonts w:eastAsia="MS Mincho" w:cs="Arial"/>
          <w:sz w:val="24"/>
          <w:szCs w:val="24"/>
        </w:rPr>
        <w:t>,</w:t>
      </w:r>
      <w:r w:rsidRPr="009C636C">
        <w:rPr>
          <w:rStyle w:val="CommentReference"/>
          <w:rFonts w:eastAsia="MS Mincho" w:cs="Arial"/>
          <w:sz w:val="24"/>
          <w:szCs w:val="24"/>
        </w:rPr>
        <w:t xml:space="preserve"> insurers must, in accordance with section 45(3) of the Insurance Act</w:t>
      </w:r>
      <w:r w:rsidR="00DE51DA">
        <w:rPr>
          <w:rStyle w:val="CommentReference"/>
          <w:rFonts w:eastAsia="MS Mincho" w:cs="Arial"/>
          <w:sz w:val="24"/>
          <w:szCs w:val="24"/>
        </w:rPr>
        <w:t xml:space="preserve">, </w:t>
      </w:r>
      <w:r w:rsidR="00274D4E">
        <w:rPr>
          <w:rStyle w:val="CommentReference"/>
          <w:rFonts w:eastAsia="MS Mincho" w:cs="Arial"/>
          <w:sz w:val="24"/>
          <w:szCs w:val="24"/>
        </w:rPr>
        <w:t xml:space="preserve">immediately </w:t>
      </w:r>
      <w:r w:rsidRPr="009C636C">
        <w:rPr>
          <w:rStyle w:val="CommentReference"/>
          <w:rFonts w:eastAsia="MS Mincho" w:cs="Arial"/>
          <w:sz w:val="24"/>
          <w:szCs w:val="24"/>
        </w:rPr>
        <w:t>publicly disclose appropriate information on any major development that affects the relevance, completeness or accuracy of prescribed information previously disclosed, unless the Authority has approved that such disclosure need not be made.</w:t>
      </w:r>
    </w:p>
    <w:p w14:paraId="0F8FFEBD" w14:textId="2F675E24" w:rsidR="00DE51DA" w:rsidRPr="00DE51DA" w:rsidRDefault="0054311D" w:rsidP="00DE51DA">
      <w:pPr>
        <w:pStyle w:val="ListParagraph"/>
        <w:numPr>
          <w:ilvl w:val="1"/>
          <w:numId w:val="1"/>
        </w:numPr>
        <w:jc w:val="both"/>
        <w:rPr>
          <w:rFonts w:eastAsia="MS Mincho" w:cs="Arial"/>
          <w:szCs w:val="24"/>
        </w:rPr>
      </w:pPr>
      <w:r w:rsidRPr="00F55104">
        <w:rPr>
          <w:rFonts w:cs="Arial"/>
          <w:szCs w:val="24"/>
        </w:rPr>
        <w:t xml:space="preserve">Prescribed </w:t>
      </w:r>
      <w:r w:rsidR="00930D35" w:rsidRPr="00F55104">
        <w:rPr>
          <w:rFonts w:eastAsia="MS Mincho" w:cs="Arial"/>
          <w:szCs w:val="24"/>
        </w:rPr>
        <w:t>i</w:t>
      </w:r>
      <w:r w:rsidR="00824893" w:rsidRPr="00F55104">
        <w:rPr>
          <w:rFonts w:eastAsia="MS Mincho" w:cs="Arial"/>
          <w:szCs w:val="24"/>
        </w:rPr>
        <w:t xml:space="preserve">nformation </w:t>
      </w:r>
      <w:r w:rsidR="00AB6FC1" w:rsidRPr="00F55104">
        <w:rPr>
          <w:rFonts w:eastAsia="MS Mincho" w:cs="Arial"/>
          <w:szCs w:val="24"/>
        </w:rPr>
        <w:t xml:space="preserve">that is </w:t>
      </w:r>
      <w:r w:rsidR="00824893" w:rsidRPr="00F55104">
        <w:rPr>
          <w:rFonts w:eastAsia="MS Mincho" w:cs="Arial"/>
          <w:szCs w:val="24"/>
        </w:rPr>
        <w:t xml:space="preserve">required </w:t>
      </w:r>
      <w:r w:rsidR="009500E5" w:rsidRPr="00F55104">
        <w:rPr>
          <w:rFonts w:eastAsia="MS Mincho" w:cs="Arial"/>
          <w:szCs w:val="24"/>
        </w:rPr>
        <w:t xml:space="preserve">to be disclosed </w:t>
      </w:r>
      <w:r w:rsidR="00B62607" w:rsidRPr="00F55104">
        <w:rPr>
          <w:rFonts w:eastAsia="MS Mincho" w:cs="Arial"/>
          <w:szCs w:val="24"/>
        </w:rPr>
        <w:t xml:space="preserve">under this Standard </w:t>
      </w:r>
      <w:r w:rsidR="00824893" w:rsidRPr="00F55104">
        <w:rPr>
          <w:rFonts w:eastAsia="MS Mincho" w:cs="Arial"/>
          <w:szCs w:val="24"/>
        </w:rPr>
        <w:t xml:space="preserve">must be </w:t>
      </w:r>
      <w:r w:rsidR="009500E5" w:rsidRPr="00F55104">
        <w:rPr>
          <w:rFonts w:eastAsia="MS Mincho" w:cs="Arial"/>
          <w:szCs w:val="24"/>
        </w:rPr>
        <w:t xml:space="preserve">presented in a format </w:t>
      </w:r>
      <w:r w:rsidR="00DE4CBB" w:rsidRPr="00F55104">
        <w:rPr>
          <w:rFonts w:eastAsia="MS Mincho" w:cs="Arial"/>
          <w:szCs w:val="24"/>
        </w:rPr>
        <w:t>the insurer</w:t>
      </w:r>
      <w:r w:rsidR="00740952" w:rsidRPr="00F55104">
        <w:rPr>
          <w:rFonts w:eastAsia="MS Mincho" w:cs="Arial"/>
          <w:szCs w:val="24"/>
        </w:rPr>
        <w:t xml:space="preserve"> </w:t>
      </w:r>
      <w:r w:rsidR="00176DF0" w:rsidRPr="00F55104">
        <w:rPr>
          <w:rFonts w:eastAsia="MS Mincho" w:cs="Arial"/>
          <w:szCs w:val="24"/>
        </w:rPr>
        <w:t xml:space="preserve">considers most </w:t>
      </w:r>
      <w:r w:rsidR="002A1776" w:rsidRPr="00F55104">
        <w:rPr>
          <w:rFonts w:eastAsia="MS Mincho" w:cs="Arial"/>
          <w:szCs w:val="24"/>
        </w:rPr>
        <w:t>appropriate</w:t>
      </w:r>
      <w:r w:rsidR="00176DF0" w:rsidRPr="00F55104">
        <w:rPr>
          <w:rFonts w:eastAsia="MS Mincho" w:cs="Arial"/>
          <w:szCs w:val="24"/>
        </w:rPr>
        <w:t>,</w:t>
      </w:r>
      <w:r w:rsidR="00176DF0" w:rsidRPr="00DE51DA">
        <w:rPr>
          <w:rFonts w:eastAsia="MS Mincho" w:cs="Arial"/>
          <w:szCs w:val="24"/>
        </w:rPr>
        <w:t xml:space="preserve"> ensuring clarity and a structured presentation that sup</w:t>
      </w:r>
      <w:r w:rsidR="007E6391" w:rsidRPr="00DE51DA">
        <w:rPr>
          <w:rFonts w:eastAsia="MS Mincho" w:cs="Arial"/>
          <w:szCs w:val="24"/>
        </w:rPr>
        <w:t xml:space="preserve">ports comparability </w:t>
      </w:r>
      <w:r w:rsidR="004F6A91" w:rsidRPr="00DE51DA">
        <w:rPr>
          <w:rFonts w:eastAsia="MS Mincho" w:cs="Arial"/>
          <w:szCs w:val="24"/>
        </w:rPr>
        <w:t xml:space="preserve">and understandability, with </w:t>
      </w:r>
      <w:r w:rsidR="002A1776" w:rsidRPr="00DE51DA">
        <w:rPr>
          <w:rFonts w:eastAsia="MS Mincho" w:cs="Arial"/>
          <w:szCs w:val="24"/>
        </w:rPr>
        <w:t xml:space="preserve">due </w:t>
      </w:r>
      <w:r w:rsidR="007E6391" w:rsidRPr="00DE51DA">
        <w:rPr>
          <w:rFonts w:eastAsia="MS Mincho" w:cs="Arial"/>
          <w:szCs w:val="24"/>
        </w:rPr>
        <w:t xml:space="preserve">regard </w:t>
      </w:r>
      <w:r w:rsidR="002A1776" w:rsidRPr="00DE51DA">
        <w:rPr>
          <w:rFonts w:eastAsia="MS Mincho" w:cs="Arial"/>
          <w:szCs w:val="24"/>
        </w:rPr>
        <w:t>to stakeholders</w:t>
      </w:r>
      <w:r w:rsidR="00942F08" w:rsidRPr="00DE51DA">
        <w:rPr>
          <w:rFonts w:eastAsia="MS Mincho" w:cs="Arial"/>
          <w:szCs w:val="24"/>
        </w:rPr>
        <w:t>.</w:t>
      </w:r>
    </w:p>
    <w:p w14:paraId="12279986" w14:textId="17A0A6E2" w:rsidR="00DE51DA" w:rsidRPr="00DE51DA" w:rsidRDefault="0011108C" w:rsidP="00DE51DA">
      <w:pPr>
        <w:pStyle w:val="ListParagraph"/>
        <w:numPr>
          <w:ilvl w:val="1"/>
          <w:numId w:val="1"/>
        </w:numPr>
        <w:jc w:val="both"/>
        <w:rPr>
          <w:rFonts w:eastAsia="MS Mincho" w:cs="Arial"/>
          <w:szCs w:val="24"/>
        </w:rPr>
      </w:pPr>
      <w:r w:rsidRPr="00A8576F">
        <w:rPr>
          <w:rFonts w:eastAsia="MS Mincho" w:cs="Arial"/>
          <w:szCs w:val="24"/>
        </w:rPr>
        <w:t>Prescribed quantitative information that is also required to be audited under the Prudential Standard on Audit Requirements for Insurers must be audited in accordance with the requirements of that Standard.</w:t>
      </w:r>
    </w:p>
    <w:p w14:paraId="04AA01C9" w14:textId="3B4BCB39" w:rsidR="00E15300" w:rsidRPr="00DE51DA" w:rsidRDefault="00B310C0" w:rsidP="00DE51DA">
      <w:pPr>
        <w:pStyle w:val="ListParagraph"/>
        <w:numPr>
          <w:ilvl w:val="1"/>
          <w:numId w:val="1"/>
        </w:numPr>
        <w:jc w:val="both"/>
        <w:rPr>
          <w:rFonts w:eastAsia="MS Mincho" w:cs="Arial"/>
          <w:szCs w:val="24"/>
        </w:rPr>
      </w:pPr>
      <w:r w:rsidRPr="00A8576F">
        <w:rPr>
          <w:rFonts w:eastAsia="MS Mincho" w:cs="Arial"/>
          <w:szCs w:val="24"/>
        </w:rPr>
        <w:t>The disclosures required by this Standard must, to the extent practicable, reflect the economic substance of material events and transactions arising from the insurer’s investment and insurance activities, including underwriting, claims and premium transactions, and must be complete and accurate.</w:t>
      </w:r>
    </w:p>
    <w:p w14:paraId="20EF1C55" w14:textId="65C0215F" w:rsidR="00193DE6" w:rsidRPr="00925703" w:rsidRDefault="00E35FB4" w:rsidP="0045726B">
      <w:pPr>
        <w:pStyle w:val="ListParagraph"/>
        <w:numPr>
          <w:ilvl w:val="1"/>
          <w:numId w:val="1"/>
        </w:numPr>
        <w:jc w:val="both"/>
        <w:rPr>
          <w:rFonts w:eastAsia="MS Mincho" w:cs="Arial"/>
          <w:szCs w:val="24"/>
        </w:rPr>
      </w:pPr>
      <w:r w:rsidRPr="00A8576F">
        <w:rPr>
          <w:rFonts w:eastAsia="MS Mincho" w:cs="Arial"/>
          <w:szCs w:val="24"/>
        </w:rPr>
        <w:t xml:space="preserve">Where </w:t>
      </w:r>
      <w:r w:rsidR="005F18F8" w:rsidRPr="00A8576F">
        <w:rPr>
          <w:rFonts w:eastAsia="MS Mincho" w:cs="Arial"/>
          <w:szCs w:val="24"/>
        </w:rPr>
        <w:t xml:space="preserve">methodologies used for </w:t>
      </w:r>
      <w:r w:rsidR="003B394C" w:rsidRPr="00A8576F">
        <w:rPr>
          <w:rFonts w:eastAsia="MS Mincho" w:cs="Arial"/>
          <w:szCs w:val="24"/>
        </w:rPr>
        <w:t>regulatory reporting and financial reporting</w:t>
      </w:r>
      <w:r w:rsidR="00111A1D" w:rsidRPr="00A8576F">
        <w:rPr>
          <w:rFonts w:eastAsia="MS Mincho" w:cs="Arial"/>
          <w:szCs w:val="24"/>
        </w:rPr>
        <w:t xml:space="preserve"> are also applied </w:t>
      </w:r>
      <w:r w:rsidR="0017077A" w:rsidRPr="00A8576F">
        <w:rPr>
          <w:rFonts w:eastAsia="MS Mincho" w:cs="Arial"/>
          <w:szCs w:val="24"/>
        </w:rPr>
        <w:t xml:space="preserve">to information disclosed </w:t>
      </w:r>
      <w:r w:rsidR="002B7E09" w:rsidRPr="00A8576F">
        <w:rPr>
          <w:rFonts w:eastAsia="MS Mincho" w:cs="Arial"/>
          <w:szCs w:val="24"/>
        </w:rPr>
        <w:t xml:space="preserve">under this Standard, insurers </w:t>
      </w:r>
      <w:r w:rsidR="00492374" w:rsidRPr="00A8576F">
        <w:rPr>
          <w:rFonts w:eastAsia="MS Mincho" w:cs="Arial"/>
          <w:szCs w:val="24"/>
        </w:rPr>
        <w:t xml:space="preserve">must reconcile any </w:t>
      </w:r>
      <w:r w:rsidR="00492374" w:rsidRPr="00A8576F">
        <w:rPr>
          <w:rFonts w:eastAsia="MS Mincho" w:cs="Arial"/>
          <w:szCs w:val="24"/>
        </w:rPr>
        <w:lastRenderedPageBreak/>
        <w:t>differences between the outputs o</w:t>
      </w:r>
      <w:r w:rsidR="00090FD9" w:rsidRPr="00A8576F">
        <w:rPr>
          <w:rFonts w:eastAsia="MS Mincho" w:cs="Arial"/>
          <w:szCs w:val="24"/>
        </w:rPr>
        <w:t>f these methodologies and disclose only material</w:t>
      </w:r>
      <w:r w:rsidR="00016C39" w:rsidRPr="00A8576F">
        <w:rPr>
          <w:rFonts w:eastAsia="MS Mincho" w:cs="Arial"/>
          <w:szCs w:val="24"/>
        </w:rPr>
        <w:t xml:space="preserve"> differences</w:t>
      </w:r>
      <w:r w:rsidR="00090FD9" w:rsidRPr="00A8576F">
        <w:rPr>
          <w:rFonts w:eastAsia="MS Mincho" w:cs="Arial"/>
          <w:szCs w:val="24"/>
        </w:rPr>
        <w:t xml:space="preserve">, </w:t>
      </w:r>
      <w:proofErr w:type="gramStart"/>
      <w:r w:rsidR="00090FD9" w:rsidRPr="00A8576F">
        <w:rPr>
          <w:rFonts w:eastAsia="MS Mincho" w:cs="Arial"/>
          <w:szCs w:val="24"/>
        </w:rPr>
        <w:t>taking into account</w:t>
      </w:r>
      <w:proofErr w:type="gramEnd"/>
      <w:r w:rsidR="003B0DC7" w:rsidRPr="00A8576F">
        <w:rPr>
          <w:rFonts w:eastAsia="MS Mincho" w:cs="Arial"/>
          <w:szCs w:val="24"/>
        </w:rPr>
        <w:t xml:space="preserve"> </w:t>
      </w:r>
      <w:r w:rsidR="0089227D">
        <w:rPr>
          <w:rFonts w:eastAsia="MS Mincho" w:cs="Arial"/>
          <w:szCs w:val="24"/>
        </w:rPr>
        <w:t xml:space="preserve">the </w:t>
      </w:r>
      <w:r w:rsidR="003B0DC7" w:rsidRPr="00A8576F">
        <w:rPr>
          <w:rFonts w:eastAsia="MS Mincho" w:cs="Arial"/>
          <w:szCs w:val="24"/>
        </w:rPr>
        <w:t xml:space="preserve">insurer’s </w:t>
      </w:r>
      <w:r w:rsidR="0089227D" w:rsidRPr="00A8576F">
        <w:rPr>
          <w:rFonts w:eastAsia="MS Mincho" w:cs="Arial"/>
          <w:szCs w:val="24"/>
        </w:rPr>
        <w:t>size, activities</w:t>
      </w:r>
      <w:r w:rsidR="00533E47" w:rsidRPr="00A8576F">
        <w:rPr>
          <w:rFonts w:eastAsia="MS Mincho" w:cs="Arial"/>
          <w:szCs w:val="24"/>
        </w:rPr>
        <w:t xml:space="preserve"> </w:t>
      </w:r>
      <w:r w:rsidR="0089227D">
        <w:rPr>
          <w:rFonts w:eastAsia="MS Mincho" w:cs="Arial"/>
          <w:szCs w:val="24"/>
        </w:rPr>
        <w:t xml:space="preserve">and </w:t>
      </w:r>
      <w:r w:rsidR="00533E47" w:rsidRPr="00A8576F">
        <w:rPr>
          <w:rFonts w:eastAsia="MS Mincho" w:cs="Arial"/>
          <w:szCs w:val="24"/>
        </w:rPr>
        <w:t>risk profile</w:t>
      </w:r>
      <w:r w:rsidR="00EC375E" w:rsidRPr="00A8576F">
        <w:rPr>
          <w:rFonts w:eastAsia="MS Mincho" w:cs="Arial"/>
          <w:szCs w:val="24"/>
        </w:rPr>
        <w:t>, to the extent practicable</w:t>
      </w:r>
      <w:r w:rsidR="003B394C" w:rsidRPr="00A8576F">
        <w:rPr>
          <w:rFonts w:eastAsia="MS Mincho" w:cs="Arial"/>
          <w:szCs w:val="24"/>
        </w:rPr>
        <w:t>.</w:t>
      </w:r>
    </w:p>
    <w:p w14:paraId="46678CF0" w14:textId="63202D3C" w:rsidR="00E058AA" w:rsidRDefault="0062386A" w:rsidP="0045726B">
      <w:pPr>
        <w:pStyle w:val="ListParagraph"/>
        <w:numPr>
          <w:ilvl w:val="1"/>
          <w:numId w:val="1"/>
        </w:numPr>
        <w:jc w:val="both"/>
        <w:rPr>
          <w:rFonts w:eastAsia="MS Mincho" w:cs="Arial"/>
          <w:szCs w:val="24"/>
        </w:rPr>
      </w:pPr>
      <w:r w:rsidRPr="00A8576F">
        <w:rPr>
          <w:rFonts w:eastAsia="MS Mincho" w:cs="Arial"/>
          <w:szCs w:val="24"/>
        </w:rPr>
        <w:t>Insurers must provide commentary on material changes and trends for all prescribed information</w:t>
      </w:r>
      <w:r w:rsidR="00827A85" w:rsidRPr="00A8576F">
        <w:rPr>
          <w:rFonts w:eastAsia="MS Mincho" w:cs="Arial"/>
          <w:szCs w:val="24"/>
        </w:rPr>
        <w:t xml:space="preserve"> r</w:t>
      </w:r>
      <w:r w:rsidR="00AC72B6" w:rsidRPr="00A8576F">
        <w:rPr>
          <w:rFonts w:eastAsia="MS Mincho" w:cs="Arial"/>
          <w:szCs w:val="24"/>
        </w:rPr>
        <w:t xml:space="preserve">eferred to </w:t>
      </w:r>
      <w:r w:rsidR="0029159F" w:rsidRPr="00A8576F">
        <w:rPr>
          <w:rFonts w:eastAsia="MS Mincho" w:cs="Arial"/>
          <w:szCs w:val="24"/>
        </w:rPr>
        <w:t xml:space="preserve">in paragraph </w:t>
      </w:r>
      <w:r w:rsidR="00DB6836">
        <w:rPr>
          <w:rFonts w:eastAsia="MS Mincho" w:cs="Arial"/>
          <w:szCs w:val="24"/>
        </w:rPr>
        <w:t>7</w:t>
      </w:r>
      <w:r w:rsidR="0029159F" w:rsidRPr="00A8576F">
        <w:rPr>
          <w:rFonts w:eastAsia="MS Mincho" w:cs="Arial"/>
          <w:szCs w:val="24"/>
        </w:rPr>
        <w:t xml:space="preserve">. Such commentary should describe </w:t>
      </w:r>
      <w:r w:rsidR="001C592F" w:rsidRPr="00F55104">
        <w:rPr>
          <w:rFonts w:eastAsia="MS Mincho" w:cs="Arial"/>
          <w:szCs w:val="24"/>
        </w:rPr>
        <w:t>key</w:t>
      </w:r>
      <w:r w:rsidR="0029159F" w:rsidRPr="00A8576F">
        <w:rPr>
          <w:rFonts w:eastAsia="MS Mincho" w:cs="Arial"/>
          <w:szCs w:val="24"/>
        </w:rPr>
        <w:t xml:space="preserve"> developments, factors or events that </w:t>
      </w:r>
      <w:r w:rsidR="00A80DB2" w:rsidRPr="00A8576F">
        <w:rPr>
          <w:rFonts w:eastAsia="MS Mincho" w:cs="Arial"/>
          <w:szCs w:val="24"/>
        </w:rPr>
        <w:t>have</w:t>
      </w:r>
      <w:r w:rsidR="00EA35F8" w:rsidRPr="00A8576F">
        <w:rPr>
          <w:rFonts w:eastAsia="MS Mincho" w:cs="Arial"/>
          <w:szCs w:val="24"/>
        </w:rPr>
        <w:t xml:space="preserve"> occurred during the reporting period and their impact on</w:t>
      </w:r>
      <w:r w:rsidR="005F79FB" w:rsidRPr="00A8576F">
        <w:rPr>
          <w:rFonts w:eastAsia="MS Mincho" w:cs="Arial"/>
          <w:szCs w:val="24"/>
        </w:rPr>
        <w:t>, among other</w:t>
      </w:r>
      <w:r w:rsidR="00E65213">
        <w:rPr>
          <w:rFonts w:eastAsia="MS Mincho" w:cs="Arial"/>
          <w:szCs w:val="24"/>
        </w:rPr>
        <w:t xml:space="preserve"> things</w:t>
      </w:r>
      <w:r w:rsidR="005F79FB" w:rsidRPr="00A8576F">
        <w:rPr>
          <w:rFonts w:eastAsia="MS Mincho" w:cs="Arial"/>
          <w:szCs w:val="24"/>
        </w:rPr>
        <w:t>,</w:t>
      </w:r>
      <w:r w:rsidR="00EA35F8" w:rsidRPr="00A8576F">
        <w:rPr>
          <w:rFonts w:eastAsia="MS Mincho" w:cs="Arial"/>
          <w:szCs w:val="24"/>
        </w:rPr>
        <w:t xml:space="preserve"> the insurer’s business, governance</w:t>
      </w:r>
      <w:r w:rsidR="00AD04C0">
        <w:rPr>
          <w:rFonts w:eastAsia="MS Mincho" w:cs="Arial"/>
          <w:szCs w:val="24"/>
        </w:rPr>
        <w:t xml:space="preserve"> arrangements</w:t>
      </w:r>
      <w:r w:rsidR="00EA35F8" w:rsidRPr="00A8576F">
        <w:rPr>
          <w:rFonts w:eastAsia="MS Mincho" w:cs="Arial"/>
          <w:szCs w:val="24"/>
        </w:rPr>
        <w:t xml:space="preserve">, risk exposure, financial performance, financial condition and operational </w:t>
      </w:r>
      <w:r w:rsidR="00A80DB2" w:rsidRPr="00A8576F">
        <w:rPr>
          <w:rFonts w:eastAsia="MS Mincho" w:cs="Arial"/>
          <w:szCs w:val="24"/>
        </w:rPr>
        <w:t xml:space="preserve">outcomes. </w:t>
      </w:r>
      <w:r w:rsidR="00032AB9" w:rsidRPr="00A8576F">
        <w:rPr>
          <w:rFonts w:eastAsia="MS Mincho" w:cs="Arial"/>
          <w:szCs w:val="24"/>
        </w:rPr>
        <w:t xml:space="preserve">The commentary must be </w:t>
      </w:r>
      <w:r w:rsidR="009217D5" w:rsidRPr="00A8576F">
        <w:rPr>
          <w:rFonts w:eastAsia="MS Mincho" w:cs="Arial"/>
          <w:szCs w:val="24"/>
        </w:rPr>
        <w:t xml:space="preserve">published </w:t>
      </w:r>
      <w:r w:rsidR="00C32F52" w:rsidRPr="00A8576F">
        <w:rPr>
          <w:rFonts w:eastAsia="MS Mincho" w:cs="Arial"/>
          <w:szCs w:val="24"/>
        </w:rPr>
        <w:t xml:space="preserve">in the </w:t>
      </w:r>
      <w:r w:rsidR="00827A85" w:rsidRPr="00A8576F">
        <w:rPr>
          <w:rFonts w:eastAsia="MS Mincho" w:cs="Arial"/>
          <w:szCs w:val="24"/>
        </w:rPr>
        <w:t xml:space="preserve">disclosures for the </w:t>
      </w:r>
      <w:r w:rsidR="0083700A" w:rsidRPr="00A8576F">
        <w:rPr>
          <w:rFonts w:eastAsia="MS Mincho" w:cs="Arial"/>
          <w:szCs w:val="24"/>
        </w:rPr>
        <w:t>financial year to which the information relates.</w:t>
      </w:r>
    </w:p>
    <w:p w14:paraId="2C2D8353" w14:textId="2F5681F1" w:rsidR="00DF02CB" w:rsidRPr="00925703" w:rsidRDefault="00B65E73" w:rsidP="0045726B">
      <w:pPr>
        <w:pStyle w:val="ListParagraph"/>
        <w:numPr>
          <w:ilvl w:val="1"/>
          <w:numId w:val="1"/>
        </w:numPr>
        <w:jc w:val="both"/>
        <w:rPr>
          <w:rFonts w:eastAsia="MS Mincho" w:cs="Arial"/>
          <w:szCs w:val="24"/>
        </w:rPr>
      </w:pPr>
      <w:r>
        <w:rPr>
          <w:rFonts w:eastAsia="MS Mincho" w:cs="Arial"/>
          <w:szCs w:val="24"/>
        </w:rPr>
        <w:t xml:space="preserve">In addition to the prescribed disclosures set out in paragraph </w:t>
      </w:r>
      <w:r w:rsidR="00BA7299">
        <w:rPr>
          <w:rFonts w:eastAsia="MS Mincho" w:cs="Arial"/>
          <w:szCs w:val="24"/>
        </w:rPr>
        <w:t>7</w:t>
      </w:r>
      <w:r>
        <w:rPr>
          <w:rFonts w:eastAsia="MS Mincho" w:cs="Arial"/>
          <w:szCs w:val="24"/>
        </w:rPr>
        <w:t xml:space="preserve">, insurers must publicly disclose any further quantitative or qualitative information that is material to a stakeholder’s understanding of the information required under this Standard </w:t>
      </w:r>
      <w:r w:rsidR="00087D21">
        <w:rPr>
          <w:rFonts w:eastAsia="MS Mincho" w:cs="Arial"/>
          <w:szCs w:val="24"/>
        </w:rPr>
        <w:t>where omission of such information could reasonably be expected to mislead stakeholders, unless the Authority has approved the non-disclosure of such inform</w:t>
      </w:r>
      <w:r>
        <w:rPr>
          <w:rFonts w:eastAsia="MS Mincho" w:cs="Arial"/>
          <w:szCs w:val="24"/>
        </w:rPr>
        <w:t>a</w:t>
      </w:r>
      <w:r w:rsidR="00087D21">
        <w:rPr>
          <w:rFonts w:eastAsia="MS Mincho" w:cs="Arial"/>
          <w:szCs w:val="24"/>
        </w:rPr>
        <w:t>tion in accordance with section 45(2)(a) of the Insurance Act.</w:t>
      </w:r>
    </w:p>
    <w:p w14:paraId="58006532" w14:textId="77777777" w:rsidR="00A43B4B" w:rsidRPr="00A8576F" w:rsidRDefault="00A43B4B" w:rsidP="0045726B">
      <w:pPr>
        <w:jc w:val="both"/>
        <w:rPr>
          <w:rFonts w:eastAsia="MS Mincho" w:cs="Arial"/>
          <w:szCs w:val="24"/>
        </w:rPr>
      </w:pPr>
    </w:p>
    <w:p w14:paraId="58EAF0C3" w14:textId="4EE03C2E" w:rsidR="008848B7" w:rsidRPr="00F55104" w:rsidRDefault="00900CC6" w:rsidP="004D5B05">
      <w:pPr>
        <w:pStyle w:val="Heading1"/>
        <w:rPr>
          <w:rFonts w:eastAsia="MS Mincho"/>
        </w:rPr>
      </w:pPr>
      <w:bookmarkStart w:id="7" w:name="_Toc221717259"/>
      <w:r w:rsidRPr="00F55104">
        <w:rPr>
          <w:rFonts w:eastAsia="MS Mincho"/>
        </w:rPr>
        <w:t xml:space="preserve">Prescribed </w:t>
      </w:r>
      <w:r w:rsidR="00E65213" w:rsidRPr="00F55104">
        <w:rPr>
          <w:rFonts w:eastAsia="MS Mincho"/>
        </w:rPr>
        <w:t>p</w:t>
      </w:r>
      <w:r w:rsidR="00655AB9" w:rsidRPr="00F55104">
        <w:rPr>
          <w:rFonts w:eastAsia="MS Mincho"/>
        </w:rPr>
        <w:t xml:space="preserve">ublic </w:t>
      </w:r>
      <w:r w:rsidR="00E65213" w:rsidRPr="00F55104">
        <w:rPr>
          <w:rFonts w:eastAsia="MS Mincho"/>
        </w:rPr>
        <w:t>d</w:t>
      </w:r>
      <w:r w:rsidR="00655AB9" w:rsidRPr="00F55104">
        <w:rPr>
          <w:rFonts w:eastAsia="MS Mincho"/>
        </w:rPr>
        <w:t xml:space="preserve">isclosure </w:t>
      </w:r>
      <w:r w:rsidR="00E65213" w:rsidRPr="00F55104">
        <w:rPr>
          <w:rFonts w:eastAsia="MS Mincho"/>
        </w:rPr>
        <w:t>r</w:t>
      </w:r>
      <w:r w:rsidR="00655AB9" w:rsidRPr="00F55104">
        <w:rPr>
          <w:rFonts w:eastAsia="MS Mincho"/>
        </w:rPr>
        <w:t>equirements</w:t>
      </w:r>
      <w:bookmarkEnd w:id="7"/>
    </w:p>
    <w:p w14:paraId="555A931D" w14:textId="77777777" w:rsidR="00655AB9" w:rsidRPr="00F55104" w:rsidRDefault="00655AB9" w:rsidP="0045726B">
      <w:pPr>
        <w:pStyle w:val="Heading1"/>
        <w:numPr>
          <w:ilvl w:val="0"/>
          <w:numId w:val="0"/>
        </w:numPr>
        <w:ind w:left="851"/>
        <w:rPr>
          <w:rFonts w:eastAsia="MS Mincho" w:cs="Arial"/>
          <w:b w:val="0"/>
          <w:bCs/>
          <w:szCs w:val="24"/>
        </w:rPr>
      </w:pPr>
      <w:bookmarkStart w:id="8" w:name="_Toc212548490"/>
    </w:p>
    <w:p w14:paraId="1E09554B" w14:textId="407B9CA1" w:rsidR="00F80B4D" w:rsidRPr="00F55104" w:rsidRDefault="00655AB9" w:rsidP="0045726B">
      <w:pPr>
        <w:pStyle w:val="ListParagraph"/>
        <w:numPr>
          <w:ilvl w:val="1"/>
          <w:numId w:val="1"/>
        </w:numPr>
        <w:jc w:val="both"/>
        <w:rPr>
          <w:rFonts w:eastAsia="MS Mincho" w:cs="Arial"/>
          <w:b/>
          <w:szCs w:val="24"/>
        </w:rPr>
      </w:pPr>
      <w:r w:rsidRPr="00F55104">
        <w:rPr>
          <w:rFonts w:eastAsia="MS Mincho" w:cs="Arial"/>
          <w:szCs w:val="24"/>
        </w:rPr>
        <w:t>In accordance</w:t>
      </w:r>
      <w:r w:rsidR="00DF53B9" w:rsidRPr="00F55104">
        <w:rPr>
          <w:rFonts w:eastAsia="MS Mincho" w:cs="Arial"/>
          <w:szCs w:val="24"/>
        </w:rPr>
        <w:t xml:space="preserve"> with section 45(1) of the Insurance Act, insurers must publicl</w:t>
      </w:r>
      <w:r w:rsidR="006F0479" w:rsidRPr="00F55104">
        <w:rPr>
          <w:rFonts w:eastAsia="MS Mincho" w:cs="Arial"/>
          <w:szCs w:val="24"/>
        </w:rPr>
        <w:t>y</w:t>
      </w:r>
      <w:r w:rsidR="00DF53B9" w:rsidRPr="00F55104">
        <w:rPr>
          <w:rFonts w:eastAsia="MS Mincho" w:cs="Arial"/>
          <w:szCs w:val="24"/>
        </w:rPr>
        <w:t xml:space="preserve"> disclose the quantitative</w:t>
      </w:r>
      <w:r w:rsidR="006F0479" w:rsidRPr="00F55104">
        <w:rPr>
          <w:rFonts w:eastAsia="MS Mincho" w:cs="Arial"/>
          <w:szCs w:val="24"/>
        </w:rPr>
        <w:t xml:space="preserve"> and qualitative information prescribed</w:t>
      </w:r>
      <w:r w:rsidR="00801EFD" w:rsidRPr="00F55104">
        <w:rPr>
          <w:rFonts w:eastAsia="MS Mincho" w:cs="Arial"/>
          <w:szCs w:val="24"/>
        </w:rPr>
        <w:t xml:space="preserve"> in this Standard</w:t>
      </w:r>
      <w:r w:rsidR="00984787" w:rsidRPr="00F55104">
        <w:rPr>
          <w:rFonts w:eastAsia="MS Mincho" w:cs="Arial"/>
          <w:szCs w:val="24"/>
        </w:rPr>
        <w:t xml:space="preserve"> by no later than four months after the end of the financial year</w:t>
      </w:r>
      <w:r w:rsidR="00CA73FE" w:rsidRPr="00F55104">
        <w:rPr>
          <w:rFonts w:eastAsia="MS Mincho" w:cs="Arial"/>
          <w:szCs w:val="24"/>
        </w:rPr>
        <w:t xml:space="preserve">. </w:t>
      </w:r>
    </w:p>
    <w:p w14:paraId="67157C4D" w14:textId="77777777" w:rsidR="003906EF" w:rsidRPr="00A8576F" w:rsidRDefault="003906EF" w:rsidP="0045726B">
      <w:pPr>
        <w:pStyle w:val="ListParagraph"/>
        <w:ind w:left="851"/>
        <w:jc w:val="both"/>
        <w:rPr>
          <w:rFonts w:eastAsia="MS Mincho" w:cs="Arial"/>
          <w:b/>
          <w:szCs w:val="24"/>
        </w:rPr>
      </w:pPr>
    </w:p>
    <w:p w14:paraId="7F7B0097" w14:textId="3C2931AA" w:rsidR="00EB455F" w:rsidRDefault="00F71E97" w:rsidP="00EB455F">
      <w:pPr>
        <w:pStyle w:val="ListParagraph"/>
        <w:numPr>
          <w:ilvl w:val="1"/>
          <w:numId w:val="1"/>
        </w:numPr>
        <w:jc w:val="both"/>
        <w:rPr>
          <w:rFonts w:eastAsia="MS Mincho" w:cs="Arial"/>
          <w:b/>
          <w:bCs/>
          <w:szCs w:val="24"/>
        </w:rPr>
      </w:pPr>
      <w:r w:rsidRPr="00980F4E">
        <w:rPr>
          <w:rFonts w:eastAsia="MS Mincho" w:cs="Arial"/>
          <w:b/>
          <w:bCs/>
          <w:szCs w:val="24"/>
        </w:rPr>
        <w:t xml:space="preserve">Qualitative </w:t>
      </w:r>
      <w:r w:rsidR="001D5174">
        <w:rPr>
          <w:rFonts w:eastAsia="MS Mincho" w:cs="Arial"/>
          <w:b/>
          <w:bCs/>
          <w:szCs w:val="24"/>
        </w:rPr>
        <w:t>p</w:t>
      </w:r>
      <w:r w:rsidRPr="00980F4E">
        <w:rPr>
          <w:rFonts w:eastAsia="MS Mincho" w:cs="Arial"/>
          <w:b/>
          <w:bCs/>
          <w:szCs w:val="24"/>
        </w:rPr>
        <w:t xml:space="preserve">rescribed </w:t>
      </w:r>
      <w:r w:rsidR="001D5174">
        <w:rPr>
          <w:rFonts w:eastAsia="MS Mincho" w:cs="Arial"/>
          <w:b/>
          <w:bCs/>
          <w:szCs w:val="24"/>
        </w:rPr>
        <w:t>i</w:t>
      </w:r>
      <w:r w:rsidRPr="00980F4E">
        <w:rPr>
          <w:rFonts w:eastAsia="MS Mincho" w:cs="Arial"/>
          <w:b/>
          <w:bCs/>
          <w:szCs w:val="24"/>
        </w:rPr>
        <w:t>nformation</w:t>
      </w:r>
    </w:p>
    <w:p w14:paraId="0A38D811" w14:textId="77777777" w:rsidR="00013A63" w:rsidRPr="00013A63" w:rsidRDefault="00013A63" w:rsidP="00013A63">
      <w:pPr>
        <w:pStyle w:val="ListParagraph"/>
        <w:rPr>
          <w:rFonts w:eastAsia="MS Mincho" w:cs="Arial"/>
          <w:b/>
          <w:bCs/>
          <w:szCs w:val="24"/>
        </w:rPr>
      </w:pPr>
    </w:p>
    <w:p w14:paraId="2C4E4284" w14:textId="13631F8D" w:rsidR="00364EB7" w:rsidRPr="00D32510" w:rsidRDefault="00292B32" w:rsidP="00ED58FE">
      <w:pPr>
        <w:pStyle w:val="Heading2"/>
        <w:numPr>
          <w:ilvl w:val="2"/>
          <w:numId w:val="10"/>
        </w:numPr>
        <w:ind w:left="851" w:hanging="851"/>
        <w:rPr>
          <w:rFonts w:eastAsia="MS Mincho" w:cs="Arial"/>
          <w:b/>
          <w:bCs/>
          <w:szCs w:val="24"/>
        </w:rPr>
      </w:pPr>
      <w:r w:rsidRPr="00D32510">
        <w:rPr>
          <w:rFonts w:eastAsia="MS Mincho" w:cs="Arial"/>
          <w:b/>
          <w:bCs/>
          <w:szCs w:val="24"/>
        </w:rPr>
        <w:t xml:space="preserve">Company </w:t>
      </w:r>
      <w:r w:rsidR="001D5174">
        <w:rPr>
          <w:rFonts w:eastAsia="MS Mincho" w:cs="Arial"/>
          <w:b/>
          <w:bCs/>
          <w:szCs w:val="24"/>
        </w:rPr>
        <w:t>p</w:t>
      </w:r>
      <w:r w:rsidRPr="00D32510">
        <w:rPr>
          <w:rFonts w:eastAsia="MS Mincho" w:cs="Arial"/>
          <w:b/>
          <w:bCs/>
          <w:szCs w:val="24"/>
        </w:rPr>
        <w:t>rofile</w:t>
      </w:r>
      <w:bookmarkEnd w:id="8"/>
    </w:p>
    <w:p w14:paraId="747A13D6" w14:textId="77777777" w:rsidR="00013A63" w:rsidRPr="00013A63" w:rsidRDefault="00013A63" w:rsidP="00013A63">
      <w:pPr>
        <w:rPr>
          <w:rFonts w:eastAsia="MS Mincho"/>
        </w:rPr>
      </w:pPr>
    </w:p>
    <w:p w14:paraId="0C3BDEDD" w14:textId="15B2A296" w:rsidR="003F6C4F" w:rsidRDefault="0048434A" w:rsidP="00ED58FE">
      <w:pPr>
        <w:pStyle w:val="Heading2"/>
        <w:numPr>
          <w:ilvl w:val="3"/>
          <w:numId w:val="10"/>
        </w:numPr>
        <w:ind w:left="1208" w:hanging="357"/>
        <w:rPr>
          <w:rFonts w:eastAsia="MS Mincho" w:cs="Arial"/>
          <w:szCs w:val="24"/>
        </w:rPr>
      </w:pPr>
      <w:r w:rsidRPr="00A8576F">
        <w:rPr>
          <w:rFonts w:eastAsia="MS Mincho" w:cs="Arial"/>
          <w:szCs w:val="24"/>
        </w:rPr>
        <w:t xml:space="preserve">The insurer must publicly disclose information about its company profile to assist </w:t>
      </w:r>
      <w:r w:rsidR="00E74986" w:rsidRPr="00A8576F">
        <w:rPr>
          <w:rFonts w:eastAsia="MS Mincho" w:cs="Arial"/>
          <w:szCs w:val="24"/>
        </w:rPr>
        <w:t>stakeholders in assessing the insurer’s objectives, strategy</w:t>
      </w:r>
      <w:r w:rsidR="00EE0F2B" w:rsidRPr="00A8576F">
        <w:rPr>
          <w:rFonts w:eastAsia="MS Mincho" w:cs="Arial"/>
          <w:szCs w:val="24"/>
        </w:rPr>
        <w:t xml:space="preserve"> and operational context.</w:t>
      </w:r>
    </w:p>
    <w:p w14:paraId="6EA43966" w14:textId="0C0119C1" w:rsidR="00F635B1" w:rsidRPr="00375DB1" w:rsidRDefault="00177CD6" w:rsidP="00ED58FE">
      <w:pPr>
        <w:pStyle w:val="Heading2"/>
        <w:numPr>
          <w:ilvl w:val="3"/>
          <w:numId w:val="10"/>
        </w:numPr>
        <w:ind w:left="1208" w:hanging="357"/>
        <w:rPr>
          <w:rFonts w:eastAsia="MS Mincho"/>
        </w:rPr>
      </w:pPr>
      <w:r w:rsidRPr="00375DB1">
        <w:rPr>
          <w:rFonts w:eastAsia="MS Mincho" w:cs="Arial"/>
          <w:szCs w:val="24"/>
        </w:rPr>
        <w:t>The</w:t>
      </w:r>
      <w:r w:rsidR="00435B37" w:rsidRPr="00375DB1">
        <w:rPr>
          <w:rFonts w:eastAsia="MS Mincho" w:cs="Arial"/>
          <w:szCs w:val="24"/>
        </w:rPr>
        <w:t xml:space="preserve"> </w:t>
      </w:r>
      <w:r w:rsidR="00D4516C" w:rsidRPr="00375DB1">
        <w:rPr>
          <w:rFonts w:eastAsia="MS Mincho" w:cs="Arial"/>
          <w:szCs w:val="24"/>
        </w:rPr>
        <w:t xml:space="preserve">company profile </w:t>
      </w:r>
      <w:r w:rsidR="005607EF" w:rsidRPr="00375DB1">
        <w:rPr>
          <w:rFonts w:eastAsia="MS Mincho" w:cs="Arial"/>
          <w:szCs w:val="24"/>
        </w:rPr>
        <w:t>disclosures must include, at a minimum</w:t>
      </w:r>
      <w:r w:rsidR="000B7D2C" w:rsidRPr="00375DB1">
        <w:rPr>
          <w:rFonts w:eastAsia="MS Mincho" w:cs="Arial"/>
          <w:szCs w:val="24"/>
        </w:rPr>
        <w:t>,</w:t>
      </w:r>
      <w:r w:rsidR="005607EF" w:rsidRPr="00375DB1">
        <w:rPr>
          <w:rFonts w:eastAsia="MS Mincho" w:cs="Arial"/>
          <w:szCs w:val="24"/>
        </w:rPr>
        <w:t xml:space="preserve"> the following:</w:t>
      </w:r>
      <w:r w:rsidR="00435B37" w:rsidRPr="00375DB1">
        <w:rPr>
          <w:rFonts w:eastAsia="MS Mincho" w:cs="Arial"/>
          <w:szCs w:val="24"/>
        </w:rPr>
        <w:t xml:space="preserve">  </w:t>
      </w:r>
      <w:r w:rsidR="00EE0F2B" w:rsidRPr="00375DB1">
        <w:rPr>
          <w:rFonts w:eastAsia="MS Mincho" w:cs="Arial"/>
          <w:szCs w:val="24"/>
        </w:rPr>
        <w:tab/>
      </w:r>
    </w:p>
    <w:p w14:paraId="17072767" w14:textId="7C7ACB88" w:rsidR="003459CD" w:rsidRPr="005C3843" w:rsidRDefault="00EF3C8C" w:rsidP="00B255A2">
      <w:pPr>
        <w:pStyle w:val="ListParagraph"/>
        <w:numPr>
          <w:ilvl w:val="0"/>
          <w:numId w:val="2"/>
        </w:numPr>
        <w:ind w:left="1718" w:hanging="357"/>
        <w:jc w:val="both"/>
        <w:rPr>
          <w:rFonts w:eastAsia="MS Mincho" w:cs="Arial"/>
          <w:szCs w:val="24"/>
        </w:rPr>
      </w:pPr>
      <w:r w:rsidRPr="00F635B1">
        <w:rPr>
          <w:rFonts w:eastAsia="MS Mincho" w:cs="Arial"/>
          <w:szCs w:val="24"/>
        </w:rPr>
        <w:t>Nature of business: A description of the insurer</w:t>
      </w:r>
      <w:r w:rsidR="00947A1B" w:rsidRPr="00F635B1">
        <w:rPr>
          <w:rFonts w:eastAsia="MS Mincho" w:cs="Arial"/>
          <w:szCs w:val="24"/>
        </w:rPr>
        <w:t>’</w:t>
      </w:r>
      <w:r w:rsidRPr="00F635B1">
        <w:rPr>
          <w:rFonts w:eastAsia="MS Mincho" w:cs="Arial"/>
          <w:szCs w:val="24"/>
        </w:rPr>
        <w:t xml:space="preserve">s insurance and non-insurance </w:t>
      </w:r>
      <w:r w:rsidR="00C3066D" w:rsidRPr="00F635B1">
        <w:rPr>
          <w:rFonts w:eastAsia="MS Mincho" w:cs="Arial"/>
          <w:szCs w:val="24"/>
        </w:rPr>
        <w:t xml:space="preserve">business </w:t>
      </w:r>
      <w:r w:rsidRPr="00F635B1">
        <w:rPr>
          <w:rFonts w:eastAsia="MS Mincho" w:cs="Arial"/>
          <w:szCs w:val="24"/>
        </w:rPr>
        <w:t>a</w:t>
      </w:r>
      <w:r w:rsidR="00C3066D" w:rsidRPr="00F635B1">
        <w:rPr>
          <w:rFonts w:eastAsia="MS Mincho" w:cs="Arial"/>
          <w:szCs w:val="24"/>
        </w:rPr>
        <w:t xml:space="preserve">ctivities, including </w:t>
      </w:r>
      <w:r w:rsidR="002812D3" w:rsidRPr="00F635B1">
        <w:rPr>
          <w:rFonts w:eastAsia="MS Mincho" w:cs="Arial"/>
          <w:szCs w:val="24"/>
        </w:rPr>
        <w:t xml:space="preserve">its lines, </w:t>
      </w:r>
      <w:r w:rsidR="007E30C9" w:rsidRPr="00F635B1">
        <w:rPr>
          <w:rFonts w:eastAsia="MS Mincho" w:cs="Arial"/>
          <w:szCs w:val="24"/>
        </w:rPr>
        <w:t xml:space="preserve">the </w:t>
      </w:r>
      <w:r w:rsidR="00FB4394" w:rsidRPr="00F635B1">
        <w:rPr>
          <w:rFonts w:eastAsia="MS Mincho" w:cs="Arial"/>
          <w:szCs w:val="24"/>
        </w:rPr>
        <w:t xml:space="preserve">classes and sub-classes </w:t>
      </w:r>
      <w:r w:rsidR="003F2694" w:rsidRPr="00F635B1">
        <w:rPr>
          <w:rFonts w:eastAsia="MS Mincho" w:cs="Arial"/>
          <w:szCs w:val="24"/>
        </w:rPr>
        <w:t>it is licensed to conduct business under, to enable stakeholders to understand the insurer’s scope of business and areas of ope</w:t>
      </w:r>
      <w:r w:rsidR="00BD6B0C" w:rsidRPr="00F635B1">
        <w:rPr>
          <w:rFonts w:eastAsia="MS Mincho" w:cs="Arial"/>
          <w:szCs w:val="24"/>
        </w:rPr>
        <w:t>ration.</w:t>
      </w:r>
    </w:p>
    <w:p w14:paraId="785F37E1" w14:textId="49FFCB7A" w:rsidR="008F5C53" w:rsidRPr="005C3843" w:rsidRDefault="00A26034" w:rsidP="00B255A2">
      <w:pPr>
        <w:pStyle w:val="ListParagraph"/>
        <w:numPr>
          <w:ilvl w:val="0"/>
          <w:numId w:val="2"/>
        </w:numPr>
        <w:ind w:left="1718" w:hanging="357"/>
        <w:jc w:val="both"/>
        <w:rPr>
          <w:rFonts w:cs="Arial"/>
          <w:szCs w:val="24"/>
        </w:rPr>
      </w:pPr>
      <w:r w:rsidRPr="004F0B6F">
        <w:rPr>
          <w:rFonts w:eastAsia="MS Mincho" w:cs="Arial"/>
          <w:szCs w:val="24"/>
        </w:rPr>
        <w:t>Corporate structure</w:t>
      </w:r>
      <w:r w:rsidRPr="00A8576F">
        <w:rPr>
          <w:rFonts w:eastAsia="MS Mincho" w:cs="Arial"/>
          <w:szCs w:val="24"/>
        </w:rPr>
        <w:t xml:space="preserve">: A description of the </w:t>
      </w:r>
      <w:r w:rsidR="00365EC9" w:rsidRPr="00A8576F">
        <w:rPr>
          <w:rFonts w:eastAsia="MS Mincho" w:cs="Arial"/>
          <w:szCs w:val="24"/>
        </w:rPr>
        <w:t xml:space="preserve">insurer’s corporate structure, including the </w:t>
      </w:r>
      <w:r w:rsidR="006A2410" w:rsidRPr="00A8576F">
        <w:rPr>
          <w:rFonts w:eastAsia="MS Mincho" w:cs="Arial"/>
          <w:szCs w:val="24"/>
        </w:rPr>
        <w:t>ownership hierarchy up to the ultimate significant owner and, where applicable, t</w:t>
      </w:r>
      <w:r w:rsidR="00074B0A" w:rsidRPr="00A8576F">
        <w:rPr>
          <w:rFonts w:eastAsia="MS Mincho" w:cs="Arial"/>
          <w:szCs w:val="24"/>
        </w:rPr>
        <w:t>he legal entities within a group relevant to the insurer’s operations, to enable stakeholders to understand governance</w:t>
      </w:r>
      <w:r w:rsidR="00AD04C0">
        <w:rPr>
          <w:rFonts w:eastAsia="MS Mincho" w:cs="Arial"/>
          <w:szCs w:val="24"/>
        </w:rPr>
        <w:t xml:space="preserve"> arrangements</w:t>
      </w:r>
      <w:r w:rsidR="00074B0A" w:rsidRPr="00A8576F">
        <w:rPr>
          <w:rFonts w:eastAsia="MS Mincho" w:cs="Arial"/>
          <w:szCs w:val="24"/>
        </w:rPr>
        <w:t>, control and accountability.</w:t>
      </w:r>
      <w:r w:rsidR="00B16FCD" w:rsidRPr="00A8576F">
        <w:rPr>
          <w:rFonts w:eastAsia="MS Mincho" w:cs="Arial"/>
          <w:szCs w:val="24"/>
        </w:rPr>
        <w:t xml:space="preserve"> </w:t>
      </w:r>
    </w:p>
    <w:p w14:paraId="413D6433" w14:textId="2A829BF8" w:rsidR="00DA75E6" w:rsidRPr="00F55104" w:rsidRDefault="00CC3508" w:rsidP="00B255A2">
      <w:pPr>
        <w:pStyle w:val="ListParagraph"/>
        <w:numPr>
          <w:ilvl w:val="0"/>
          <w:numId w:val="2"/>
        </w:numPr>
        <w:ind w:left="1718" w:hanging="357"/>
        <w:jc w:val="both"/>
        <w:rPr>
          <w:rFonts w:cs="Arial"/>
          <w:szCs w:val="24"/>
        </w:rPr>
      </w:pPr>
      <w:r w:rsidRPr="00F55104">
        <w:rPr>
          <w:rFonts w:cs="Arial"/>
          <w:szCs w:val="24"/>
        </w:rPr>
        <w:t xml:space="preserve">External </w:t>
      </w:r>
      <w:r w:rsidR="00673F2B" w:rsidRPr="00F55104">
        <w:rPr>
          <w:rFonts w:cs="Arial"/>
          <w:szCs w:val="24"/>
        </w:rPr>
        <w:t>e</w:t>
      </w:r>
      <w:r w:rsidRPr="00F55104">
        <w:rPr>
          <w:rFonts w:cs="Arial"/>
          <w:szCs w:val="24"/>
        </w:rPr>
        <w:t>nvironment:</w:t>
      </w:r>
      <w:r w:rsidR="00081B47" w:rsidRPr="00F55104">
        <w:rPr>
          <w:rFonts w:cs="Arial"/>
          <w:szCs w:val="24"/>
        </w:rPr>
        <w:t xml:space="preserve"> An overview of the impact of the external environment on the insurer’s business during the reporting period</w:t>
      </w:r>
      <w:r w:rsidR="00670DAF" w:rsidRPr="00F55104">
        <w:rPr>
          <w:rFonts w:cs="Arial"/>
          <w:szCs w:val="24"/>
        </w:rPr>
        <w:t>, including key economic, regulatory, market</w:t>
      </w:r>
      <w:r w:rsidR="000B2675" w:rsidRPr="00F55104">
        <w:rPr>
          <w:rFonts w:cs="Arial"/>
          <w:szCs w:val="24"/>
        </w:rPr>
        <w:t xml:space="preserve">, </w:t>
      </w:r>
      <w:r w:rsidR="00670DAF" w:rsidRPr="00F55104">
        <w:rPr>
          <w:rFonts w:cs="Arial"/>
          <w:szCs w:val="24"/>
        </w:rPr>
        <w:t xml:space="preserve">competitive conditions and any </w:t>
      </w:r>
      <w:r w:rsidR="001C592F" w:rsidRPr="00F55104">
        <w:rPr>
          <w:rFonts w:cs="Arial"/>
          <w:szCs w:val="24"/>
        </w:rPr>
        <w:t>key</w:t>
      </w:r>
      <w:r w:rsidR="00670DAF" w:rsidRPr="00F55104">
        <w:rPr>
          <w:rFonts w:cs="Arial"/>
          <w:szCs w:val="24"/>
        </w:rPr>
        <w:t xml:space="preserve"> events or trends</w:t>
      </w:r>
      <w:r w:rsidR="000A5E2E" w:rsidRPr="00F55104">
        <w:rPr>
          <w:rFonts w:cs="Arial"/>
          <w:szCs w:val="24"/>
        </w:rPr>
        <w:t xml:space="preserve"> that materially influenced the insurer’s business performance, risk exposures </w:t>
      </w:r>
      <w:r w:rsidR="003E49BC" w:rsidRPr="00F55104">
        <w:rPr>
          <w:rFonts w:cs="Arial"/>
          <w:szCs w:val="24"/>
        </w:rPr>
        <w:t>and</w:t>
      </w:r>
      <w:r w:rsidR="000A5E2E" w:rsidRPr="00F55104">
        <w:rPr>
          <w:rFonts w:cs="Arial"/>
          <w:szCs w:val="24"/>
        </w:rPr>
        <w:t xml:space="preserve"> </w:t>
      </w:r>
      <w:r w:rsidR="00FB12EC" w:rsidRPr="00F55104">
        <w:rPr>
          <w:rFonts w:cs="Arial"/>
          <w:szCs w:val="24"/>
        </w:rPr>
        <w:t>high-level</w:t>
      </w:r>
      <w:r w:rsidR="00927361" w:rsidRPr="00F55104">
        <w:rPr>
          <w:rFonts w:cs="Arial"/>
          <w:szCs w:val="24"/>
        </w:rPr>
        <w:t xml:space="preserve"> </w:t>
      </w:r>
      <w:r w:rsidR="000A5E2E" w:rsidRPr="00F55104">
        <w:rPr>
          <w:rFonts w:cs="Arial"/>
          <w:szCs w:val="24"/>
        </w:rPr>
        <w:t>strategic priorities.</w:t>
      </w:r>
    </w:p>
    <w:p w14:paraId="3F9E22F3" w14:textId="77777777" w:rsidR="00EB4F13" w:rsidRPr="00A8576F" w:rsidRDefault="00EB4F13" w:rsidP="0045726B">
      <w:pPr>
        <w:jc w:val="both"/>
        <w:rPr>
          <w:rFonts w:cs="Arial"/>
          <w:szCs w:val="24"/>
        </w:rPr>
      </w:pPr>
    </w:p>
    <w:p w14:paraId="783C289B" w14:textId="70971DD6" w:rsidR="00841EC5" w:rsidRDefault="41E4B7F4" w:rsidP="00ED58FE">
      <w:pPr>
        <w:pStyle w:val="Heading2"/>
        <w:numPr>
          <w:ilvl w:val="2"/>
          <w:numId w:val="10"/>
        </w:numPr>
        <w:ind w:left="851" w:hanging="851"/>
        <w:rPr>
          <w:rFonts w:eastAsia="MS Mincho" w:cs="Arial"/>
          <w:b/>
          <w:bCs/>
          <w:szCs w:val="24"/>
        </w:rPr>
      </w:pPr>
      <w:r w:rsidRPr="00A8576F">
        <w:rPr>
          <w:rFonts w:eastAsia="MS Mincho" w:cs="Arial"/>
          <w:b/>
          <w:bCs/>
          <w:szCs w:val="24"/>
        </w:rPr>
        <w:t>G</w:t>
      </w:r>
      <w:r w:rsidR="00EB4F13" w:rsidRPr="00A8576F">
        <w:rPr>
          <w:rFonts w:eastAsia="MS Mincho" w:cs="Arial"/>
          <w:b/>
          <w:bCs/>
          <w:szCs w:val="24"/>
        </w:rPr>
        <w:t>overnance framework</w:t>
      </w:r>
      <w:r w:rsidR="00841EC5" w:rsidRPr="00A8576F">
        <w:rPr>
          <w:rFonts w:eastAsia="MS Mincho" w:cs="Arial"/>
          <w:b/>
          <w:bCs/>
          <w:szCs w:val="24"/>
        </w:rPr>
        <w:t xml:space="preserve"> </w:t>
      </w:r>
    </w:p>
    <w:p w14:paraId="38C8ABC0" w14:textId="77777777" w:rsidR="00980F4E" w:rsidRPr="00A8576F" w:rsidRDefault="00980F4E" w:rsidP="00980F4E">
      <w:pPr>
        <w:pStyle w:val="ListParagraph"/>
        <w:ind w:left="851"/>
        <w:jc w:val="both"/>
        <w:rPr>
          <w:rFonts w:eastAsia="MS Mincho" w:cs="Arial"/>
          <w:b/>
          <w:bCs/>
          <w:szCs w:val="24"/>
        </w:rPr>
      </w:pPr>
    </w:p>
    <w:p w14:paraId="28914587" w14:textId="45E42DD3" w:rsidR="00BD4C0D" w:rsidRPr="007100D0" w:rsidRDefault="00E72C3D" w:rsidP="00ED58FE">
      <w:pPr>
        <w:pStyle w:val="Heading2"/>
        <w:numPr>
          <w:ilvl w:val="3"/>
          <w:numId w:val="10"/>
        </w:numPr>
        <w:ind w:left="1208" w:hanging="357"/>
        <w:rPr>
          <w:rFonts w:eastAsia="MS Mincho" w:cs="Arial"/>
          <w:b/>
          <w:bCs/>
          <w:szCs w:val="24"/>
        </w:rPr>
      </w:pPr>
      <w:r w:rsidRPr="00A8576F">
        <w:rPr>
          <w:rFonts w:cs="Arial"/>
          <w:szCs w:val="24"/>
        </w:rPr>
        <w:t>The insurer</w:t>
      </w:r>
      <w:r w:rsidR="0001246A" w:rsidRPr="00A8576F">
        <w:rPr>
          <w:rFonts w:cs="Arial"/>
          <w:szCs w:val="24"/>
        </w:rPr>
        <w:t xml:space="preserve"> must publicly disclose </w:t>
      </w:r>
      <w:r w:rsidR="00EC5B9A" w:rsidRPr="00A8576F">
        <w:rPr>
          <w:rFonts w:cs="Arial"/>
          <w:szCs w:val="24"/>
        </w:rPr>
        <w:t xml:space="preserve">information about its governance framework to assist stakeholders in assessing </w:t>
      </w:r>
      <w:r w:rsidR="00004E6E" w:rsidRPr="00A8576F">
        <w:rPr>
          <w:rFonts w:cs="Arial"/>
          <w:szCs w:val="24"/>
        </w:rPr>
        <w:t>the effectiveness, structure and accountability of its management and oversight arrangements.</w:t>
      </w:r>
    </w:p>
    <w:p w14:paraId="10ED874E" w14:textId="4AD6A4C6" w:rsidR="00084FA0" w:rsidRDefault="00090473" w:rsidP="00ED58FE">
      <w:pPr>
        <w:pStyle w:val="Heading2"/>
        <w:numPr>
          <w:ilvl w:val="3"/>
          <w:numId w:val="10"/>
        </w:numPr>
        <w:ind w:left="1208" w:hanging="357"/>
        <w:rPr>
          <w:rFonts w:cs="Arial"/>
          <w:szCs w:val="24"/>
        </w:rPr>
      </w:pPr>
      <w:r w:rsidRPr="00A8576F">
        <w:rPr>
          <w:rFonts w:cs="Arial"/>
          <w:szCs w:val="24"/>
        </w:rPr>
        <w:t>The</w:t>
      </w:r>
      <w:r w:rsidR="00563109" w:rsidRPr="00A8576F">
        <w:rPr>
          <w:rFonts w:cs="Arial"/>
          <w:szCs w:val="24"/>
        </w:rPr>
        <w:t xml:space="preserve"> </w:t>
      </w:r>
      <w:r w:rsidR="0041586F" w:rsidRPr="00A8576F">
        <w:rPr>
          <w:rFonts w:cs="Arial"/>
          <w:szCs w:val="24"/>
        </w:rPr>
        <w:t>disclosure must</w:t>
      </w:r>
      <w:r w:rsidR="00285545" w:rsidRPr="00A8576F">
        <w:rPr>
          <w:rFonts w:cs="Arial"/>
          <w:szCs w:val="24"/>
        </w:rPr>
        <w:t>, at a minimum, include the following elements:</w:t>
      </w:r>
    </w:p>
    <w:p w14:paraId="6DFAAE09" w14:textId="77777777" w:rsidR="00C40BFE" w:rsidRPr="00C40BFE" w:rsidRDefault="00C40BFE" w:rsidP="00C40BFE">
      <w:pPr>
        <w:rPr>
          <w:rFonts w:eastAsia="MS Mincho"/>
        </w:rPr>
      </w:pPr>
    </w:p>
    <w:p w14:paraId="6649B704" w14:textId="5DBEE234" w:rsidR="00084FA0" w:rsidRPr="00912B74" w:rsidRDefault="00106203" w:rsidP="00ED58FE">
      <w:pPr>
        <w:pStyle w:val="ListParagraph"/>
        <w:numPr>
          <w:ilvl w:val="0"/>
          <w:numId w:val="11"/>
        </w:numPr>
        <w:ind w:left="1531" w:hanging="170"/>
        <w:jc w:val="both"/>
        <w:rPr>
          <w:i/>
          <w:iCs/>
        </w:rPr>
      </w:pPr>
      <w:r w:rsidRPr="00DE51DA">
        <w:lastRenderedPageBreak/>
        <w:t>Governance policies and control functions: The insurer must publicly disclose information on its governance policies, internal control arrangements and key oversight mechanisms supporting the governance framework. This disclosure must include:</w:t>
      </w:r>
    </w:p>
    <w:p w14:paraId="5C99A591" w14:textId="586AFAC8" w:rsidR="00084FA0" w:rsidRPr="00464C6A" w:rsidRDefault="00106203" w:rsidP="00ED58FE">
      <w:pPr>
        <w:pStyle w:val="ListParagraph"/>
        <w:numPr>
          <w:ilvl w:val="0"/>
          <w:numId w:val="12"/>
        </w:numPr>
        <w:ind w:left="2041" w:hanging="510"/>
        <w:jc w:val="both"/>
        <w:rPr>
          <w:rFonts w:cs="Arial"/>
        </w:rPr>
      </w:pPr>
      <w:r w:rsidRPr="00DE51DA">
        <w:t xml:space="preserve">A description of the independent control functions, including risk management, compliance, actuarial and internal audit, their roles and responsibilities, and how they contribute to </w:t>
      </w:r>
      <w:r w:rsidR="00720EDB">
        <w:t xml:space="preserve">the </w:t>
      </w:r>
      <w:r w:rsidRPr="00DE51DA">
        <w:t>identification</w:t>
      </w:r>
      <w:r w:rsidR="00181433" w:rsidRPr="00DE51DA">
        <w:t xml:space="preserve"> and</w:t>
      </w:r>
      <w:r w:rsidRPr="00DE51DA">
        <w:t xml:space="preserve"> monitoring </w:t>
      </w:r>
      <w:r w:rsidR="00181433" w:rsidRPr="00DE51DA">
        <w:t xml:space="preserve">of risks, and to the independent assessment and </w:t>
      </w:r>
      <w:r w:rsidR="0078482C" w:rsidRPr="00DE51DA">
        <w:t>critical</w:t>
      </w:r>
      <w:r w:rsidR="00181433" w:rsidRPr="00DE51DA">
        <w:t xml:space="preserve"> review of management’s risk assumptions and risk management practices,</w:t>
      </w:r>
      <w:r w:rsidRPr="00DE51DA">
        <w:t xml:space="preserve"> in line with the insurer’s risk appetite and regulatory obligations. </w:t>
      </w:r>
    </w:p>
    <w:p w14:paraId="3533CD4C" w14:textId="5A6C70A2" w:rsidR="00084FA0" w:rsidRDefault="009B6B0E" w:rsidP="00ED58FE">
      <w:pPr>
        <w:pStyle w:val="ListParagraph"/>
        <w:numPr>
          <w:ilvl w:val="0"/>
          <w:numId w:val="12"/>
        </w:numPr>
        <w:ind w:left="2041" w:hanging="510"/>
        <w:jc w:val="both"/>
        <w:rPr>
          <w:rFonts w:cs="Arial"/>
        </w:rPr>
      </w:pPr>
      <w:r>
        <w:rPr>
          <w:rFonts w:cs="Arial"/>
        </w:rPr>
        <w:t>A</w:t>
      </w:r>
      <w:r w:rsidR="00106203" w:rsidRPr="00464C6A">
        <w:rPr>
          <w:rFonts w:cs="Arial"/>
        </w:rPr>
        <w:t>n overview of the key governance policies and processes implemented to support decision-making, risk management and compliance, including how these policies are maintained, updated and communicated across the organisation.</w:t>
      </w:r>
    </w:p>
    <w:p w14:paraId="4BA4AF34" w14:textId="0D29E12E" w:rsidR="00084FA0" w:rsidRPr="006142E2" w:rsidRDefault="009B6B0E" w:rsidP="00ED58FE">
      <w:pPr>
        <w:pStyle w:val="ListParagraph"/>
        <w:numPr>
          <w:ilvl w:val="0"/>
          <w:numId w:val="12"/>
        </w:numPr>
        <w:ind w:left="2041" w:hanging="510"/>
        <w:jc w:val="both"/>
        <w:rPr>
          <w:rFonts w:cs="Arial"/>
        </w:rPr>
      </w:pPr>
      <w:r>
        <w:rPr>
          <w:rFonts w:cs="Arial"/>
        </w:rPr>
        <w:t>A</w:t>
      </w:r>
      <w:r w:rsidR="00106203" w:rsidRPr="006142E2">
        <w:rPr>
          <w:rFonts w:cs="Arial"/>
        </w:rPr>
        <w:t xml:space="preserve"> narrative explaining how the control functions operate independently from senior management, while providing objective oversight, </w:t>
      </w:r>
      <w:r w:rsidR="00181433" w:rsidRPr="006142E2">
        <w:rPr>
          <w:rFonts w:cs="Arial"/>
        </w:rPr>
        <w:t xml:space="preserve">independent assessment </w:t>
      </w:r>
      <w:r w:rsidR="00106203" w:rsidRPr="006142E2">
        <w:rPr>
          <w:rFonts w:cs="Arial"/>
        </w:rPr>
        <w:t>and assurance regarding the effectiveness of management actions and the overall control environment.</w:t>
      </w:r>
    </w:p>
    <w:p w14:paraId="1B2AA2D7" w14:textId="6B47FB61" w:rsidR="00084FA0" w:rsidRDefault="0028225A" w:rsidP="00ED58FE">
      <w:pPr>
        <w:pStyle w:val="ListParagraph"/>
        <w:numPr>
          <w:ilvl w:val="0"/>
          <w:numId w:val="11"/>
        </w:numPr>
        <w:ind w:left="1531" w:hanging="170"/>
        <w:jc w:val="both"/>
        <w:rPr>
          <w:rFonts w:cs="Arial"/>
        </w:rPr>
      </w:pPr>
      <w:r w:rsidRPr="00DE51DA">
        <w:rPr>
          <w:rFonts w:cs="Arial"/>
        </w:rPr>
        <w:t xml:space="preserve">Board and </w:t>
      </w:r>
      <w:r w:rsidR="00AE0CD5">
        <w:rPr>
          <w:rFonts w:cs="Arial"/>
        </w:rPr>
        <w:t>key persons</w:t>
      </w:r>
      <w:r w:rsidRPr="00DE51DA">
        <w:rPr>
          <w:rFonts w:cs="Arial"/>
        </w:rPr>
        <w:t xml:space="preserve"> </w:t>
      </w:r>
      <w:r w:rsidR="005A33E4" w:rsidRPr="00DE51DA">
        <w:rPr>
          <w:rFonts w:cs="Arial"/>
        </w:rPr>
        <w:t>structure</w:t>
      </w:r>
      <w:r w:rsidR="3DFE20EA" w:rsidRPr="00DE51DA">
        <w:rPr>
          <w:rFonts w:cs="Arial"/>
        </w:rPr>
        <w:t>s</w:t>
      </w:r>
      <w:r w:rsidR="005A33E4" w:rsidRPr="00DE51DA">
        <w:rPr>
          <w:rFonts w:cs="Arial"/>
        </w:rPr>
        <w:t>: The</w:t>
      </w:r>
      <w:r w:rsidR="00C06825" w:rsidRPr="00DE51DA">
        <w:rPr>
          <w:rFonts w:cs="Arial"/>
        </w:rPr>
        <w:t xml:space="preserve"> </w:t>
      </w:r>
      <w:r w:rsidR="00EE1D4E" w:rsidRPr="00DE51DA">
        <w:rPr>
          <w:rFonts w:cs="Arial"/>
        </w:rPr>
        <w:t xml:space="preserve">insurer must disclose its </w:t>
      </w:r>
      <w:r w:rsidR="00C06825" w:rsidRPr="00DE51DA">
        <w:rPr>
          <w:rFonts w:cs="Arial"/>
        </w:rPr>
        <w:t xml:space="preserve">board and committee composition, </w:t>
      </w:r>
      <w:r w:rsidR="000F29F1" w:rsidRPr="00DE51DA">
        <w:rPr>
          <w:rFonts w:cs="Arial"/>
        </w:rPr>
        <w:t xml:space="preserve">including the </w:t>
      </w:r>
      <w:r w:rsidR="00C06825" w:rsidRPr="00DE51DA">
        <w:rPr>
          <w:rFonts w:cs="Arial"/>
        </w:rPr>
        <w:t>roles</w:t>
      </w:r>
      <w:r w:rsidR="000F29F1" w:rsidRPr="00DE51DA">
        <w:rPr>
          <w:rFonts w:cs="Arial"/>
        </w:rPr>
        <w:t xml:space="preserve"> and</w:t>
      </w:r>
      <w:r w:rsidR="00C06825" w:rsidRPr="00DE51DA">
        <w:rPr>
          <w:rFonts w:cs="Arial"/>
        </w:rPr>
        <w:t xml:space="preserve"> responsibilities</w:t>
      </w:r>
      <w:r w:rsidR="000F29F1" w:rsidRPr="00DE51DA">
        <w:rPr>
          <w:rFonts w:cs="Arial"/>
        </w:rPr>
        <w:t xml:space="preserve"> of board member</w:t>
      </w:r>
      <w:r w:rsidR="002B61F7" w:rsidRPr="00DE51DA">
        <w:rPr>
          <w:rFonts w:cs="Arial"/>
        </w:rPr>
        <w:t xml:space="preserve">s and committees, and </w:t>
      </w:r>
      <w:r w:rsidR="00C06825" w:rsidRPr="00DE51DA">
        <w:rPr>
          <w:rFonts w:cs="Arial"/>
        </w:rPr>
        <w:t xml:space="preserve">any material changes </w:t>
      </w:r>
      <w:r w:rsidR="002B61F7" w:rsidRPr="00DE51DA">
        <w:rPr>
          <w:rFonts w:cs="Arial"/>
        </w:rPr>
        <w:t xml:space="preserve">that occurred </w:t>
      </w:r>
      <w:r w:rsidR="005A33E4" w:rsidRPr="00DE51DA">
        <w:rPr>
          <w:rFonts w:cs="Arial"/>
        </w:rPr>
        <w:t xml:space="preserve">during the reporting year. The disclosure </w:t>
      </w:r>
      <w:r w:rsidR="000C5D7E" w:rsidRPr="00DE51DA">
        <w:rPr>
          <w:rFonts w:cs="Arial"/>
        </w:rPr>
        <w:t>should explain how the board and its committee</w:t>
      </w:r>
      <w:r w:rsidR="1502C7F2" w:rsidRPr="00DE51DA">
        <w:rPr>
          <w:rFonts w:cs="Arial"/>
        </w:rPr>
        <w:t>s</w:t>
      </w:r>
      <w:r w:rsidR="000C5D7E" w:rsidRPr="00DE51DA">
        <w:rPr>
          <w:rFonts w:cs="Arial"/>
        </w:rPr>
        <w:t xml:space="preserve"> provide</w:t>
      </w:r>
      <w:r w:rsidR="00FB270E" w:rsidRPr="00DE51DA">
        <w:rPr>
          <w:rFonts w:cs="Arial"/>
        </w:rPr>
        <w:t xml:space="preserve"> oversight of insur</w:t>
      </w:r>
      <w:r w:rsidR="00977B50">
        <w:rPr>
          <w:rFonts w:cs="Arial"/>
        </w:rPr>
        <w:t>ers</w:t>
      </w:r>
      <w:r w:rsidR="002C0151">
        <w:rPr>
          <w:rFonts w:cs="Arial"/>
        </w:rPr>
        <w:t>’</w:t>
      </w:r>
      <w:r w:rsidR="00FB270E" w:rsidRPr="00DE51DA">
        <w:rPr>
          <w:rFonts w:cs="Arial"/>
        </w:rPr>
        <w:t xml:space="preserve"> </w:t>
      </w:r>
      <w:r w:rsidR="003E2C77" w:rsidRPr="00DE51DA">
        <w:rPr>
          <w:rFonts w:cs="Arial"/>
        </w:rPr>
        <w:t>strategic objectives, key business activities</w:t>
      </w:r>
      <w:r w:rsidR="003B317F">
        <w:rPr>
          <w:rFonts w:cs="Arial"/>
        </w:rPr>
        <w:t xml:space="preserve"> and</w:t>
      </w:r>
      <w:r w:rsidR="003E2C77" w:rsidRPr="00DE51DA">
        <w:rPr>
          <w:rFonts w:cs="Arial"/>
        </w:rPr>
        <w:t xml:space="preserve"> risk management</w:t>
      </w:r>
      <w:r w:rsidR="00F265D9" w:rsidRPr="00DE51DA">
        <w:rPr>
          <w:rFonts w:cs="Arial"/>
        </w:rPr>
        <w:t>, i</w:t>
      </w:r>
      <w:r w:rsidR="00C3039F" w:rsidRPr="00DE51DA">
        <w:rPr>
          <w:rFonts w:cs="Arial"/>
        </w:rPr>
        <w:t xml:space="preserve">ncluding </w:t>
      </w:r>
      <w:r w:rsidR="00980F4E" w:rsidRPr="00DE51DA">
        <w:rPr>
          <w:rFonts w:cs="Arial"/>
        </w:rPr>
        <w:t xml:space="preserve">the </w:t>
      </w:r>
      <w:r w:rsidR="00C3039F" w:rsidRPr="00DE51DA">
        <w:rPr>
          <w:rFonts w:cs="Arial"/>
        </w:rPr>
        <w:t xml:space="preserve">frequency </w:t>
      </w:r>
      <w:r w:rsidR="00731066" w:rsidRPr="00DE51DA">
        <w:rPr>
          <w:rFonts w:cs="Arial"/>
        </w:rPr>
        <w:t>and committee meetings.</w:t>
      </w:r>
    </w:p>
    <w:p w14:paraId="2F7A2AB0" w14:textId="08C345C1" w:rsidR="003459CD" w:rsidRPr="009A4D3A" w:rsidRDefault="00613669" w:rsidP="00ED58FE">
      <w:pPr>
        <w:pStyle w:val="ListParagraph"/>
        <w:numPr>
          <w:ilvl w:val="0"/>
          <w:numId w:val="11"/>
        </w:numPr>
        <w:ind w:left="1531" w:hanging="170"/>
        <w:jc w:val="both"/>
        <w:rPr>
          <w:rFonts w:cs="Arial"/>
        </w:rPr>
      </w:pPr>
      <w:r w:rsidRPr="009A4D3A">
        <w:rPr>
          <w:rFonts w:cs="Arial"/>
        </w:rPr>
        <w:t xml:space="preserve">Senior </w:t>
      </w:r>
      <w:r w:rsidR="00473278" w:rsidRPr="009A4D3A">
        <w:rPr>
          <w:rFonts w:cs="Arial"/>
        </w:rPr>
        <w:t>management: The</w:t>
      </w:r>
      <w:r w:rsidRPr="009A4D3A">
        <w:rPr>
          <w:rFonts w:cs="Arial"/>
        </w:rPr>
        <w:t xml:space="preserve"> disclosure must provide </w:t>
      </w:r>
      <w:r w:rsidR="00181433" w:rsidRPr="009A4D3A">
        <w:rPr>
          <w:rFonts w:cs="Arial"/>
        </w:rPr>
        <w:t>information</w:t>
      </w:r>
      <w:r w:rsidRPr="009A4D3A">
        <w:rPr>
          <w:rFonts w:cs="Arial"/>
        </w:rPr>
        <w:t xml:space="preserve"> </w:t>
      </w:r>
      <w:r w:rsidR="007E4E42" w:rsidRPr="009A4D3A">
        <w:rPr>
          <w:rFonts w:cs="Arial"/>
        </w:rPr>
        <w:t xml:space="preserve">on the roles, responsibilities and reporting </w:t>
      </w:r>
      <w:r w:rsidR="00181433" w:rsidRPr="009A4D3A">
        <w:rPr>
          <w:rFonts w:cs="Arial"/>
        </w:rPr>
        <w:t xml:space="preserve">lines </w:t>
      </w:r>
      <w:r w:rsidR="007E4E42" w:rsidRPr="009A4D3A">
        <w:rPr>
          <w:rFonts w:cs="Arial"/>
        </w:rPr>
        <w:t>of key senior management</w:t>
      </w:r>
      <w:r w:rsidR="00EB366C" w:rsidRPr="009A4D3A">
        <w:rPr>
          <w:rFonts w:cs="Arial"/>
        </w:rPr>
        <w:t xml:space="preserve">. This includes </w:t>
      </w:r>
      <w:r w:rsidR="00181433" w:rsidRPr="009A4D3A">
        <w:rPr>
          <w:rFonts w:cs="Arial"/>
        </w:rPr>
        <w:t xml:space="preserve">any </w:t>
      </w:r>
      <w:r w:rsidR="00EB366C" w:rsidRPr="009A4D3A">
        <w:rPr>
          <w:rFonts w:cs="Arial"/>
        </w:rPr>
        <w:t>material changes to senior management during the reporting period and</w:t>
      </w:r>
      <w:r w:rsidR="00FB0594" w:rsidRPr="009A4D3A">
        <w:rPr>
          <w:rFonts w:cs="Arial"/>
        </w:rPr>
        <w:t xml:space="preserve"> their responsibilities in implementing board-approved strategies, man</w:t>
      </w:r>
      <w:r w:rsidR="009F65C8" w:rsidRPr="009A4D3A">
        <w:rPr>
          <w:rFonts w:cs="Arial"/>
        </w:rPr>
        <w:t>a</w:t>
      </w:r>
      <w:r w:rsidR="00FB0594" w:rsidRPr="009A4D3A">
        <w:rPr>
          <w:rFonts w:cs="Arial"/>
        </w:rPr>
        <w:t xml:space="preserve">ging operational risk and ensuring </w:t>
      </w:r>
      <w:r w:rsidR="00AE630C" w:rsidRPr="009A4D3A">
        <w:rPr>
          <w:rFonts w:cs="Arial"/>
        </w:rPr>
        <w:t>compliance</w:t>
      </w:r>
      <w:r w:rsidR="00232052" w:rsidRPr="009A4D3A">
        <w:rPr>
          <w:rFonts w:cs="Arial"/>
        </w:rPr>
        <w:t xml:space="preserve"> </w:t>
      </w:r>
      <w:r w:rsidR="009F65C8" w:rsidRPr="009A4D3A">
        <w:rPr>
          <w:rFonts w:cs="Arial"/>
        </w:rPr>
        <w:t xml:space="preserve">with </w:t>
      </w:r>
      <w:r w:rsidR="00232052" w:rsidRPr="009A4D3A">
        <w:rPr>
          <w:rFonts w:cs="Arial"/>
        </w:rPr>
        <w:t>governance policies. Th</w:t>
      </w:r>
      <w:r w:rsidR="009F65C8" w:rsidRPr="009A4D3A">
        <w:rPr>
          <w:rFonts w:cs="Arial"/>
        </w:rPr>
        <w:t xml:space="preserve">e </w:t>
      </w:r>
      <w:r w:rsidR="00232052" w:rsidRPr="009A4D3A">
        <w:rPr>
          <w:rFonts w:cs="Arial"/>
        </w:rPr>
        <w:t xml:space="preserve">narrative </w:t>
      </w:r>
      <w:r w:rsidR="009F65C8" w:rsidRPr="009A4D3A">
        <w:rPr>
          <w:rFonts w:cs="Arial"/>
        </w:rPr>
        <w:t>should</w:t>
      </w:r>
      <w:r w:rsidR="00232052" w:rsidRPr="009A4D3A">
        <w:rPr>
          <w:rFonts w:cs="Arial"/>
        </w:rPr>
        <w:t xml:space="preserve"> </w:t>
      </w:r>
      <w:r w:rsidR="000A3043" w:rsidRPr="009A4D3A">
        <w:rPr>
          <w:rFonts w:cs="Arial"/>
        </w:rPr>
        <w:t>provide context</w:t>
      </w:r>
      <w:r w:rsidR="00232052" w:rsidRPr="009A4D3A">
        <w:rPr>
          <w:rFonts w:cs="Arial"/>
        </w:rPr>
        <w:t xml:space="preserve"> </w:t>
      </w:r>
      <w:r w:rsidR="00181433" w:rsidRPr="009A4D3A">
        <w:rPr>
          <w:rFonts w:cs="Arial"/>
        </w:rPr>
        <w:t>on</w:t>
      </w:r>
      <w:r w:rsidR="00232052" w:rsidRPr="009A4D3A">
        <w:rPr>
          <w:rFonts w:cs="Arial"/>
        </w:rPr>
        <w:t xml:space="preserve"> how senior management supports the </w:t>
      </w:r>
      <w:r w:rsidR="00980F4E" w:rsidRPr="009A4D3A">
        <w:rPr>
          <w:rFonts w:cs="Arial"/>
        </w:rPr>
        <w:t>insurer's</w:t>
      </w:r>
      <w:r w:rsidR="00232052" w:rsidRPr="009A4D3A">
        <w:rPr>
          <w:rFonts w:cs="Arial"/>
        </w:rPr>
        <w:t xml:space="preserve"> governance </w:t>
      </w:r>
      <w:r w:rsidR="009F65C8" w:rsidRPr="009A4D3A">
        <w:rPr>
          <w:rFonts w:cs="Arial"/>
        </w:rPr>
        <w:t>framework and</w:t>
      </w:r>
      <w:r w:rsidR="009B5E05" w:rsidRPr="009A4D3A">
        <w:rPr>
          <w:rFonts w:cs="Arial"/>
        </w:rPr>
        <w:t xml:space="preserve"> </w:t>
      </w:r>
      <w:r w:rsidR="009F65C8" w:rsidRPr="009A4D3A">
        <w:rPr>
          <w:rFonts w:cs="Arial"/>
        </w:rPr>
        <w:t>contributes</w:t>
      </w:r>
      <w:r w:rsidR="009B5E05" w:rsidRPr="009A4D3A">
        <w:rPr>
          <w:rFonts w:cs="Arial"/>
        </w:rPr>
        <w:t xml:space="preserve"> to the </w:t>
      </w:r>
      <w:r w:rsidR="00181433" w:rsidRPr="009A4D3A">
        <w:rPr>
          <w:rFonts w:cs="Arial"/>
        </w:rPr>
        <w:t xml:space="preserve">effective functioning of the insurer’s </w:t>
      </w:r>
      <w:r w:rsidR="009B5E05" w:rsidRPr="009A4D3A">
        <w:rPr>
          <w:rFonts w:cs="Arial"/>
        </w:rPr>
        <w:t>overall control environment</w:t>
      </w:r>
      <w:r w:rsidR="003B317F">
        <w:rPr>
          <w:rFonts w:cs="Arial"/>
        </w:rPr>
        <w:t>.</w:t>
      </w:r>
      <w:r w:rsidR="009A1336" w:rsidRPr="009A4D3A">
        <w:rPr>
          <w:rStyle w:val="CommentReference"/>
          <w:rFonts w:cs="Arial"/>
          <w:sz w:val="24"/>
          <w:szCs w:val="24"/>
        </w:rPr>
        <w:t xml:space="preserve"> </w:t>
      </w:r>
      <w:r w:rsidR="00C3039F" w:rsidRPr="009A4D3A">
        <w:rPr>
          <w:rFonts w:cs="Arial"/>
        </w:rPr>
        <w:t xml:space="preserve"> </w:t>
      </w:r>
    </w:p>
    <w:p w14:paraId="5914155B" w14:textId="77777777" w:rsidR="00625530" w:rsidRPr="00A8576F" w:rsidRDefault="00625530" w:rsidP="0045726B">
      <w:pPr>
        <w:pStyle w:val="ListParagraph"/>
        <w:ind w:left="1930"/>
        <w:jc w:val="both"/>
        <w:rPr>
          <w:rFonts w:cs="Arial"/>
          <w:szCs w:val="24"/>
        </w:rPr>
      </w:pPr>
    </w:p>
    <w:p w14:paraId="6FA7FBAE" w14:textId="34FE955C" w:rsidR="002754C2" w:rsidRDefault="002754C2" w:rsidP="00ED58FE">
      <w:pPr>
        <w:pStyle w:val="Heading2"/>
        <w:numPr>
          <w:ilvl w:val="2"/>
          <w:numId w:val="10"/>
        </w:numPr>
        <w:ind w:left="851" w:hanging="851"/>
        <w:rPr>
          <w:rFonts w:eastAsia="MS Mincho" w:cs="Arial"/>
          <w:b/>
          <w:szCs w:val="24"/>
        </w:rPr>
      </w:pPr>
      <w:r w:rsidRPr="00A8576F">
        <w:rPr>
          <w:rFonts w:eastAsia="MS Mincho" w:cs="Arial"/>
          <w:b/>
          <w:szCs w:val="24"/>
        </w:rPr>
        <w:t>Insurance risk exposures</w:t>
      </w:r>
    </w:p>
    <w:p w14:paraId="4F34DD8E" w14:textId="77777777" w:rsidR="001F1CBC" w:rsidRPr="00A8576F" w:rsidRDefault="001F1CBC" w:rsidP="001F1CBC">
      <w:pPr>
        <w:pStyle w:val="ListParagraph"/>
        <w:ind w:left="851"/>
        <w:jc w:val="both"/>
        <w:rPr>
          <w:rFonts w:eastAsia="MS Mincho" w:cs="Arial"/>
          <w:b/>
          <w:szCs w:val="24"/>
        </w:rPr>
      </w:pPr>
    </w:p>
    <w:p w14:paraId="03255044" w14:textId="5B288BBB" w:rsidR="001F1CBC" w:rsidRDefault="002904F2" w:rsidP="00ED58FE">
      <w:pPr>
        <w:pStyle w:val="Heading2"/>
        <w:numPr>
          <w:ilvl w:val="3"/>
          <w:numId w:val="10"/>
        </w:numPr>
        <w:ind w:left="1208" w:hanging="357"/>
        <w:rPr>
          <w:rFonts w:eastAsia="MS Mincho" w:cs="Arial"/>
        </w:rPr>
      </w:pPr>
      <w:r w:rsidRPr="59EB61C6">
        <w:rPr>
          <w:rFonts w:eastAsia="MS Mincho" w:cs="Arial"/>
        </w:rPr>
        <w:t>The insurer must publicly disclose information about its exposure to insurance risk to enable stakeholders to understand</w:t>
      </w:r>
      <w:r w:rsidR="00756C33" w:rsidRPr="59EB61C6">
        <w:rPr>
          <w:rFonts w:eastAsia="MS Mincho" w:cs="Arial"/>
        </w:rPr>
        <w:t xml:space="preserve"> the </w:t>
      </w:r>
      <w:r w:rsidRPr="59EB61C6">
        <w:rPr>
          <w:rFonts w:eastAsia="MS Mincho" w:cs="Arial"/>
        </w:rPr>
        <w:t>n</w:t>
      </w:r>
      <w:r w:rsidR="00756C33" w:rsidRPr="59EB61C6">
        <w:rPr>
          <w:rFonts w:eastAsia="MS Mincho" w:cs="Arial"/>
        </w:rPr>
        <w:t xml:space="preserve">ature, scale </w:t>
      </w:r>
      <w:r w:rsidR="007855C4" w:rsidRPr="59EB61C6">
        <w:rPr>
          <w:rFonts w:eastAsia="MS Mincho" w:cs="Arial"/>
        </w:rPr>
        <w:t xml:space="preserve">and </w:t>
      </w:r>
      <w:r w:rsidR="00756C33" w:rsidRPr="59EB61C6">
        <w:rPr>
          <w:rFonts w:eastAsia="MS Mincho" w:cs="Arial"/>
        </w:rPr>
        <w:t xml:space="preserve">complexity of the risks it faces, and the strategies and controls in place to manage those risks. This </w:t>
      </w:r>
      <w:r w:rsidR="005722A9" w:rsidRPr="59EB61C6">
        <w:rPr>
          <w:rFonts w:eastAsia="MS Mincho" w:cs="Arial"/>
        </w:rPr>
        <w:t>disclosure</w:t>
      </w:r>
      <w:r w:rsidR="00756C33" w:rsidRPr="59EB61C6">
        <w:rPr>
          <w:rFonts w:eastAsia="MS Mincho" w:cs="Arial"/>
        </w:rPr>
        <w:t xml:space="preserve"> should highlight how the insurer’s </w:t>
      </w:r>
      <w:r w:rsidR="005722A9" w:rsidRPr="59EB61C6">
        <w:rPr>
          <w:rFonts w:eastAsia="MS Mincho" w:cs="Arial"/>
        </w:rPr>
        <w:t>risk profile</w:t>
      </w:r>
      <w:r w:rsidR="001343E5" w:rsidRPr="59EB61C6">
        <w:rPr>
          <w:rFonts w:eastAsia="MS Mincho" w:cs="Arial"/>
        </w:rPr>
        <w:t xml:space="preserve"> is managed to maintain </w:t>
      </w:r>
      <w:r w:rsidR="002848A3">
        <w:rPr>
          <w:rFonts w:eastAsia="MS Mincho" w:cs="Arial"/>
        </w:rPr>
        <w:t xml:space="preserve">a </w:t>
      </w:r>
      <w:r w:rsidR="00925CA8">
        <w:rPr>
          <w:rFonts w:eastAsia="MS Mincho" w:cs="Arial"/>
        </w:rPr>
        <w:t xml:space="preserve">solvency </w:t>
      </w:r>
      <w:r w:rsidR="00184A2C">
        <w:rPr>
          <w:rFonts w:eastAsia="MS Mincho" w:cs="Arial"/>
        </w:rPr>
        <w:t xml:space="preserve">position </w:t>
      </w:r>
      <w:r w:rsidR="00925CA8">
        <w:rPr>
          <w:rFonts w:eastAsia="MS Mincho" w:cs="Arial"/>
        </w:rPr>
        <w:t>and ongoing financial soundness</w:t>
      </w:r>
      <w:r w:rsidR="001343E5" w:rsidRPr="59EB61C6">
        <w:rPr>
          <w:rFonts w:eastAsia="MS Mincho" w:cs="Arial"/>
        </w:rPr>
        <w:t>.</w:t>
      </w:r>
    </w:p>
    <w:p w14:paraId="13E23793" w14:textId="251F34C6" w:rsidR="008F5C53" w:rsidRPr="005B1DAA" w:rsidRDefault="001343E5" w:rsidP="00ED58FE">
      <w:pPr>
        <w:pStyle w:val="Heading2"/>
        <w:numPr>
          <w:ilvl w:val="3"/>
          <w:numId w:val="10"/>
        </w:numPr>
        <w:ind w:left="1208" w:hanging="357"/>
        <w:rPr>
          <w:rFonts w:eastAsia="MS Mincho"/>
        </w:rPr>
      </w:pPr>
      <w:r w:rsidRPr="005B1DAA">
        <w:rPr>
          <w:rFonts w:eastAsia="MS Mincho" w:cs="Arial"/>
          <w:szCs w:val="24"/>
        </w:rPr>
        <w:t xml:space="preserve">At a minimum, the </w:t>
      </w:r>
      <w:r w:rsidR="005722A9" w:rsidRPr="005B1DAA">
        <w:rPr>
          <w:rFonts w:eastAsia="MS Mincho" w:cs="Arial"/>
          <w:szCs w:val="24"/>
        </w:rPr>
        <w:t>disclosure</w:t>
      </w:r>
      <w:r w:rsidRPr="005B1DAA">
        <w:rPr>
          <w:rFonts w:eastAsia="MS Mincho" w:cs="Arial"/>
          <w:szCs w:val="24"/>
        </w:rPr>
        <w:t xml:space="preserve"> must include:</w:t>
      </w:r>
    </w:p>
    <w:p w14:paraId="4390FE36" w14:textId="7AF55582" w:rsidR="00D7629C" w:rsidRDefault="005722A9" w:rsidP="00ED58FE">
      <w:pPr>
        <w:pStyle w:val="ListParagraph"/>
        <w:numPr>
          <w:ilvl w:val="0"/>
          <w:numId w:val="13"/>
        </w:numPr>
        <w:ind w:left="1531" w:hanging="170"/>
        <w:jc w:val="both"/>
        <w:rPr>
          <w:rFonts w:eastAsia="MS Mincho" w:cs="Arial"/>
          <w:szCs w:val="24"/>
        </w:rPr>
      </w:pPr>
      <w:r w:rsidRPr="00A8576F">
        <w:rPr>
          <w:rFonts w:eastAsia="MS Mincho" w:cs="Arial"/>
          <w:szCs w:val="24"/>
        </w:rPr>
        <w:t>Types and nature of risks: The insurer must disclose a description of the key insurance risks, including underwriting, claims and concentration risks, as well as any emerging risks.</w:t>
      </w:r>
    </w:p>
    <w:p w14:paraId="26FA3F65" w14:textId="5BB82EB6" w:rsidR="00D7629C" w:rsidRDefault="00646C3D" w:rsidP="00ED58FE">
      <w:pPr>
        <w:pStyle w:val="ListParagraph"/>
        <w:numPr>
          <w:ilvl w:val="0"/>
          <w:numId w:val="13"/>
        </w:numPr>
        <w:ind w:left="1531" w:hanging="170"/>
        <w:jc w:val="both"/>
        <w:rPr>
          <w:rFonts w:eastAsia="MS Mincho" w:cs="Arial"/>
          <w:szCs w:val="24"/>
        </w:rPr>
      </w:pPr>
      <w:r w:rsidRPr="004E31AC">
        <w:rPr>
          <w:rFonts w:eastAsia="MS Mincho" w:cs="Arial"/>
          <w:szCs w:val="24"/>
        </w:rPr>
        <w:t>Risk management objectives and policies:</w:t>
      </w:r>
      <w:r w:rsidRPr="004E31AC">
        <w:rPr>
          <w:rFonts w:eastAsia="MS Mincho" w:cs="Arial"/>
          <w:b/>
          <w:bCs/>
          <w:szCs w:val="24"/>
        </w:rPr>
        <w:t xml:space="preserve"> </w:t>
      </w:r>
      <w:r w:rsidRPr="004E31AC">
        <w:rPr>
          <w:rFonts w:eastAsia="MS Mincho" w:cs="Arial"/>
          <w:szCs w:val="24"/>
        </w:rPr>
        <w:t>The disclosure must provide an overview of the insurer’s objectives, policies and techniques</w:t>
      </w:r>
      <w:r w:rsidR="00CC01AD" w:rsidRPr="004E31AC">
        <w:rPr>
          <w:rFonts w:eastAsia="MS Mincho" w:cs="Arial"/>
          <w:szCs w:val="24"/>
        </w:rPr>
        <w:t xml:space="preserve"> for identifying, measuring, monitoring and mitigating insurance risks, including underwriting processes.</w:t>
      </w:r>
    </w:p>
    <w:p w14:paraId="60E435AF" w14:textId="43E4E910" w:rsidR="00D7629C" w:rsidRDefault="00E4047E" w:rsidP="00ED58FE">
      <w:pPr>
        <w:pStyle w:val="ListParagraph"/>
        <w:numPr>
          <w:ilvl w:val="0"/>
          <w:numId w:val="13"/>
        </w:numPr>
        <w:ind w:left="1531" w:hanging="170"/>
        <w:jc w:val="both"/>
        <w:rPr>
          <w:rFonts w:eastAsia="MS Mincho" w:cs="Arial"/>
          <w:szCs w:val="24"/>
        </w:rPr>
      </w:pPr>
      <w:r w:rsidRPr="004E31AC">
        <w:rPr>
          <w:rFonts w:eastAsia="MS Mincho" w:cs="Arial"/>
          <w:szCs w:val="24"/>
        </w:rPr>
        <w:t>Reinsurance and risk transfer arrangements:</w:t>
      </w:r>
      <w:r w:rsidRPr="004E31AC">
        <w:rPr>
          <w:rFonts w:eastAsia="MS Mincho" w:cs="Arial"/>
          <w:b/>
          <w:bCs/>
          <w:szCs w:val="24"/>
        </w:rPr>
        <w:t xml:space="preserve"> </w:t>
      </w:r>
      <w:r w:rsidR="00EC35E9" w:rsidRPr="00D00BE9">
        <w:rPr>
          <w:rFonts w:eastAsia="MS Mincho" w:cs="Arial"/>
          <w:szCs w:val="24"/>
        </w:rPr>
        <w:t>The disclosure must provide a</w:t>
      </w:r>
      <w:r w:rsidR="00B44206" w:rsidRPr="00EC35E9">
        <w:rPr>
          <w:rFonts w:eastAsia="MS Mincho" w:cs="Arial"/>
          <w:szCs w:val="24"/>
        </w:rPr>
        <w:t xml:space="preserve"> narrative explanation of the use of </w:t>
      </w:r>
      <w:r w:rsidR="00B44206" w:rsidRPr="004E31AC">
        <w:rPr>
          <w:rFonts w:eastAsia="MS Mincho" w:cs="Arial"/>
          <w:szCs w:val="24"/>
        </w:rPr>
        <w:t xml:space="preserve">reinsurance or other risk transfer </w:t>
      </w:r>
      <w:r w:rsidR="00B44206" w:rsidRPr="004E31AC">
        <w:rPr>
          <w:rFonts w:eastAsia="MS Mincho" w:cs="Arial"/>
          <w:szCs w:val="24"/>
        </w:rPr>
        <w:lastRenderedPageBreak/>
        <w:t>mechanisms, the materiality of such arr</w:t>
      </w:r>
      <w:r w:rsidR="00D12254" w:rsidRPr="004E31AC">
        <w:rPr>
          <w:rFonts w:eastAsia="MS Mincho" w:cs="Arial"/>
          <w:szCs w:val="24"/>
        </w:rPr>
        <w:t>angements, and their contribution to the insurer’s risk management strateg</w:t>
      </w:r>
      <w:r w:rsidR="001B5F7C" w:rsidRPr="004E31AC">
        <w:rPr>
          <w:rFonts w:eastAsia="MS Mincho" w:cs="Arial"/>
          <w:szCs w:val="24"/>
        </w:rPr>
        <w:t>y.</w:t>
      </w:r>
    </w:p>
    <w:p w14:paraId="7198246C" w14:textId="3FCDE8B3" w:rsidR="00D7629C" w:rsidRDefault="0091427E" w:rsidP="00ED58FE">
      <w:pPr>
        <w:pStyle w:val="ListParagraph"/>
        <w:numPr>
          <w:ilvl w:val="0"/>
          <w:numId w:val="13"/>
        </w:numPr>
        <w:ind w:left="1531" w:hanging="170"/>
        <w:jc w:val="both"/>
        <w:rPr>
          <w:rFonts w:eastAsia="MS Mincho" w:cs="Arial"/>
          <w:szCs w:val="24"/>
        </w:rPr>
      </w:pPr>
      <w:r w:rsidRPr="004E31AC">
        <w:rPr>
          <w:rFonts w:eastAsia="MS Mincho" w:cs="Arial"/>
          <w:szCs w:val="24"/>
        </w:rPr>
        <w:t xml:space="preserve">Risk concentrations: </w:t>
      </w:r>
      <w:r w:rsidR="004664C0" w:rsidRPr="004E31AC">
        <w:rPr>
          <w:rFonts w:eastAsia="MS Mincho" w:cs="Arial"/>
          <w:szCs w:val="24"/>
        </w:rPr>
        <w:t>The disclosure must include a discussion of material risk concentration</w:t>
      </w:r>
      <w:r w:rsidR="00092ABF" w:rsidRPr="004E31AC">
        <w:rPr>
          <w:rFonts w:eastAsia="MS Mincho" w:cs="Arial"/>
          <w:szCs w:val="24"/>
        </w:rPr>
        <w:t xml:space="preserve">s, such as geographic, product line or portfolio concentrations, and their potential impact on the insurer’s </w:t>
      </w:r>
      <w:r w:rsidR="00C6747B" w:rsidRPr="004E31AC">
        <w:rPr>
          <w:rFonts w:eastAsia="MS Mincho" w:cs="Arial"/>
          <w:szCs w:val="24"/>
        </w:rPr>
        <w:t>risk profile.</w:t>
      </w:r>
    </w:p>
    <w:p w14:paraId="77B981C6" w14:textId="0EBFB518" w:rsidR="00D9507A" w:rsidRDefault="00C6747B" w:rsidP="00ED58FE">
      <w:pPr>
        <w:pStyle w:val="ListParagraph"/>
        <w:numPr>
          <w:ilvl w:val="0"/>
          <w:numId w:val="13"/>
        </w:numPr>
        <w:ind w:left="1531" w:hanging="170"/>
        <w:jc w:val="both"/>
        <w:rPr>
          <w:rFonts w:eastAsia="MS Mincho" w:cs="Arial"/>
          <w:szCs w:val="24"/>
        </w:rPr>
      </w:pPr>
      <w:r w:rsidRPr="004E31AC">
        <w:rPr>
          <w:rFonts w:eastAsia="MS Mincho" w:cs="Arial"/>
          <w:szCs w:val="24"/>
        </w:rPr>
        <w:t xml:space="preserve">Risk appetite and governance: </w:t>
      </w:r>
      <w:r w:rsidR="00527E4E">
        <w:rPr>
          <w:rFonts w:eastAsia="MS Mincho" w:cs="Arial"/>
          <w:szCs w:val="24"/>
        </w:rPr>
        <w:t>The disclosure must include a</w:t>
      </w:r>
      <w:r w:rsidRPr="004E31AC">
        <w:rPr>
          <w:rFonts w:eastAsia="MS Mincho" w:cs="Arial"/>
          <w:szCs w:val="24"/>
        </w:rPr>
        <w:t xml:space="preserve"> description of the insurer’s risk appetite</w:t>
      </w:r>
      <w:r w:rsidR="00533923" w:rsidRPr="004E31AC">
        <w:rPr>
          <w:rFonts w:eastAsia="MS Mincho" w:cs="Arial"/>
          <w:szCs w:val="24"/>
        </w:rPr>
        <w:t xml:space="preserve"> </w:t>
      </w:r>
      <w:r w:rsidR="00D33898" w:rsidRPr="004E31AC">
        <w:rPr>
          <w:rFonts w:eastAsia="MS Mincho" w:cs="Arial"/>
          <w:szCs w:val="24"/>
        </w:rPr>
        <w:t>and governance framework for insurance risk management, including policies for monitoring, reporting and controlling risk</w:t>
      </w:r>
      <w:r w:rsidR="00D9507A" w:rsidRPr="004E31AC">
        <w:rPr>
          <w:rFonts w:eastAsia="MS Mincho" w:cs="Arial"/>
          <w:szCs w:val="24"/>
        </w:rPr>
        <w:t>.</w:t>
      </w:r>
    </w:p>
    <w:p w14:paraId="679ECB2A" w14:textId="5E5E975C" w:rsidR="00385F93" w:rsidRPr="002848A3" w:rsidRDefault="00385F93" w:rsidP="00ED58FE">
      <w:pPr>
        <w:pStyle w:val="ListParagraph"/>
        <w:numPr>
          <w:ilvl w:val="0"/>
          <w:numId w:val="13"/>
        </w:numPr>
        <w:ind w:left="1531" w:hanging="170"/>
        <w:jc w:val="both"/>
        <w:rPr>
          <w:rFonts w:eastAsia="MS Mincho" w:cs="Arial"/>
          <w:szCs w:val="24"/>
        </w:rPr>
      </w:pPr>
      <w:r w:rsidRPr="004E31AC">
        <w:rPr>
          <w:rFonts w:eastAsia="MS Mincho" w:cs="Arial"/>
          <w:szCs w:val="24"/>
        </w:rPr>
        <w:t xml:space="preserve">Insurance coverage limitations: The insurer must </w:t>
      </w:r>
      <w:r w:rsidR="0006773C" w:rsidRPr="004E31AC">
        <w:rPr>
          <w:rFonts w:eastAsia="MS Mincho" w:cs="Arial"/>
          <w:szCs w:val="24"/>
        </w:rPr>
        <w:t>disclose any material limitations or constraints in its insurance coverage or risk transfer arrangements</w:t>
      </w:r>
      <w:r w:rsidR="00750E3E" w:rsidRPr="004E31AC">
        <w:rPr>
          <w:rFonts w:eastAsia="MS Mincho" w:cs="Arial"/>
          <w:szCs w:val="24"/>
        </w:rPr>
        <w:t xml:space="preserve"> that could affect the extent to which insurance risks are mitigated. This should include a narrative description</w:t>
      </w:r>
      <w:r w:rsidR="00342709" w:rsidRPr="004E31AC">
        <w:rPr>
          <w:rFonts w:eastAsia="MS Mincho" w:cs="Arial"/>
          <w:szCs w:val="24"/>
        </w:rPr>
        <w:t xml:space="preserve"> of the nature of such limitation and </w:t>
      </w:r>
      <w:r w:rsidR="00C75D04" w:rsidRPr="004E31AC">
        <w:rPr>
          <w:rFonts w:eastAsia="MS Mincho" w:cs="Arial"/>
          <w:szCs w:val="24"/>
        </w:rPr>
        <w:t>its</w:t>
      </w:r>
      <w:r w:rsidR="00342709" w:rsidRPr="004E31AC">
        <w:rPr>
          <w:rFonts w:eastAsia="MS Mincho" w:cs="Arial"/>
          <w:szCs w:val="24"/>
        </w:rPr>
        <w:t xml:space="preserve"> potential impact on the insurer’s risk exposure and financial position</w:t>
      </w:r>
      <w:r w:rsidR="007C3C3C" w:rsidRPr="004E31AC">
        <w:rPr>
          <w:rFonts w:eastAsia="MS Mincho" w:cs="Arial"/>
          <w:szCs w:val="24"/>
        </w:rPr>
        <w:t xml:space="preserve">. </w:t>
      </w:r>
      <w:r w:rsidR="007C3C3C" w:rsidRPr="002848A3">
        <w:rPr>
          <w:rFonts w:eastAsia="MS Mincho" w:cs="Arial"/>
          <w:szCs w:val="24"/>
        </w:rPr>
        <w:t>Disclosure</w:t>
      </w:r>
      <w:r w:rsidR="002D6190" w:rsidRPr="002848A3">
        <w:rPr>
          <w:rFonts w:eastAsia="MS Mincho" w:cs="Arial"/>
          <w:szCs w:val="24"/>
        </w:rPr>
        <w:t xml:space="preserve">s should focus on </w:t>
      </w:r>
      <w:r w:rsidR="00547572" w:rsidRPr="002848A3">
        <w:rPr>
          <w:rFonts w:eastAsia="MS Mincho" w:cs="Arial"/>
          <w:szCs w:val="24"/>
        </w:rPr>
        <w:t>providing stakeholders</w:t>
      </w:r>
      <w:r w:rsidR="002D6190" w:rsidRPr="002848A3">
        <w:rPr>
          <w:rFonts w:eastAsia="MS Mincho" w:cs="Arial"/>
          <w:szCs w:val="24"/>
        </w:rPr>
        <w:t xml:space="preserve"> with a clear understanding of the risk coverage framework</w:t>
      </w:r>
      <w:r w:rsidR="00547572" w:rsidRPr="002848A3">
        <w:rPr>
          <w:rFonts w:eastAsia="MS Mincho" w:cs="Arial"/>
          <w:szCs w:val="24"/>
        </w:rPr>
        <w:t>.</w:t>
      </w:r>
    </w:p>
    <w:p w14:paraId="1A6F26D8" w14:textId="77777777" w:rsidR="002754C2" w:rsidRPr="00A8576F" w:rsidRDefault="002754C2" w:rsidP="0045726B">
      <w:pPr>
        <w:jc w:val="both"/>
        <w:rPr>
          <w:rFonts w:cs="Arial"/>
          <w:szCs w:val="24"/>
        </w:rPr>
      </w:pPr>
    </w:p>
    <w:p w14:paraId="36E9410D" w14:textId="04B899F8" w:rsidR="007D713A" w:rsidRDefault="00624E57" w:rsidP="00ED58FE">
      <w:pPr>
        <w:pStyle w:val="Heading2"/>
        <w:numPr>
          <w:ilvl w:val="2"/>
          <w:numId w:val="10"/>
        </w:numPr>
        <w:ind w:left="851" w:hanging="851"/>
        <w:rPr>
          <w:rFonts w:eastAsia="MS Mincho" w:cs="Arial"/>
          <w:b/>
          <w:szCs w:val="24"/>
        </w:rPr>
      </w:pPr>
      <w:r w:rsidRPr="00A8576F">
        <w:rPr>
          <w:rFonts w:eastAsia="MS Mincho" w:cs="Arial"/>
          <w:b/>
          <w:szCs w:val="24"/>
        </w:rPr>
        <w:t xml:space="preserve">Operational and </w:t>
      </w:r>
      <w:r w:rsidR="006D5B1F">
        <w:rPr>
          <w:rFonts w:eastAsia="MS Mincho" w:cs="Arial"/>
          <w:b/>
          <w:szCs w:val="24"/>
        </w:rPr>
        <w:t>i</w:t>
      </w:r>
      <w:r w:rsidR="00087D21">
        <w:rPr>
          <w:rFonts w:eastAsia="MS Mincho" w:cs="Arial"/>
          <w:b/>
          <w:szCs w:val="24"/>
        </w:rPr>
        <w:t xml:space="preserve">nformation </w:t>
      </w:r>
      <w:r w:rsidR="006D5B1F">
        <w:rPr>
          <w:rFonts w:eastAsia="MS Mincho" w:cs="Arial"/>
          <w:b/>
          <w:szCs w:val="24"/>
        </w:rPr>
        <w:t>t</w:t>
      </w:r>
      <w:r w:rsidR="00087D21">
        <w:rPr>
          <w:rFonts w:eastAsia="MS Mincho" w:cs="Arial"/>
          <w:b/>
          <w:szCs w:val="24"/>
        </w:rPr>
        <w:t>echnology</w:t>
      </w:r>
      <w:r w:rsidRPr="00A8576F">
        <w:rPr>
          <w:rFonts w:eastAsia="MS Mincho" w:cs="Arial"/>
          <w:b/>
          <w:szCs w:val="24"/>
        </w:rPr>
        <w:t xml:space="preserve"> risk</w:t>
      </w:r>
    </w:p>
    <w:p w14:paraId="5D9E8CBF" w14:textId="77777777" w:rsidR="00A84287" w:rsidRPr="00A8576F" w:rsidRDefault="00A84287" w:rsidP="00A84287">
      <w:pPr>
        <w:pStyle w:val="ListParagraph"/>
        <w:ind w:left="851"/>
        <w:jc w:val="both"/>
        <w:rPr>
          <w:rFonts w:eastAsia="MS Mincho" w:cs="Arial"/>
          <w:b/>
          <w:szCs w:val="24"/>
        </w:rPr>
      </w:pPr>
    </w:p>
    <w:p w14:paraId="64C17D63" w14:textId="38F764A2" w:rsidR="008F5C53" w:rsidRDefault="00D96D13" w:rsidP="00ED58FE">
      <w:pPr>
        <w:pStyle w:val="Heading2"/>
        <w:numPr>
          <w:ilvl w:val="3"/>
          <w:numId w:val="14"/>
        </w:numPr>
        <w:ind w:left="1208" w:hanging="357"/>
        <w:rPr>
          <w:rFonts w:eastAsia="MS Mincho" w:cs="Arial"/>
          <w:bCs/>
          <w:szCs w:val="24"/>
        </w:rPr>
      </w:pPr>
      <w:r w:rsidRPr="00A8576F">
        <w:rPr>
          <w:rFonts w:eastAsia="MS Mincho" w:cs="Arial"/>
          <w:bCs/>
          <w:szCs w:val="24"/>
        </w:rPr>
        <w:t xml:space="preserve">Insurers must publicly disclose </w:t>
      </w:r>
      <w:r w:rsidR="00E941BD" w:rsidRPr="00A8576F">
        <w:rPr>
          <w:rFonts w:eastAsia="MS Mincho" w:cs="Arial"/>
          <w:bCs/>
          <w:szCs w:val="24"/>
        </w:rPr>
        <w:t xml:space="preserve">information on operational </w:t>
      </w:r>
      <w:r w:rsidR="00466F87" w:rsidRPr="00A8576F">
        <w:rPr>
          <w:rFonts w:eastAsia="MS Mincho" w:cs="Arial"/>
          <w:bCs/>
          <w:szCs w:val="24"/>
        </w:rPr>
        <w:t xml:space="preserve">and </w:t>
      </w:r>
      <w:r w:rsidR="00087D21">
        <w:rPr>
          <w:rFonts w:eastAsia="MS Mincho" w:cs="Arial"/>
          <w:bCs/>
          <w:szCs w:val="24"/>
        </w:rPr>
        <w:t>information technology (</w:t>
      </w:r>
      <w:r w:rsidR="00466F87" w:rsidRPr="00A8576F">
        <w:rPr>
          <w:rFonts w:eastAsia="MS Mincho" w:cs="Arial"/>
          <w:bCs/>
          <w:szCs w:val="24"/>
        </w:rPr>
        <w:t>IT</w:t>
      </w:r>
      <w:r w:rsidR="00087D21">
        <w:rPr>
          <w:rFonts w:eastAsia="MS Mincho" w:cs="Arial"/>
          <w:bCs/>
          <w:szCs w:val="24"/>
        </w:rPr>
        <w:t>)</w:t>
      </w:r>
      <w:r w:rsidR="00466F87" w:rsidRPr="00A8576F">
        <w:rPr>
          <w:rFonts w:eastAsia="MS Mincho" w:cs="Arial"/>
          <w:bCs/>
          <w:szCs w:val="24"/>
        </w:rPr>
        <w:t xml:space="preserve"> risk </w:t>
      </w:r>
      <w:r w:rsidR="00E941BD" w:rsidRPr="00A8576F">
        <w:rPr>
          <w:rFonts w:eastAsia="MS Mincho" w:cs="Arial"/>
          <w:bCs/>
          <w:szCs w:val="24"/>
        </w:rPr>
        <w:t xml:space="preserve">to provide stakeholders with a clear understanding of </w:t>
      </w:r>
      <w:r w:rsidR="003B7CA4" w:rsidRPr="00A8576F">
        <w:rPr>
          <w:rFonts w:eastAsia="MS Mincho" w:cs="Arial"/>
          <w:bCs/>
          <w:szCs w:val="24"/>
        </w:rPr>
        <w:t>h</w:t>
      </w:r>
      <w:r w:rsidR="00E941BD" w:rsidRPr="00A8576F">
        <w:rPr>
          <w:rFonts w:eastAsia="MS Mincho" w:cs="Arial"/>
          <w:bCs/>
          <w:szCs w:val="24"/>
        </w:rPr>
        <w:t xml:space="preserve">ow risks are identified, </w:t>
      </w:r>
      <w:r w:rsidR="007E5D4A" w:rsidRPr="00A8576F">
        <w:rPr>
          <w:rFonts w:eastAsia="MS Mincho" w:cs="Arial"/>
          <w:bCs/>
          <w:szCs w:val="24"/>
        </w:rPr>
        <w:t>assess</w:t>
      </w:r>
      <w:r w:rsidR="00E941BD" w:rsidRPr="00A8576F">
        <w:rPr>
          <w:rFonts w:eastAsia="MS Mincho" w:cs="Arial"/>
          <w:bCs/>
          <w:szCs w:val="24"/>
        </w:rPr>
        <w:t>ed</w:t>
      </w:r>
      <w:r w:rsidR="007E5D4A" w:rsidRPr="00A8576F">
        <w:rPr>
          <w:rFonts w:eastAsia="MS Mincho" w:cs="Arial"/>
          <w:bCs/>
          <w:szCs w:val="24"/>
        </w:rPr>
        <w:t>, manag</w:t>
      </w:r>
      <w:r w:rsidR="00E941BD" w:rsidRPr="00A8576F">
        <w:rPr>
          <w:rFonts w:eastAsia="MS Mincho" w:cs="Arial"/>
          <w:bCs/>
          <w:szCs w:val="24"/>
        </w:rPr>
        <w:t>ed</w:t>
      </w:r>
      <w:r w:rsidR="007E5D4A" w:rsidRPr="00A8576F">
        <w:rPr>
          <w:rFonts w:eastAsia="MS Mincho" w:cs="Arial"/>
          <w:bCs/>
          <w:szCs w:val="24"/>
        </w:rPr>
        <w:t xml:space="preserve"> and mitigat</w:t>
      </w:r>
      <w:r w:rsidR="00E941BD" w:rsidRPr="00A8576F">
        <w:rPr>
          <w:rFonts w:eastAsia="MS Mincho" w:cs="Arial"/>
          <w:bCs/>
          <w:szCs w:val="24"/>
        </w:rPr>
        <w:t xml:space="preserve">ed. </w:t>
      </w:r>
    </w:p>
    <w:p w14:paraId="0EE761FD" w14:textId="05DC74C5" w:rsidR="008F5C53" w:rsidRPr="008C3A83" w:rsidRDefault="00E941BD" w:rsidP="00ED58FE">
      <w:pPr>
        <w:pStyle w:val="Heading2"/>
        <w:numPr>
          <w:ilvl w:val="3"/>
          <w:numId w:val="14"/>
        </w:numPr>
        <w:ind w:left="1208" w:hanging="357"/>
        <w:rPr>
          <w:rFonts w:eastAsia="MS Mincho"/>
        </w:rPr>
      </w:pPr>
      <w:r w:rsidRPr="008C3A83">
        <w:rPr>
          <w:rFonts w:eastAsia="MS Mincho" w:cs="Arial"/>
          <w:bCs/>
          <w:szCs w:val="24"/>
        </w:rPr>
        <w:t>The disclosures should reflect</w:t>
      </w:r>
      <w:r w:rsidR="00AD1FDE" w:rsidRPr="008C3A83">
        <w:rPr>
          <w:rFonts w:eastAsia="MS Mincho" w:cs="Arial"/>
          <w:bCs/>
          <w:szCs w:val="24"/>
        </w:rPr>
        <w:t xml:space="preserve"> the insurer’s approach to maintaining operational resilience, safeguarding IT systems and ensuring continuity of business processes.</w:t>
      </w:r>
    </w:p>
    <w:p w14:paraId="6309A7EE" w14:textId="0C7F4316" w:rsidR="00000B76" w:rsidRPr="00581560" w:rsidRDefault="00142011" w:rsidP="00ED58FE">
      <w:pPr>
        <w:pStyle w:val="Heading2"/>
        <w:numPr>
          <w:ilvl w:val="3"/>
          <w:numId w:val="14"/>
        </w:numPr>
        <w:ind w:left="1208" w:hanging="357"/>
        <w:rPr>
          <w:rFonts w:eastAsia="MS Mincho" w:cs="Arial"/>
          <w:b/>
          <w:szCs w:val="24"/>
        </w:rPr>
      </w:pPr>
      <w:r w:rsidRPr="00A8576F">
        <w:rPr>
          <w:rFonts w:eastAsia="MS Mincho" w:cs="Arial"/>
          <w:bCs/>
          <w:szCs w:val="24"/>
        </w:rPr>
        <w:t>At a minimum, the disclosure must include:</w:t>
      </w:r>
    </w:p>
    <w:p w14:paraId="0F62F18E" w14:textId="75785BD7" w:rsidR="006229B9" w:rsidRDefault="00000B76" w:rsidP="00ED58FE">
      <w:pPr>
        <w:pStyle w:val="ListParagraph"/>
        <w:numPr>
          <w:ilvl w:val="0"/>
          <w:numId w:val="15"/>
        </w:numPr>
        <w:ind w:left="1531" w:hanging="170"/>
        <w:jc w:val="both"/>
        <w:rPr>
          <w:rFonts w:eastAsia="MS Mincho" w:cs="Arial"/>
          <w:szCs w:val="24"/>
        </w:rPr>
      </w:pPr>
      <w:r w:rsidRPr="00A8576F">
        <w:rPr>
          <w:rFonts w:eastAsia="MS Mincho" w:cs="Arial"/>
          <w:szCs w:val="24"/>
        </w:rPr>
        <w:t>Policies and governance framework:</w:t>
      </w:r>
      <w:r w:rsidR="006229B9" w:rsidRPr="00A8576F">
        <w:rPr>
          <w:rFonts w:eastAsia="MS Mincho" w:cs="Arial"/>
          <w:b/>
          <w:bCs/>
          <w:szCs w:val="24"/>
        </w:rPr>
        <w:t xml:space="preserve"> </w:t>
      </w:r>
      <w:r w:rsidR="00A37401" w:rsidRPr="00A8576F">
        <w:rPr>
          <w:rFonts w:eastAsia="MS Mincho" w:cs="Arial"/>
          <w:szCs w:val="24"/>
        </w:rPr>
        <w:t xml:space="preserve">Insurers must </w:t>
      </w:r>
      <w:r w:rsidR="003F542A" w:rsidRPr="00A8576F">
        <w:rPr>
          <w:rFonts w:eastAsia="MS Mincho" w:cs="Arial"/>
          <w:szCs w:val="24"/>
        </w:rPr>
        <w:t xml:space="preserve">provide </w:t>
      </w:r>
      <w:r w:rsidR="009B5E3F" w:rsidRPr="00A8576F">
        <w:rPr>
          <w:rFonts w:eastAsia="MS Mincho" w:cs="Arial"/>
          <w:szCs w:val="24"/>
        </w:rPr>
        <w:t xml:space="preserve">a high-level description of the policies, procedures and governance </w:t>
      </w:r>
      <w:r w:rsidR="00BD0E36" w:rsidRPr="00A8576F">
        <w:rPr>
          <w:rFonts w:eastAsia="MS Mincho" w:cs="Arial"/>
          <w:szCs w:val="24"/>
        </w:rPr>
        <w:t>arrangements</w:t>
      </w:r>
      <w:r w:rsidR="009B5E3F" w:rsidRPr="00A8576F">
        <w:rPr>
          <w:rFonts w:eastAsia="MS Mincho" w:cs="Arial"/>
          <w:szCs w:val="24"/>
        </w:rPr>
        <w:t xml:space="preserve"> that guide operational and IT risk management</w:t>
      </w:r>
      <w:r w:rsidR="003F542A" w:rsidRPr="00A8576F">
        <w:rPr>
          <w:rFonts w:eastAsia="MS Mincho" w:cs="Arial"/>
          <w:szCs w:val="24"/>
        </w:rPr>
        <w:t xml:space="preserve">. This should </w:t>
      </w:r>
      <w:r w:rsidR="009B5E3F" w:rsidRPr="00A8576F">
        <w:rPr>
          <w:rFonts w:eastAsia="MS Mincho" w:cs="Arial"/>
          <w:szCs w:val="24"/>
        </w:rPr>
        <w:t>includ</w:t>
      </w:r>
      <w:r w:rsidR="003F542A" w:rsidRPr="00A8576F">
        <w:rPr>
          <w:rFonts w:eastAsia="MS Mincho" w:cs="Arial"/>
          <w:szCs w:val="24"/>
        </w:rPr>
        <w:t>e</w:t>
      </w:r>
      <w:r w:rsidR="009B5E3F" w:rsidRPr="00A8576F">
        <w:rPr>
          <w:rFonts w:eastAsia="MS Mincho" w:cs="Arial"/>
          <w:szCs w:val="24"/>
        </w:rPr>
        <w:t xml:space="preserve"> oversight responsibilities and the insurer</w:t>
      </w:r>
      <w:r w:rsidR="00BD0E36" w:rsidRPr="00A8576F">
        <w:rPr>
          <w:rFonts w:eastAsia="MS Mincho" w:cs="Arial"/>
          <w:szCs w:val="24"/>
        </w:rPr>
        <w:t>’s approach to fostering an appropriate risk culture.</w:t>
      </w:r>
    </w:p>
    <w:p w14:paraId="70F802F9" w14:textId="0C753940" w:rsidR="006229B9" w:rsidRPr="000D14FE" w:rsidRDefault="00393FF2" w:rsidP="00ED58FE">
      <w:pPr>
        <w:pStyle w:val="ListParagraph"/>
        <w:numPr>
          <w:ilvl w:val="0"/>
          <w:numId w:val="15"/>
        </w:numPr>
        <w:ind w:left="1531" w:hanging="170"/>
        <w:jc w:val="both"/>
        <w:rPr>
          <w:rFonts w:eastAsia="MS Mincho" w:cs="Arial"/>
          <w:szCs w:val="24"/>
        </w:rPr>
      </w:pPr>
      <w:r w:rsidRPr="000D14FE">
        <w:rPr>
          <w:rFonts w:eastAsia="MS Mincho" w:cs="Arial"/>
        </w:rPr>
        <w:t>Structure and responsibilities:</w:t>
      </w:r>
      <w:r w:rsidRPr="000D14FE">
        <w:rPr>
          <w:rFonts w:eastAsia="MS Mincho" w:cs="Arial"/>
          <w:b/>
          <w:bCs/>
        </w:rPr>
        <w:t xml:space="preserve"> </w:t>
      </w:r>
      <w:r w:rsidR="009F1B05" w:rsidRPr="000D14FE">
        <w:rPr>
          <w:rFonts w:eastAsia="MS Mincho" w:cs="Arial"/>
        </w:rPr>
        <w:t xml:space="preserve">Insurers must disclose an </w:t>
      </w:r>
      <w:r w:rsidRPr="000D14FE">
        <w:rPr>
          <w:rFonts w:eastAsia="MS Mincho" w:cs="Arial"/>
        </w:rPr>
        <w:t>overview of the organisational structure a</w:t>
      </w:r>
      <w:r w:rsidR="113F2C8F" w:rsidRPr="000D14FE">
        <w:rPr>
          <w:rFonts w:eastAsia="MS Mincho" w:cs="Arial"/>
        </w:rPr>
        <w:t>s well as</w:t>
      </w:r>
      <w:r w:rsidRPr="000D14FE">
        <w:rPr>
          <w:rFonts w:eastAsia="MS Mincho" w:cs="Arial"/>
        </w:rPr>
        <w:t xml:space="preserve"> </w:t>
      </w:r>
      <w:r w:rsidR="00484433" w:rsidRPr="000D14FE">
        <w:rPr>
          <w:rFonts w:eastAsia="MS Mincho" w:cs="Arial"/>
        </w:rPr>
        <w:t xml:space="preserve">the </w:t>
      </w:r>
      <w:r w:rsidRPr="000D14FE">
        <w:rPr>
          <w:rFonts w:eastAsia="MS Mincho" w:cs="Arial"/>
        </w:rPr>
        <w:t xml:space="preserve">roles </w:t>
      </w:r>
      <w:r w:rsidR="6110EA98" w:rsidRPr="000D14FE">
        <w:rPr>
          <w:rFonts w:eastAsia="MS Mincho" w:cs="Arial"/>
        </w:rPr>
        <w:t>and responsibilities</w:t>
      </w:r>
      <w:r w:rsidR="00484433" w:rsidRPr="000D14FE">
        <w:rPr>
          <w:rFonts w:eastAsia="MS Mincho" w:cs="Arial"/>
        </w:rPr>
        <w:t xml:space="preserve"> of</w:t>
      </w:r>
      <w:r w:rsidRPr="000D14FE">
        <w:rPr>
          <w:rFonts w:eastAsia="MS Mincho" w:cs="Arial"/>
        </w:rPr>
        <w:t xml:space="preserve"> managing operational and IT risks, including reporting lines and key functions.</w:t>
      </w:r>
    </w:p>
    <w:p w14:paraId="0D1CC7EC" w14:textId="256842BD" w:rsidR="00BD0E36" w:rsidRPr="000D14FE" w:rsidRDefault="005A6B20" w:rsidP="00ED58FE">
      <w:pPr>
        <w:pStyle w:val="ListParagraph"/>
        <w:numPr>
          <w:ilvl w:val="0"/>
          <w:numId w:val="15"/>
        </w:numPr>
        <w:ind w:left="1531" w:hanging="170"/>
        <w:jc w:val="both"/>
        <w:rPr>
          <w:rFonts w:eastAsia="MS Mincho" w:cs="Arial"/>
          <w:szCs w:val="24"/>
        </w:rPr>
      </w:pPr>
      <w:r w:rsidRPr="000D14FE">
        <w:rPr>
          <w:rFonts w:eastAsia="MS Mincho" w:cs="Arial"/>
          <w:szCs w:val="24"/>
        </w:rPr>
        <w:t xml:space="preserve">Risk mitigation and business </w:t>
      </w:r>
      <w:r w:rsidR="00A077B0" w:rsidRPr="000D14FE">
        <w:rPr>
          <w:rFonts w:eastAsia="MS Mincho" w:cs="Arial"/>
          <w:szCs w:val="24"/>
        </w:rPr>
        <w:t>continuity</w:t>
      </w:r>
      <w:r w:rsidRPr="000D14FE">
        <w:rPr>
          <w:rFonts w:eastAsia="MS Mincho" w:cs="Arial"/>
          <w:szCs w:val="24"/>
        </w:rPr>
        <w:t>:</w:t>
      </w:r>
      <w:r w:rsidRPr="000D14FE">
        <w:rPr>
          <w:rFonts w:eastAsia="MS Mincho" w:cs="Arial"/>
          <w:b/>
          <w:bCs/>
          <w:szCs w:val="24"/>
        </w:rPr>
        <w:t xml:space="preserve"> </w:t>
      </w:r>
      <w:r w:rsidRPr="000D14FE">
        <w:rPr>
          <w:rFonts w:eastAsia="MS Mincho" w:cs="Arial"/>
          <w:szCs w:val="24"/>
        </w:rPr>
        <w:t>Insurer</w:t>
      </w:r>
      <w:r w:rsidR="00BA69D1">
        <w:rPr>
          <w:rFonts w:eastAsia="MS Mincho" w:cs="Arial"/>
          <w:szCs w:val="24"/>
        </w:rPr>
        <w:t>s</w:t>
      </w:r>
      <w:r w:rsidRPr="000D14FE">
        <w:rPr>
          <w:rFonts w:eastAsia="MS Mincho" w:cs="Arial"/>
          <w:szCs w:val="24"/>
        </w:rPr>
        <w:t xml:space="preserve"> must disclose </w:t>
      </w:r>
      <w:r w:rsidR="003E74B0" w:rsidRPr="000D14FE">
        <w:rPr>
          <w:rFonts w:eastAsia="MS Mincho" w:cs="Arial"/>
          <w:szCs w:val="24"/>
        </w:rPr>
        <w:t xml:space="preserve">the </w:t>
      </w:r>
      <w:r w:rsidRPr="000D14FE">
        <w:rPr>
          <w:rFonts w:eastAsia="MS Mincho" w:cs="Arial"/>
          <w:szCs w:val="24"/>
        </w:rPr>
        <w:t>approaches adopted to mitigate and transfer operational and IT risks, including internal controls</w:t>
      </w:r>
      <w:r w:rsidR="00A077B0" w:rsidRPr="000D14FE">
        <w:rPr>
          <w:rFonts w:eastAsia="MS Mincho" w:cs="Arial"/>
          <w:szCs w:val="24"/>
        </w:rPr>
        <w:t>, outsourcing arrangements and the insurer’s business continuity management framework</w:t>
      </w:r>
      <w:r w:rsidR="00661BB7" w:rsidRPr="000D14FE">
        <w:rPr>
          <w:rFonts w:eastAsia="MS Mincho" w:cs="Arial"/>
          <w:szCs w:val="24"/>
        </w:rPr>
        <w:t>. The disclosure should also include</w:t>
      </w:r>
      <w:r w:rsidR="00A077B0" w:rsidRPr="000D14FE">
        <w:rPr>
          <w:rFonts w:eastAsia="MS Mincho" w:cs="Arial"/>
          <w:szCs w:val="24"/>
        </w:rPr>
        <w:t xml:space="preserve"> management’s assessment of the effectiveness of these measures.</w:t>
      </w:r>
      <w:r w:rsidR="00393FF2" w:rsidRPr="000D14FE">
        <w:rPr>
          <w:rFonts w:eastAsia="MS Mincho" w:cs="Arial"/>
          <w:b/>
          <w:bCs/>
          <w:szCs w:val="24"/>
        </w:rPr>
        <w:t xml:space="preserve"> </w:t>
      </w:r>
    </w:p>
    <w:p w14:paraId="250B886F" w14:textId="77777777" w:rsidR="002754C2" w:rsidRPr="00A8576F" w:rsidRDefault="002754C2" w:rsidP="0045726B">
      <w:pPr>
        <w:jc w:val="both"/>
        <w:rPr>
          <w:rFonts w:cs="Arial"/>
          <w:szCs w:val="24"/>
        </w:rPr>
      </w:pPr>
    </w:p>
    <w:p w14:paraId="46D9E093" w14:textId="29896150" w:rsidR="005A79AC" w:rsidRDefault="00B81450" w:rsidP="00F13CEE">
      <w:pPr>
        <w:pStyle w:val="ListParagraph"/>
        <w:numPr>
          <w:ilvl w:val="1"/>
          <w:numId w:val="1"/>
        </w:numPr>
        <w:jc w:val="both"/>
        <w:rPr>
          <w:rFonts w:eastAsia="MS Mincho" w:cs="Arial"/>
          <w:b/>
          <w:szCs w:val="24"/>
        </w:rPr>
      </w:pPr>
      <w:r w:rsidRPr="00A8576F">
        <w:rPr>
          <w:rFonts w:eastAsia="MS Mincho" w:cs="Arial"/>
          <w:b/>
          <w:szCs w:val="24"/>
        </w:rPr>
        <w:t>Quantitative</w:t>
      </w:r>
      <w:r w:rsidR="00FE1038" w:rsidRPr="00A8576F">
        <w:rPr>
          <w:rFonts w:eastAsia="MS Mincho" w:cs="Arial"/>
          <w:b/>
          <w:szCs w:val="24"/>
        </w:rPr>
        <w:t xml:space="preserve"> </w:t>
      </w:r>
      <w:r w:rsidR="00BA69D1">
        <w:rPr>
          <w:rFonts w:eastAsia="MS Mincho" w:cs="Arial"/>
          <w:b/>
          <w:szCs w:val="24"/>
        </w:rPr>
        <w:t>p</w:t>
      </w:r>
      <w:r w:rsidR="00FE1038" w:rsidRPr="00A8576F">
        <w:rPr>
          <w:rFonts w:eastAsia="MS Mincho" w:cs="Arial"/>
          <w:b/>
          <w:szCs w:val="24"/>
        </w:rPr>
        <w:t xml:space="preserve">rescribed </w:t>
      </w:r>
      <w:r w:rsidR="00BA69D1">
        <w:rPr>
          <w:rFonts w:eastAsia="MS Mincho" w:cs="Arial"/>
          <w:b/>
          <w:szCs w:val="24"/>
        </w:rPr>
        <w:t>i</w:t>
      </w:r>
      <w:r w:rsidR="00FE1038" w:rsidRPr="00A8576F">
        <w:rPr>
          <w:rFonts w:eastAsia="MS Mincho" w:cs="Arial"/>
          <w:b/>
          <w:szCs w:val="24"/>
        </w:rPr>
        <w:t>nformation</w:t>
      </w:r>
    </w:p>
    <w:p w14:paraId="206F27F1" w14:textId="77777777" w:rsidR="008441A1" w:rsidRPr="00A8576F" w:rsidRDefault="008441A1" w:rsidP="008441A1">
      <w:pPr>
        <w:pStyle w:val="ListParagraph"/>
        <w:ind w:left="851"/>
        <w:jc w:val="both"/>
        <w:rPr>
          <w:rFonts w:eastAsia="MS Mincho" w:cs="Arial"/>
          <w:b/>
          <w:szCs w:val="24"/>
        </w:rPr>
      </w:pPr>
    </w:p>
    <w:p w14:paraId="238F7E10" w14:textId="33F9B416" w:rsidR="007E75E0" w:rsidRPr="000447D1" w:rsidRDefault="00687278" w:rsidP="00ED58FE">
      <w:pPr>
        <w:pStyle w:val="Heading2"/>
        <w:numPr>
          <w:ilvl w:val="2"/>
          <w:numId w:val="16"/>
        </w:numPr>
        <w:ind w:left="851" w:hanging="851"/>
        <w:rPr>
          <w:rFonts w:eastAsia="MS Mincho" w:cs="Arial"/>
          <w:b/>
          <w:szCs w:val="24"/>
        </w:rPr>
      </w:pPr>
      <w:r w:rsidRPr="00A8576F">
        <w:rPr>
          <w:rFonts w:eastAsia="MS Mincho" w:cs="Arial"/>
          <w:b/>
          <w:szCs w:val="24"/>
        </w:rPr>
        <w:t>Technical provisions</w:t>
      </w:r>
      <w:r w:rsidR="001035F1" w:rsidRPr="00A8576F">
        <w:rPr>
          <w:rFonts w:eastAsia="MS Mincho" w:cs="Arial"/>
          <w:b/>
          <w:szCs w:val="24"/>
        </w:rPr>
        <w:tab/>
      </w:r>
      <w:r w:rsidR="00166549" w:rsidRPr="00A8576F">
        <w:rPr>
          <w:rFonts w:cs="Arial"/>
          <w:szCs w:val="24"/>
        </w:rPr>
        <w:t xml:space="preserve"> </w:t>
      </w:r>
    </w:p>
    <w:p w14:paraId="3F10613E" w14:textId="77777777" w:rsidR="000447D1" w:rsidRPr="00A8576F" w:rsidRDefault="000447D1" w:rsidP="000447D1">
      <w:pPr>
        <w:pStyle w:val="ListParagraph"/>
        <w:ind w:left="851"/>
        <w:jc w:val="both"/>
        <w:rPr>
          <w:rFonts w:eastAsia="MS Mincho" w:cs="Arial"/>
          <w:b/>
          <w:szCs w:val="24"/>
        </w:rPr>
      </w:pPr>
    </w:p>
    <w:p w14:paraId="547026A3" w14:textId="21B043A7" w:rsidR="007855C4" w:rsidRPr="007100D0" w:rsidRDefault="004B7561" w:rsidP="00ED58FE">
      <w:pPr>
        <w:pStyle w:val="Heading2"/>
        <w:numPr>
          <w:ilvl w:val="3"/>
          <w:numId w:val="17"/>
        </w:numPr>
        <w:ind w:left="1208" w:hanging="357"/>
        <w:rPr>
          <w:rFonts w:eastAsia="MS Mincho" w:cs="Arial"/>
          <w:b/>
          <w:szCs w:val="24"/>
        </w:rPr>
      </w:pPr>
      <w:r w:rsidRPr="00A8576F">
        <w:rPr>
          <w:rFonts w:cs="Arial"/>
          <w:szCs w:val="24"/>
        </w:rPr>
        <w:t>Insurers must publicly disclose</w:t>
      </w:r>
      <w:r w:rsidR="00874C8A" w:rsidRPr="00A8576F">
        <w:rPr>
          <w:rFonts w:cs="Arial"/>
          <w:szCs w:val="24"/>
        </w:rPr>
        <w:t xml:space="preserve"> information on their technical provisions to enable stakeholders to </w:t>
      </w:r>
      <w:r w:rsidR="00805F20" w:rsidRPr="00A8576F">
        <w:rPr>
          <w:rFonts w:cs="Arial"/>
          <w:szCs w:val="24"/>
        </w:rPr>
        <w:t>understand</w:t>
      </w:r>
      <w:r w:rsidR="00532834" w:rsidRPr="00A8576F">
        <w:rPr>
          <w:rFonts w:cs="Arial"/>
          <w:szCs w:val="24"/>
        </w:rPr>
        <w:t xml:space="preserve"> their </w:t>
      </w:r>
      <w:r w:rsidR="00315D6C" w:rsidRPr="00A8576F">
        <w:rPr>
          <w:rFonts w:cs="Arial"/>
          <w:szCs w:val="24"/>
        </w:rPr>
        <w:t>adequacy</w:t>
      </w:r>
      <w:r w:rsidR="00532834" w:rsidRPr="00A8576F">
        <w:rPr>
          <w:rFonts w:cs="Arial"/>
          <w:szCs w:val="24"/>
        </w:rPr>
        <w:t xml:space="preserve">, reliability and the methodologies </w:t>
      </w:r>
      <w:r w:rsidR="00356E05">
        <w:rPr>
          <w:rFonts w:cs="Arial"/>
          <w:szCs w:val="24"/>
        </w:rPr>
        <w:t xml:space="preserve">applied </w:t>
      </w:r>
      <w:r w:rsidR="00532834" w:rsidRPr="00A8576F">
        <w:rPr>
          <w:rFonts w:cs="Arial"/>
          <w:szCs w:val="24"/>
        </w:rPr>
        <w:t xml:space="preserve">in </w:t>
      </w:r>
      <w:r w:rsidR="003342BB" w:rsidRPr="00A8576F">
        <w:rPr>
          <w:rFonts w:cs="Arial"/>
          <w:szCs w:val="24"/>
        </w:rPr>
        <w:t>their</w:t>
      </w:r>
      <w:r w:rsidR="00532834" w:rsidRPr="00A8576F">
        <w:rPr>
          <w:rFonts w:cs="Arial"/>
          <w:szCs w:val="24"/>
        </w:rPr>
        <w:t xml:space="preserve"> calculation and management</w:t>
      </w:r>
      <w:r w:rsidR="003342BB" w:rsidRPr="00A8576F">
        <w:rPr>
          <w:rFonts w:cs="Arial"/>
          <w:szCs w:val="24"/>
        </w:rPr>
        <w:t>.</w:t>
      </w:r>
    </w:p>
    <w:p w14:paraId="2D3E546F" w14:textId="33CEB9E9" w:rsidR="004E3151" w:rsidRPr="007100D0" w:rsidRDefault="001557BD" w:rsidP="00ED58FE">
      <w:pPr>
        <w:pStyle w:val="Heading2"/>
        <w:numPr>
          <w:ilvl w:val="3"/>
          <w:numId w:val="17"/>
        </w:numPr>
        <w:ind w:left="1208" w:hanging="357"/>
        <w:rPr>
          <w:rFonts w:eastAsia="MS Mincho" w:cs="Arial"/>
          <w:b/>
          <w:szCs w:val="24"/>
        </w:rPr>
      </w:pPr>
      <w:r w:rsidRPr="00A8576F">
        <w:rPr>
          <w:rFonts w:cs="Arial"/>
          <w:szCs w:val="24"/>
        </w:rPr>
        <w:t xml:space="preserve">Disclosures </w:t>
      </w:r>
      <w:r w:rsidR="003342BB" w:rsidRPr="00A8576F">
        <w:rPr>
          <w:rFonts w:cs="Arial"/>
          <w:szCs w:val="24"/>
        </w:rPr>
        <w:t xml:space="preserve">should include both the </w:t>
      </w:r>
      <w:r w:rsidRPr="00A8576F">
        <w:rPr>
          <w:rFonts w:cs="Arial"/>
          <w:szCs w:val="24"/>
        </w:rPr>
        <w:t xml:space="preserve">quantitative totals of the technical provisions </w:t>
      </w:r>
      <w:r w:rsidR="00DC5BDC" w:rsidRPr="00A8576F">
        <w:rPr>
          <w:rFonts w:cs="Arial"/>
          <w:szCs w:val="24"/>
        </w:rPr>
        <w:t>a</w:t>
      </w:r>
      <w:r w:rsidRPr="00A8576F">
        <w:rPr>
          <w:rFonts w:cs="Arial"/>
          <w:szCs w:val="24"/>
        </w:rPr>
        <w:t xml:space="preserve">nd the qualitative explanations necessary </w:t>
      </w:r>
      <w:r w:rsidR="007652B5" w:rsidRPr="00A8576F">
        <w:rPr>
          <w:rFonts w:cs="Arial"/>
          <w:szCs w:val="24"/>
        </w:rPr>
        <w:t>for stakeholders to assess the insurer’</w:t>
      </w:r>
      <w:r w:rsidR="00E6518F" w:rsidRPr="00A8576F">
        <w:rPr>
          <w:rFonts w:cs="Arial"/>
          <w:szCs w:val="24"/>
        </w:rPr>
        <w:t>s financial position and the management of insurance liabilities.</w:t>
      </w:r>
    </w:p>
    <w:p w14:paraId="5BE64C4A" w14:textId="2F5ED208" w:rsidR="004E3151" w:rsidRPr="007100D0" w:rsidRDefault="001668F5" w:rsidP="00ED58FE">
      <w:pPr>
        <w:pStyle w:val="Heading2"/>
        <w:numPr>
          <w:ilvl w:val="3"/>
          <w:numId w:val="17"/>
        </w:numPr>
        <w:ind w:left="1208" w:hanging="357"/>
        <w:rPr>
          <w:rFonts w:eastAsia="MS Mincho" w:cs="Arial"/>
          <w:b/>
          <w:szCs w:val="24"/>
        </w:rPr>
      </w:pPr>
      <w:r w:rsidRPr="00A8576F">
        <w:rPr>
          <w:rFonts w:cs="Arial"/>
          <w:szCs w:val="24"/>
        </w:rPr>
        <w:t>Where applicable, disclosures should provide information sufficient to assess the adequacy</w:t>
      </w:r>
      <w:r w:rsidR="00074BBB" w:rsidRPr="00A8576F">
        <w:rPr>
          <w:rFonts w:cs="Arial"/>
          <w:szCs w:val="24"/>
        </w:rPr>
        <w:t xml:space="preserve"> of technical provisions for both life and non-life business.</w:t>
      </w:r>
    </w:p>
    <w:p w14:paraId="6ED75BFB" w14:textId="1EAF2533" w:rsidR="00945C0A" w:rsidRPr="00ED4FD1" w:rsidRDefault="00226243" w:rsidP="00ED58FE">
      <w:pPr>
        <w:pStyle w:val="Heading2"/>
        <w:numPr>
          <w:ilvl w:val="3"/>
          <w:numId w:val="17"/>
        </w:numPr>
        <w:ind w:left="1208" w:hanging="357"/>
        <w:rPr>
          <w:rFonts w:eastAsia="MS Mincho" w:cs="Arial"/>
          <w:b/>
          <w:szCs w:val="24"/>
        </w:rPr>
      </w:pPr>
      <w:r w:rsidRPr="00A8576F">
        <w:rPr>
          <w:rFonts w:cs="Arial"/>
          <w:szCs w:val="24"/>
        </w:rPr>
        <w:t>At</w:t>
      </w:r>
      <w:r w:rsidR="006802F3" w:rsidRPr="00A8576F">
        <w:rPr>
          <w:rFonts w:cs="Arial"/>
          <w:szCs w:val="24"/>
        </w:rPr>
        <w:t xml:space="preserve"> a minimum, </w:t>
      </w:r>
      <w:r w:rsidR="00945C0A" w:rsidRPr="00A8576F">
        <w:rPr>
          <w:rFonts w:cs="Arial"/>
          <w:szCs w:val="24"/>
        </w:rPr>
        <w:t>insurers must disclose the following for their technical provisions</w:t>
      </w:r>
    </w:p>
    <w:p w14:paraId="37F9FFEF" w14:textId="16670F8F" w:rsidR="00B14805" w:rsidRPr="00EB76DC" w:rsidRDefault="00945C0A" w:rsidP="00ED58FE">
      <w:pPr>
        <w:pStyle w:val="ListParagraph"/>
        <w:numPr>
          <w:ilvl w:val="0"/>
          <w:numId w:val="8"/>
        </w:numPr>
        <w:ind w:left="1531" w:hanging="170"/>
        <w:jc w:val="both"/>
        <w:rPr>
          <w:rFonts w:eastAsia="MS Mincho" w:cs="Arial"/>
          <w:b/>
          <w:szCs w:val="24"/>
        </w:rPr>
      </w:pPr>
      <w:r w:rsidRPr="00ED4FD1">
        <w:rPr>
          <w:rFonts w:cs="Arial"/>
          <w:b/>
          <w:bCs/>
          <w:szCs w:val="24"/>
        </w:rPr>
        <w:t>Quantitative totals</w:t>
      </w:r>
      <w:r w:rsidR="00302F84" w:rsidRPr="00ED4FD1">
        <w:rPr>
          <w:rFonts w:cs="Arial"/>
          <w:szCs w:val="24"/>
        </w:rPr>
        <w:t xml:space="preserve"> </w:t>
      </w:r>
    </w:p>
    <w:p w14:paraId="319B7E01" w14:textId="0DF1D308" w:rsidR="00176B71" w:rsidRPr="00DD7E4F" w:rsidRDefault="00302F84" w:rsidP="00ED58FE">
      <w:pPr>
        <w:pStyle w:val="ListParagraph"/>
        <w:numPr>
          <w:ilvl w:val="0"/>
          <w:numId w:val="18"/>
        </w:numPr>
        <w:ind w:left="2041" w:hanging="510"/>
        <w:jc w:val="both"/>
        <w:rPr>
          <w:rFonts w:eastAsia="MS Mincho" w:cs="Arial"/>
          <w:b/>
          <w:szCs w:val="24"/>
        </w:rPr>
      </w:pPr>
      <w:r w:rsidRPr="00325C8B">
        <w:rPr>
          <w:rFonts w:cs="Arial"/>
        </w:rPr>
        <w:lastRenderedPageBreak/>
        <w:t xml:space="preserve">Total </w:t>
      </w:r>
      <w:r w:rsidR="00F644D7" w:rsidRPr="00325C8B">
        <w:rPr>
          <w:rFonts w:cs="Arial"/>
        </w:rPr>
        <w:t xml:space="preserve">gross </w:t>
      </w:r>
      <w:r w:rsidRPr="00325C8B">
        <w:rPr>
          <w:rFonts w:cs="Arial"/>
        </w:rPr>
        <w:t>technical provisio</w:t>
      </w:r>
      <w:r w:rsidR="00B14805" w:rsidRPr="00325C8B">
        <w:rPr>
          <w:rFonts w:cs="Arial"/>
        </w:rPr>
        <w:t>ns</w:t>
      </w:r>
      <w:r w:rsidRPr="00325C8B">
        <w:rPr>
          <w:rFonts w:cs="Arial"/>
        </w:rPr>
        <w:t xml:space="preserve"> by </w:t>
      </w:r>
      <w:r w:rsidR="000B0EB8" w:rsidRPr="00325C8B">
        <w:rPr>
          <w:rFonts w:cs="Arial"/>
        </w:rPr>
        <w:t>class</w:t>
      </w:r>
      <w:r w:rsidRPr="00325C8B">
        <w:rPr>
          <w:rFonts w:cs="Arial"/>
        </w:rPr>
        <w:t xml:space="preserve"> of business, </w:t>
      </w:r>
      <w:r w:rsidR="00FE175E" w:rsidRPr="00325C8B">
        <w:rPr>
          <w:rFonts w:cs="Arial"/>
        </w:rPr>
        <w:t>split by premium and claims provisions.</w:t>
      </w:r>
    </w:p>
    <w:p w14:paraId="6FF3B7F1" w14:textId="22A8F58C" w:rsidR="00F644D7" w:rsidRPr="00DD7E4F" w:rsidRDefault="00F644D7" w:rsidP="00ED58FE">
      <w:pPr>
        <w:pStyle w:val="ListParagraph"/>
        <w:numPr>
          <w:ilvl w:val="0"/>
          <w:numId w:val="18"/>
        </w:numPr>
        <w:ind w:left="2041" w:hanging="510"/>
        <w:jc w:val="both"/>
        <w:rPr>
          <w:rFonts w:eastAsia="MS Mincho" w:cs="Arial"/>
          <w:b/>
          <w:szCs w:val="24"/>
        </w:rPr>
      </w:pPr>
      <w:r w:rsidRPr="00DD7E4F">
        <w:rPr>
          <w:rFonts w:cs="Arial"/>
        </w:rPr>
        <w:t xml:space="preserve">Total net technical provisions by </w:t>
      </w:r>
      <w:r w:rsidR="000B0EB8" w:rsidRPr="00DD7E4F">
        <w:rPr>
          <w:rFonts w:cs="Arial"/>
        </w:rPr>
        <w:t>class</w:t>
      </w:r>
      <w:r w:rsidRPr="00DD7E4F">
        <w:rPr>
          <w:rFonts w:cs="Arial"/>
        </w:rPr>
        <w:t xml:space="preserve"> of business after deducting reinsurance and other eligible risk mitigation instruments, where applicable.</w:t>
      </w:r>
    </w:p>
    <w:p w14:paraId="10A18A36" w14:textId="667C7AC7" w:rsidR="00B14805" w:rsidRPr="00A8576F" w:rsidRDefault="008F33A2" w:rsidP="00ED58FE">
      <w:pPr>
        <w:pStyle w:val="ListParagraph"/>
        <w:numPr>
          <w:ilvl w:val="0"/>
          <w:numId w:val="18"/>
        </w:numPr>
        <w:ind w:left="2041" w:hanging="510"/>
        <w:jc w:val="both"/>
        <w:rPr>
          <w:rFonts w:cs="Arial"/>
        </w:rPr>
      </w:pPr>
      <w:r>
        <w:rPr>
          <w:rFonts w:cs="Arial"/>
        </w:rPr>
        <w:t>For non-life insurers, g</w:t>
      </w:r>
      <w:r w:rsidR="001254F4">
        <w:rPr>
          <w:rFonts w:cs="Arial"/>
        </w:rPr>
        <w:t>ross and net p</w:t>
      </w:r>
      <w:r w:rsidR="00E80EA1" w:rsidRPr="00A8576F">
        <w:rPr>
          <w:rFonts w:cs="Arial"/>
        </w:rPr>
        <w:t>remiums written and earned</w:t>
      </w:r>
      <w:r w:rsidR="00C238CB">
        <w:rPr>
          <w:rFonts w:cs="Arial"/>
        </w:rPr>
        <w:t xml:space="preserve"> by </w:t>
      </w:r>
      <w:r w:rsidR="000B0EB8">
        <w:rPr>
          <w:rFonts w:cs="Arial"/>
        </w:rPr>
        <w:t>class</w:t>
      </w:r>
      <w:r w:rsidR="00C238CB">
        <w:rPr>
          <w:rFonts w:cs="Arial"/>
        </w:rPr>
        <w:t xml:space="preserve"> of business</w:t>
      </w:r>
      <w:r w:rsidR="00E80EA1" w:rsidRPr="00A8576F">
        <w:rPr>
          <w:rFonts w:cs="Arial"/>
        </w:rPr>
        <w:t>.</w:t>
      </w:r>
    </w:p>
    <w:p w14:paraId="61A11E32" w14:textId="2C202EB6" w:rsidR="00BF271D" w:rsidRDefault="008F33A2" w:rsidP="00ED58FE">
      <w:pPr>
        <w:pStyle w:val="ListParagraph"/>
        <w:numPr>
          <w:ilvl w:val="0"/>
          <w:numId w:val="18"/>
        </w:numPr>
        <w:ind w:left="2041" w:hanging="510"/>
        <w:jc w:val="both"/>
        <w:rPr>
          <w:rFonts w:cs="Arial"/>
        </w:rPr>
      </w:pPr>
      <w:r>
        <w:rPr>
          <w:rFonts w:cs="Arial"/>
        </w:rPr>
        <w:t>For non-life insurers, g</w:t>
      </w:r>
      <w:r w:rsidR="001254F4">
        <w:rPr>
          <w:rFonts w:cs="Arial"/>
        </w:rPr>
        <w:t>ross and net c</w:t>
      </w:r>
      <w:r w:rsidR="00BB29DB">
        <w:rPr>
          <w:rFonts w:cs="Arial"/>
        </w:rPr>
        <w:t xml:space="preserve">laims paid and incurred by </w:t>
      </w:r>
      <w:r w:rsidR="000B0EB8">
        <w:rPr>
          <w:rFonts w:cs="Arial"/>
        </w:rPr>
        <w:t>class</w:t>
      </w:r>
      <w:r w:rsidR="00BB29DB">
        <w:rPr>
          <w:rFonts w:cs="Arial"/>
        </w:rPr>
        <w:t xml:space="preserve"> of business</w:t>
      </w:r>
      <w:r w:rsidR="002C202E">
        <w:rPr>
          <w:rFonts w:cs="Arial"/>
        </w:rPr>
        <w:t>.</w:t>
      </w:r>
    </w:p>
    <w:p w14:paraId="120223FB" w14:textId="0ACC9E18" w:rsidR="004E3151" w:rsidRDefault="00B167C1" w:rsidP="00ED58FE">
      <w:pPr>
        <w:pStyle w:val="ListParagraph"/>
        <w:numPr>
          <w:ilvl w:val="0"/>
          <w:numId w:val="8"/>
        </w:numPr>
        <w:ind w:left="1531" w:hanging="170"/>
        <w:jc w:val="both"/>
        <w:rPr>
          <w:rFonts w:cs="Arial"/>
          <w:szCs w:val="24"/>
        </w:rPr>
      </w:pPr>
      <w:r w:rsidRPr="00A8576F">
        <w:rPr>
          <w:rFonts w:cs="Arial"/>
          <w:b/>
          <w:bCs/>
          <w:szCs w:val="24"/>
        </w:rPr>
        <w:t xml:space="preserve">Qualitative </w:t>
      </w:r>
      <w:r w:rsidR="00BA799B" w:rsidRPr="00A8576F">
        <w:rPr>
          <w:rFonts w:cs="Arial"/>
          <w:b/>
          <w:bCs/>
          <w:szCs w:val="24"/>
        </w:rPr>
        <w:t>context</w:t>
      </w:r>
    </w:p>
    <w:p w14:paraId="6DFC4098" w14:textId="2B3030C4" w:rsidR="000D625F" w:rsidRPr="000667C6" w:rsidRDefault="000D625F" w:rsidP="00ED58FE">
      <w:pPr>
        <w:pStyle w:val="ListParagraph"/>
        <w:numPr>
          <w:ilvl w:val="0"/>
          <w:numId w:val="19"/>
        </w:numPr>
        <w:ind w:left="2041" w:hanging="510"/>
        <w:jc w:val="both"/>
        <w:rPr>
          <w:rFonts w:cs="Arial"/>
          <w:szCs w:val="24"/>
        </w:rPr>
      </w:pPr>
      <w:r w:rsidRPr="00ED4FD1">
        <w:rPr>
          <w:rFonts w:cs="Arial"/>
        </w:rPr>
        <w:t>The</w:t>
      </w:r>
      <w:r w:rsidR="00162247">
        <w:rPr>
          <w:rFonts w:cs="Arial"/>
        </w:rPr>
        <w:t xml:space="preserve"> </w:t>
      </w:r>
      <w:r w:rsidR="00162247" w:rsidRPr="000667C6">
        <w:rPr>
          <w:rFonts w:cs="Arial"/>
        </w:rPr>
        <w:t>high-level description</w:t>
      </w:r>
      <w:r w:rsidR="00111B73" w:rsidRPr="000667C6">
        <w:rPr>
          <w:rFonts w:cs="Arial"/>
        </w:rPr>
        <w:t xml:space="preserve"> of</w:t>
      </w:r>
      <w:r w:rsidRPr="000667C6">
        <w:rPr>
          <w:rFonts w:cs="Arial"/>
        </w:rPr>
        <w:t xml:space="preserve"> methods and actuarial techniques applied in calculating technical </w:t>
      </w:r>
      <w:r w:rsidR="00410CA6" w:rsidRPr="000667C6">
        <w:rPr>
          <w:rFonts w:cs="Arial"/>
        </w:rPr>
        <w:t>provisions</w:t>
      </w:r>
      <w:r w:rsidRPr="000667C6">
        <w:rPr>
          <w:rFonts w:cs="Arial"/>
        </w:rPr>
        <w:t>.</w:t>
      </w:r>
    </w:p>
    <w:p w14:paraId="7DC8C49B" w14:textId="66D9BA96" w:rsidR="00736EE8" w:rsidRPr="000667C6" w:rsidRDefault="005A6A6A" w:rsidP="00ED58FE">
      <w:pPr>
        <w:pStyle w:val="ListParagraph"/>
        <w:numPr>
          <w:ilvl w:val="0"/>
          <w:numId w:val="19"/>
        </w:numPr>
        <w:ind w:left="2041" w:hanging="510"/>
        <w:jc w:val="both"/>
        <w:rPr>
          <w:rFonts w:cs="Arial"/>
          <w:szCs w:val="24"/>
        </w:rPr>
      </w:pPr>
      <w:r w:rsidRPr="000667C6">
        <w:rPr>
          <w:rFonts w:cs="Arial"/>
        </w:rPr>
        <w:t xml:space="preserve">Key assumptions, including </w:t>
      </w:r>
      <w:r w:rsidR="004B4A71" w:rsidRPr="000667C6">
        <w:rPr>
          <w:rFonts w:cs="Arial"/>
        </w:rPr>
        <w:t>those relating to claims acquisition costs and future profit recognition</w:t>
      </w:r>
      <w:r w:rsidR="00734543">
        <w:rPr>
          <w:rFonts w:cs="Arial"/>
        </w:rPr>
        <w:t>,</w:t>
      </w:r>
      <w:r w:rsidR="004B4A71" w:rsidRPr="000667C6">
        <w:rPr>
          <w:rFonts w:cs="Arial"/>
        </w:rPr>
        <w:t xml:space="preserve"> where applicable</w:t>
      </w:r>
      <w:r w:rsidR="00736EE8" w:rsidRPr="000667C6">
        <w:rPr>
          <w:rFonts w:cs="Arial"/>
        </w:rPr>
        <w:t>.</w:t>
      </w:r>
    </w:p>
    <w:p w14:paraId="553D5645" w14:textId="77777777" w:rsidR="00CD331E" w:rsidRPr="000667C6" w:rsidRDefault="00CD331E" w:rsidP="00ED58FE">
      <w:pPr>
        <w:pStyle w:val="ListParagraph"/>
        <w:numPr>
          <w:ilvl w:val="0"/>
          <w:numId w:val="19"/>
        </w:numPr>
        <w:ind w:left="2041" w:hanging="510"/>
        <w:jc w:val="both"/>
        <w:rPr>
          <w:rFonts w:cs="Arial"/>
          <w:szCs w:val="24"/>
        </w:rPr>
      </w:pPr>
      <w:r w:rsidRPr="000667C6">
        <w:rPr>
          <w:rFonts w:cs="Arial"/>
          <w:szCs w:val="24"/>
        </w:rPr>
        <w:t>For life insurers, participation features included in technical provisions, their valuation, and whether they are contractual or discretionary.</w:t>
      </w:r>
    </w:p>
    <w:p w14:paraId="7E9A2505" w14:textId="2C5A12CE" w:rsidR="00CD331E" w:rsidRPr="000667C6" w:rsidRDefault="00CD331E" w:rsidP="00ED58FE">
      <w:pPr>
        <w:pStyle w:val="ListParagraph"/>
        <w:numPr>
          <w:ilvl w:val="0"/>
          <w:numId w:val="19"/>
        </w:numPr>
        <w:ind w:left="2041" w:hanging="510"/>
        <w:jc w:val="both"/>
        <w:rPr>
          <w:rFonts w:cs="Arial"/>
          <w:szCs w:val="24"/>
        </w:rPr>
      </w:pPr>
      <w:r w:rsidRPr="000667C6">
        <w:rPr>
          <w:rFonts w:cs="Arial"/>
          <w:szCs w:val="24"/>
        </w:rPr>
        <w:t xml:space="preserve">For non-life insurers, </w:t>
      </w:r>
      <w:r w:rsidR="0092738E" w:rsidRPr="000667C6">
        <w:rPr>
          <w:rFonts w:cs="Arial"/>
          <w:szCs w:val="24"/>
        </w:rPr>
        <w:t>information on reserve adequacy and historical claims run-off experience</w:t>
      </w:r>
      <w:r w:rsidRPr="000667C6">
        <w:rPr>
          <w:rFonts w:cs="Arial"/>
          <w:szCs w:val="24"/>
        </w:rPr>
        <w:t>.</w:t>
      </w:r>
    </w:p>
    <w:p w14:paraId="5E62452E" w14:textId="5BCCDE85" w:rsidR="00C509F2" w:rsidRPr="000667C6" w:rsidRDefault="00396D55" w:rsidP="00ED58FE">
      <w:pPr>
        <w:pStyle w:val="ListParagraph"/>
        <w:numPr>
          <w:ilvl w:val="0"/>
          <w:numId w:val="19"/>
        </w:numPr>
        <w:ind w:left="2041" w:hanging="510"/>
        <w:jc w:val="both"/>
        <w:rPr>
          <w:rFonts w:cs="Arial"/>
          <w:szCs w:val="24"/>
        </w:rPr>
      </w:pPr>
      <w:r w:rsidRPr="000667C6">
        <w:rPr>
          <w:rFonts w:cs="Arial"/>
        </w:rPr>
        <w:t>R</w:t>
      </w:r>
      <w:r w:rsidR="009C2C7A" w:rsidRPr="000667C6">
        <w:rPr>
          <w:rFonts w:cs="Arial"/>
        </w:rPr>
        <w:t>isk margin methodologies</w:t>
      </w:r>
      <w:r w:rsidR="00736EE8" w:rsidRPr="000667C6">
        <w:rPr>
          <w:rFonts w:cs="Arial"/>
        </w:rPr>
        <w:t xml:space="preserve">, where used, and explanations </w:t>
      </w:r>
      <w:r w:rsidR="0044663F" w:rsidRPr="000667C6">
        <w:rPr>
          <w:rFonts w:cs="Arial"/>
        </w:rPr>
        <w:t>of how the above approaches ensure the adequacy and reliability of the technical provisions.</w:t>
      </w:r>
    </w:p>
    <w:p w14:paraId="0AC7703A" w14:textId="77777777" w:rsidR="00D95B0C" w:rsidRPr="000667C6" w:rsidRDefault="00D95B0C" w:rsidP="0045726B">
      <w:pPr>
        <w:jc w:val="both"/>
        <w:rPr>
          <w:rFonts w:cs="Arial"/>
          <w:szCs w:val="24"/>
        </w:rPr>
      </w:pPr>
    </w:p>
    <w:p w14:paraId="7C9905EB" w14:textId="0506F59B" w:rsidR="008B3048" w:rsidRDefault="008B3048" w:rsidP="00ED58FE">
      <w:pPr>
        <w:pStyle w:val="Heading2"/>
        <w:numPr>
          <w:ilvl w:val="2"/>
          <w:numId w:val="16"/>
        </w:numPr>
        <w:ind w:left="851" w:hanging="851"/>
        <w:rPr>
          <w:rFonts w:cs="Arial"/>
          <w:b/>
          <w:bCs/>
          <w:szCs w:val="24"/>
        </w:rPr>
      </w:pPr>
      <w:r w:rsidRPr="000667C6">
        <w:rPr>
          <w:rFonts w:cs="Arial"/>
          <w:b/>
          <w:bCs/>
          <w:szCs w:val="24"/>
        </w:rPr>
        <w:t>Financial instruments</w:t>
      </w:r>
      <w:r w:rsidRPr="00A8576F">
        <w:rPr>
          <w:rFonts w:cs="Arial"/>
          <w:b/>
          <w:bCs/>
          <w:szCs w:val="24"/>
        </w:rPr>
        <w:t xml:space="preserve"> and other investments</w:t>
      </w:r>
    </w:p>
    <w:p w14:paraId="4C0D8AD2" w14:textId="77777777" w:rsidR="004E3151" w:rsidRPr="00A8576F" w:rsidRDefault="004E3151" w:rsidP="004E3151">
      <w:pPr>
        <w:pStyle w:val="ListParagraph"/>
        <w:ind w:left="851"/>
        <w:jc w:val="both"/>
        <w:rPr>
          <w:rFonts w:cs="Arial"/>
          <w:b/>
          <w:bCs/>
          <w:szCs w:val="24"/>
        </w:rPr>
      </w:pPr>
    </w:p>
    <w:p w14:paraId="3931A8B6" w14:textId="31FB7B04" w:rsidR="008950DC" w:rsidRDefault="008950DC" w:rsidP="00ED58FE">
      <w:pPr>
        <w:pStyle w:val="Heading2"/>
        <w:numPr>
          <w:ilvl w:val="3"/>
          <w:numId w:val="20"/>
        </w:numPr>
        <w:ind w:left="1208" w:hanging="357"/>
        <w:rPr>
          <w:rFonts w:cs="Arial"/>
          <w:szCs w:val="24"/>
        </w:rPr>
      </w:pPr>
      <w:r w:rsidRPr="00A8576F">
        <w:rPr>
          <w:rFonts w:cs="Arial"/>
          <w:szCs w:val="24"/>
        </w:rPr>
        <w:t xml:space="preserve">Insurers must publicly disclose information on financial instruments and other investments to provide stakeholders with a clear understanding of the composition </w:t>
      </w:r>
      <w:r w:rsidR="007439BD" w:rsidRPr="00A8576F">
        <w:rPr>
          <w:rFonts w:cs="Arial"/>
          <w:szCs w:val="24"/>
        </w:rPr>
        <w:t xml:space="preserve">and </w:t>
      </w:r>
      <w:r w:rsidRPr="00A8576F">
        <w:rPr>
          <w:rFonts w:cs="Arial"/>
          <w:szCs w:val="24"/>
        </w:rPr>
        <w:t xml:space="preserve">valuation of the </w:t>
      </w:r>
      <w:r w:rsidR="004E3151">
        <w:rPr>
          <w:rFonts w:cs="Arial"/>
          <w:szCs w:val="24"/>
        </w:rPr>
        <w:t>insurer's</w:t>
      </w:r>
      <w:r w:rsidRPr="00A8576F">
        <w:rPr>
          <w:rFonts w:cs="Arial"/>
          <w:szCs w:val="24"/>
        </w:rPr>
        <w:t xml:space="preserve"> investment portfolio.</w:t>
      </w:r>
    </w:p>
    <w:p w14:paraId="436FCB00" w14:textId="6BFA4FBA" w:rsidR="008D78C4" w:rsidRDefault="00BA7066" w:rsidP="00ED58FE">
      <w:pPr>
        <w:pStyle w:val="Heading2"/>
        <w:numPr>
          <w:ilvl w:val="3"/>
          <w:numId w:val="20"/>
        </w:numPr>
        <w:ind w:left="1208" w:hanging="357"/>
        <w:rPr>
          <w:rFonts w:cs="Arial"/>
          <w:szCs w:val="24"/>
        </w:rPr>
      </w:pPr>
      <w:r w:rsidRPr="00C15310">
        <w:rPr>
          <w:rFonts w:cs="Arial"/>
          <w:szCs w:val="24"/>
        </w:rPr>
        <w:t xml:space="preserve">The disclosure should enable stakeholders to assess the impact of investment activities on the </w:t>
      </w:r>
      <w:r w:rsidR="004E3151" w:rsidRPr="00C15310">
        <w:rPr>
          <w:rFonts w:cs="Arial"/>
          <w:szCs w:val="24"/>
        </w:rPr>
        <w:t>insurer's</w:t>
      </w:r>
      <w:r w:rsidRPr="00C15310">
        <w:rPr>
          <w:rFonts w:cs="Arial"/>
          <w:szCs w:val="24"/>
        </w:rPr>
        <w:t xml:space="preserve"> financial </w:t>
      </w:r>
      <w:r w:rsidR="002848A3">
        <w:rPr>
          <w:rFonts w:cs="Arial"/>
          <w:szCs w:val="24"/>
        </w:rPr>
        <w:t>performance and</w:t>
      </w:r>
      <w:r w:rsidRPr="00C15310">
        <w:rPr>
          <w:rFonts w:cs="Arial"/>
          <w:szCs w:val="24"/>
        </w:rPr>
        <w:t xml:space="preserve"> financial </w:t>
      </w:r>
      <w:r w:rsidR="008D78C4" w:rsidRPr="00C15310">
        <w:rPr>
          <w:rFonts w:cs="Arial"/>
          <w:szCs w:val="24"/>
        </w:rPr>
        <w:t>and solvency position.</w:t>
      </w:r>
    </w:p>
    <w:p w14:paraId="7DEFDD04" w14:textId="337F8C5B" w:rsidR="004E3151" w:rsidRPr="00C15310" w:rsidRDefault="008D78C4" w:rsidP="00ED58FE">
      <w:pPr>
        <w:pStyle w:val="Heading2"/>
        <w:numPr>
          <w:ilvl w:val="3"/>
          <w:numId w:val="20"/>
        </w:numPr>
        <w:ind w:left="1208" w:hanging="357"/>
        <w:rPr>
          <w:rFonts w:cs="Arial"/>
          <w:b/>
          <w:bCs/>
          <w:szCs w:val="24"/>
        </w:rPr>
      </w:pPr>
      <w:r w:rsidRPr="00C15310">
        <w:rPr>
          <w:rFonts w:cs="Arial"/>
          <w:szCs w:val="24"/>
        </w:rPr>
        <w:t>At a minimum,</w:t>
      </w:r>
      <w:r w:rsidR="00C85F4E" w:rsidRPr="00C15310">
        <w:rPr>
          <w:rFonts w:cs="Arial"/>
          <w:szCs w:val="24"/>
        </w:rPr>
        <w:t xml:space="preserve"> the disclosures must include:</w:t>
      </w:r>
    </w:p>
    <w:p w14:paraId="4612D13E" w14:textId="7B6CB3E2" w:rsidR="005C4547" w:rsidRPr="00A8576F" w:rsidRDefault="00D14C08" w:rsidP="00ED58FE">
      <w:pPr>
        <w:pStyle w:val="ListParagraph"/>
        <w:numPr>
          <w:ilvl w:val="0"/>
          <w:numId w:val="4"/>
        </w:numPr>
        <w:ind w:left="1531" w:hanging="170"/>
        <w:jc w:val="both"/>
        <w:rPr>
          <w:rFonts w:cs="Arial"/>
          <w:b/>
          <w:bCs/>
          <w:szCs w:val="24"/>
        </w:rPr>
      </w:pPr>
      <w:r w:rsidRPr="00A8576F">
        <w:rPr>
          <w:rFonts w:cs="Arial"/>
          <w:b/>
          <w:bCs/>
          <w:szCs w:val="24"/>
        </w:rPr>
        <w:t>Qua</w:t>
      </w:r>
      <w:r w:rsidR="00DE51DA">
        <w:rPr>
          <w:rFonts w:cs="Arial"/>
          <w:b/>
          <w:bCs/>
          <w:szCs w:val="24"/>
        </w:rPr>
        <w:t>nti</w:t>
      </w:r>
      <w:r w:rsidRPr="00A8576F">
        <w:rPr>
          <w:rFonts w:cs="Arial"/>
          <w:b/>
          <w:bCs/>
          <w:szCs w:val="24"/>
        </w:rPr>
        <w:t>tative tools</w:t>
      </w:r>
      <w:r w:rsidRPr="00A8576F">
        <w:rPr>
          <w:rFonts w:cs="Arial"/>
          <w:szCs w:val="24"/>
        </w:rPr>
        <w:t xml:space="preserve"> </w:t>
      </w:r>
    </w:p>
    <w:p w14:paraId="26CF659E" w14:textId="244D5717" w:rsidR="003850E0" w:rsidRPr="008A0ED9" w:rsidRDefault="00D14C08" w:rsidP="00ED58FE">
      <w:pPr>
        <w:pStyle w:val="ListParagraph"/>
        <w:numPr>
          <w:ilvl w:val="0"/>
          <w:numId w:val="21"/>
        </w:numPr>
        <w:ind w:left="2041" w:hanging="510"/>
        <w:jc w:val="both"/>
        <w:rPr>
          <w:rFonts w:cs="Arial"/>
          <w:b/>
          <w:bCs/>
          <w:szCs w:val="24"/>
        </w:rPr>
      </w:pPr>
      <w:r w:rsidRPr="00A8576F">
        <w:rPr>
          <w:rFonts w:cs="Arial"/>
          <w:szCs w:val="24"/>
        </w:rPr>
        <w:t>Investment holdings by class/type</w:t>
      </w:r>
      <w:r w:rsidR="00E03F99" w:rsidRPr="00A8576F">
        <w:rPr>
          <w:rFonts w:cs="Arial"/>
          <w:szCs w:val="24"/>
        </w:rPr>
        <w:t>.</w:t>
      </w:r>
    </w:p>
    <w:p w14:paraId="632CC47A" w14:textId="2B81D1F4" w:rsidR="003850E0" w:rsidRPr="00577F1A" w:rsidRDefault="00E03F99" w:rsidP="00ED58FE">
      <w:pPr>
        <w:pStyle w:val="ListParagraph"/>
        <w:numPr>
          <w:ilvl w:val="0"/>
          <w:numId w:val="21"/>
        </w:numPr>
        <w:ind w:left="2041" w:hanging="510"/>
        <w:jc w:val="both"/>
        <w:rPr>
          <w:rFonts w:cs="Arial"/>
          <w:b/>
          <w:bCs/>
          <w:szCs w:val="24"/>
        </w:rPr>
      </w:pPr>
      <w:r w:rsidRPr="008A0ED9">
        <w:rPr>
          <w:rFonts w:cs="Arial"/>
          <w:szCs w:val="24"/>
        </w:rPr>
        <w:t xml:space="preserve">Geographic and sectoral breakdown of investments, </w:t>
      </w:r>
      <w:r w:rsidRPr="00577F1A">
        <w:rPr>
          <w:rFonts w:cs="Arial"/>
          <w:szCs w:val="24"/>
        </w:rPr>
        <w:t>incl</w:t>
      </w:r>
      <w:r w:rsidR="0026446D" w:rsidRPr="00577F1A">
        <w:rPr>
          <w:rFonts w:cs="Arial"/>
          <w:szCs w:val="24"/>
        </w:rPr>
        <w:t xml:space="preserve">uding </w:t>
      </w:r>
      <w:r w:rsidR="001C592F" w:rsidRPr="00577F1A">
        <w:rPr>
          <w:rFonts w:cs="Arial"/>
          <w:szCs w:val="24"/>
        </w:rPr>
        <w:t xml:space="preserve">significant </w:t>
      </w:r>
      <w:r w:rsidR="0026446D" w:rsidRPr="00577F1A">
        <w:rPr>
          <w:rFonts w:cs="Arial"/>
          <w:szCs w:val="24"/>
        </w:rPr>
        <w:t>concentrations.</w:t>
      </w:r>
    </w:p>
    <w:p w14:paraId="05DB5AD9" w14:textId="4EAE033C" w:rsidR="00CE6F83" w:rsidRPr="008A0ED9" w:rsidRDefault="0026446D" w:rsidP="00ED58FE">
      <w:pPr>
        <w:pStyle w:val="ListParagraph"/>
        <w:numPr>
          <w:ilvl w:val="0"/>
          <w:numId w:val="21"/>
        </w:numPr>
        <w:ind w:left="2041" w:hanging="510"/>
        <w:jc w:val="both"/>
        <w:rPr>
          <w:rFonts w:cs="Arial"/>
          <w:b/>
          <w:bCs/>
          <w:szCs w:val="24"/>
        </w:rPr>
      </w:pPr>
      <w:r w:rsidRPr="008A0ED9">
        <w:rPr>
          <w:rFonts w:cs="Arial"/>
          <w:szCs w:val="24"/>
        </w:rPr>
        <w:t>Currency exposure, where material to the insurer’s risk profile.</w:t>
      </w:r>
    </w:p>
    <w:p w14:paraId="524352F1" w14:textId="143DDD4A" w:rsidR="006A52ED" w:rsidRPr="00A8576F" w:rsidRDefault="006A52ED" w:rsidP="00ED58FE">
      <w:pPr>
        <w:pStyle w:val="ListParagraph"/>
        <w:numPr>
          <w:ilvl w:val="0"/>
          <w:numId w:val="4"/>
        </w:numPr>
        <w:ind w:left="1531" w:hanging="170"/>
        <w:jc w:val="both"/>
        <w:rPr>
          <w:rFonts w:cs="Arial"/>
          <w:b/>
          <w:bCs/>
          <w:szCs w:val="24"/>
        </w:rPr>
      </w:pPr>
      <w:r w:rsidRPr="00A8576F">
        <w:rPr>
          <w:rFonts w:cs="Arial"/>
          <w:b/>
          <w:bCs/>
          <w:szCs w:val="24"/>
        </w:rPr>
        <w:t>Valuation methods and assumptions</w:t>
      </w:r>
    </w:p>
    <w:p w14:paraId="576D8725" w14:textId="245F20D9" w:rsidR="00FB20C3" w:rsidRPr="000667C6" w:rsidRDefault="00FB20C3" w:rsidP="00ED58FE">
      <w:pPr>
        <w:pStyle w:val="ListParagraph"/>
        <w:numPr>
          <w:ilvl w:val="0"/>
          <w:numId w:val="22"/>
        </w:numPr>
        <w:ind w:left="2041" w:hanging="510"/>
        <w:jc w:val="both"/>
        <w:rPr>
          <w:rFonts w:cs="Arial"/>
          <w:szCs w:val="24"/>
        </w:rPr>
      </w:pPr>
      <w:r w:rsidRPr="00A8576F">
        <w:rPr>
          <w:rFonts w:cs="Arial"/>
          <w:szCs w:val="24"/>
        </w:rPr>
        <w:t>Basis for valuation for financial reporting purposes (</w:t>
      </w:r>
      <w:r w:rsidR="00C149CC">
        <w:rPr>
          <w:rFonts w:cs="Arial"/>
          <w:szCs w:val="24"/>
        </w:rPr>
        <w:t>e.g.</w:t>
      </w:r>
      <w:r w:rsidRPr="00A8576F">
        <w:rPr>
          <w:rFonts w:cs="Arial"/>
          <w:szCs w:val="24"/>
        </w:rPr>
        <w:t xml:space="preserve"> IFRS) </w:t>
      </w:r>
      <w:r w:rsidRPr="000667C6">
        <w:rPr>
          <w:rFonts w:cs="Arial"/>
          <w:szCs w:val="24"/>
        </w:rPr>
        <w:t>and regulatory solvency reporting.</w:t>
      </w:r>
    </w:p>
    <w:p w14:paraId="7B07436F" w14:textId="3507E4E6" w:rsidR="006627B3" w:rsidRPr="0070381F" w:rsidRDefault="00FB20C3" w:rsidP="00ED58FE">
      <w:pPr>
        <w:pStyle w:val="ListParagraph"/>
        <w:numPr>
          <w:ilvl w:val="0"/>
          <w:numId w:val="22"/>
        </w:numPr>
        <w:ind w:left="2041" w:hanging="510"/>
        <w:jc w:val="both"/>
        <w:rPr>
          <w:rFonts w:cs="Arial"/>
          <w:szCs w:val="24"/>
        </w:rPr>
      </w:pPr>
      <w:r w:rsidRPr="000667C6">
        <w:rPr>
          <w:rFonts w:cs="Arial"/>
          <w:szCs w:val="24"/>
        </w:rPr>
        <w:t>Key assu</w:t>
      </w:r>
      <w:r w:rsidR="0026220F" w:rsidRPr="000667C6">
        <w:rPr>
          <w:rFonts w:cs="Arial"/>
          <w:szCs w:val="24"/>
        </w:rPr>
        <w:t>m</w:t>
      </w:r>
      <w:r w:rsidRPr="000667C6">
        <w:rPr>
          <w:rFonts w:cs="Arial"/>
          <w:szCs w:val="24"/>
        </w:rPr>
        <w:t>ptions</w:t>
      </w:r>
      <w:r w:rsidR="0026220F" w:rsidRPr="00A8576F">
        <w:rPr>
          <w:rFonts w:cs="Arial"/>
          <w:szCs w:val="24"/>
        </w:rPr>
        <w:t xml:space="preserve"> </w:t>
      </w:r>
      <w:r w:rsidR="006627B3" w:rsidRPr="00A8576F">
        <w:rPr>
          <w:rFonts w:cs="Arial"/>
          <w:szCs w:val="24"/>
        </w:rPr>
        <w:t>and inputs used in calculating the values of investments.</w:t>
      </w:r>
    </w:p>
    <w:p w14:paraId="67576762" w14:textId="77777777" w:rsidR="0026220F" w:rsidRPr="0070381F" w:rsidRDefault="006627B3" w:rsidP="00ED58FE">
      <w:pPr>
        <w:pStyle w:val="ListParagraph"/>
        <w:numPr>
          <w:ilvl w:val="0"/>
          <w:numId w:val="22"/>
        </w:numPr>
        <w:ind w:left="2041" w:hanging="510"/>
        <w:jc w:val="both"/>
        <w:rPr>
          <w:rFonts w:cs="Arial"/>
          <w:szCs w:val="24"/>
        </w:rPr>
      </w:pPr>
      <w:r w:rsidRPr="00A8576F">
        <w:rPr>
          <w:rFonts w:cs="Arial"/>
          <w:szCs w:val="24"/>
        </w:rPr>
        <w:t xml:space="preserve">Explanations of any material differences between financial reporting </w:t>
      </w:r>
      <w:r w:rsidR="007053EC" w:rsidRPr="00A8576F">
        <w:rPr>
          <w:rFonts w:cs="Arial"/>
          <w:szCs w:val="24"/>
        </w:rPr>
        <w:t>and solvency valuations, where applicable.</w:t>
      </w:r>
    </w:p>
    <w:p w14:paraId="60C6D2C7" w14:textId="707BEAD0" w:rsidR="00CE6F83" w:rsidRPr="00A8576F" w:rsidRDefault="0026220F" w:rsidP="00ED58FE">
      <w:pPr>
        <w:pStyle w:val="ListParagraph"/>
        <w:numPr>
          <w:ilvl w:val="0"/>
          <w:numId w:val="4"/>
        </w:numPr>
        <w:ind w:left="1531" w:hanging="170"/>
        <w:jc w:val="both"/>
        <w:rPr>
          <w:rFonts w:cs="Arial"/>
          <w:b/>
          <w:bCs/>
          <w:szCs w:val="24"/>
        </w:rPr>
      </w:pPr>
      <w:r w:rsidRPr="00A8576F">
        <w:rPr>
          <w:rFonts w:cs="Arial"/>
          <w:b/>
          <w:bCs/>
          <w:szCs w:val="24"/>
        </w:rPr>
        <w:t>Qualitative context</w:t>
      </w:r>
    </w:p>
    <w:p w14:paraId="0F6F0D44" w14:textId="5CEC206D" w:rsidR="0026220F" w:rsidRPr="00AE7027" w:rsidRDefault="0026220F" w:rsidP="00ED58FE">
      <w:pPr>
        <w:pStyle w:val="ListParagraph"/>
        <w:numPr>
          <w:ilvl w:val="0"/>
          <w:numId w:val="23"/>
        </w:numPr>
        <w:ind w:left="2041" w:hanging="510"/>
        <w:jc w:val="both"/>
        <w:rPr>
          <w:rFonts w:cs="Arial"/>
          <w:b/>
          <w:bCs/>
          <w:szCs w:val="24"/>
        </w:rPr>
      </w:pPr>
      <w:r w:rsidRPr="00A8576F">
        <w:rPr>
          <w:rFonts w:cs="Arial"/>
          <w:szCs w:val="24"/>
        </w:rPr>
        <w:t>Investment objectives, strategies and policies, including risk management practices.</w:t>
      </w:r>
    </w:p>
    <w:p w14:paraId="076B1E63" w14:textId="77777777" w:rsidR="005F6E06" w:rsidRPr="0048166F" w:rsidRDefault="0026220F" w:rsidP="00ED58FE">
      <w:pPr>
        <w:pStyle w:val="ListParagraph"/>
        <w:numPr>
          <w:ilvl w:val="0"/>
          <w:numId w:val="23"/>
        </w:numPr>
        <w:ind w:left="2041" w:hanging="510"/>
        <w:jc w:val="both"/>
        <w:rPr>
          <w:rFonts w:cs="Arial"/>
          <w:b/>
          <w:bCs/>
          <w:szCs w:val="24"/>
        </w:rPr>
      </w:pPr>
      <w:r w:rsidRPr="00AE7027">
        <w:rPr>
          <w:rFonts w:cs="Arial"/>
          <w:szCs w:val="24"/>
        </w:rPr>
        <w:t>Liquidity management approach and concentration risk management.</w:t>
      </w:r>
    </w:p>
    <w:p w14:paraId="61720A13" w14:textId="65B41666" w:rsidR="004105BA" w:rsidRPr="0048166F" w:rsidRDefault="005F6E06" w:rsidP="00ED58FE">
      <w:pPr>
        <w:pStyle w:val="ListParagraph"/>
        <w:numPr>
          <w:ilvl w:val="0"/>
          <w:numId w:val="23"/>
        </w:numPr>
        <w:ind w:left="2041" w:hanging="510"/>
        <w:jc w:val="both"/>
        <w:rPr>
          <w:rFonts w:cs="Arial"/>
          <w:b/>
          <w:bCs/>
          <w:szCs w:val="24"/>
        </w:rPr>
      </w:pPr>
      <w:r w:rsidRPr="0048166F">
        <w:rPr>
          <w:rFonts w:cs="Arial"/>
          <w:szCs w:val="24"/>
        </w:rPr>
        <w:t>Any other material factors that could affect the risk profile or expected performance of the investment portfolio.</w:t>
      </w:r>
    </w:p>
    <w:p w14:paraId="6FDAED3F" w14:textId="77777777" w:rsidR="000447D1" w:rsidRDefault="000447D1" w:rsidP="000447D1">
      <w:pPr>
        <w:pStyle w:val="ListParagraph"/>
        <w:ind w:left="2160"/>
        <w:jc w:val="both"/>
        <w:rPr>
          <w:rFonts w:cs="Arial"/>
          <w:b/>
          <w:bCs/>
          <w:szCs w:val="24"/>
        </w:rPr>
      </w:pPr>
    </w:p>
    <w:p w14:paraId="7BA1416E" w14:textId="77777777" w:rsidR="00A1198D" w:rsidRDefault="00A1198D" w:rsidP="000447D1">
      <w:pPr>
        <w:pStyle w:val="ListParagraph"/>
        <w:ind w:left="2160"/>
        <w:jc w:val="both"/>
        <w:rPr>
          <w:rFonts w:cs="Arial"/>
          <w:b/>
          <w:bCs/>
          <w:szCs w:val="24"/>
        </w:rPr>
      </w:pPr>
    </w:p>
    <w:p w14:paraId="3411FAC7" w14:textId="77777777" w:rsidR="00DF2C2C" w:rsidRDefault="00DF2C2C" w:rsidP="000447D1">
      <w:pPr>
        <w:pStyle w:val="ListParagraph"/>
        <w:ind w:left="2160"/>
        <w:jc w:val="both"/>
        <w:rPr>
          <w:rFonts w:cs="Arial"/>
          <w:b/>
          <w:bCs/>
          <w:szCs w:val="24"/>
        </w:rPr>
      </w:pPr>
    </w:p>
    <w:p w14:paraId="79E6F142" w14:textId="77777777" w:rsidR="00DF2C2C" w:rsidRPr="00A8576F" w:rsidRDefault="00DF2C2C" w:rsidP="000447D1">
      <w:pPr>
        <w:pStyle w:val="ListParagraph"/>
        <w:ind w:left="2160"/>
        <w:jc w:val="both"/>
        <w:rPr>
          <w:rFonts w:cs="Arial"/>
          <w:b/>
          <w:bCs/>
          <w:szCs w:val="24"/>
        </w:rPr>
      </w:pPr>
    </w:p>
    <w:p w14:paraId="742B71B0" w14:textId="77777777" w:rsidR="003A711B" w:rsidRPr="00E408BE" w:rsidRDefault="008B3048" w:rsidP="00ED58FE">
      <w:pPr>
        <w:pStyle w:val="Heading2"/>
        <w:numPr>
          <w:ilvl w:val="2"/>
          <w:numId w:val="16"/>
        </w:numPr>
        <w:ind w:left="851" w:hanging="851"/>
        <w:rPr>
          <w:rFonts w:cs="Arial"/>
          <w:szCs w:val="24"/>
        </w:rPr>
      </w:pPr>
      <w:r w:rsidRPr="00A8576F">
        <w:rPr>
          <w:rFonts w:cs="Arial"/>
          <w:b/>
          <w:bCs/>
          <w:szCs w:val="24"/>
        </w:rPr>
        <w:lastRenderedPageBreak/>
        <w:t>Investment risk exposure</w:t>
      </w:r>
      <w:r w:rsidR="355390B3" w:rsidRPr="00A8576F">
        <w:rPr>
          <w:rFonts w:cs="Arial"/>
          <w:b/>
          <w:bCs/>
          <w:szCs w:val="24"/>
        </w:rPr>
        <w:t>s</w:t>
      </w:r>
    </w:p>
    <w:p w14:paraId="2CA4AB94" w14:textId="77777777" w:rsidR="00E408BE" w:rsidRPr="000447D1" w:rsidRDefault="00E408BE" w:rsidP="00E408BE">
      <w:pPr>
        <w:pStyle w:val="ListParagraph"/>
        <w:ind w:left="851"/>
        <w:jc w:val="both"/>
        <w:rPr>
          <w:rFonts w:cs="Arial"/>
          <w:szCs w:val="24"/>
        </w:rPr>
      </w:pPr>
    </w:p>
    <w:p w14:paraId="2037E09D" w14:textId="0596A8C6" w:rsidR="004E3151" w:rsidRPr="000E7FCA" w:rsidRDefault="00175269" w:rsidP="00ED58FE">
      <w:pPr>
        <w:pStyle w:val="ListParagraph"/>
        <w:numPr>
          <w:ilvl w:val="3"/>
          <w:numId w:val="3"/>
        </w:numPr>
        <w:ind w:left="1208" w:hanging="357"/>
        <w:jc w:val="both"/>
        <w:rPr>
          <w:rFonts w:cs="Arial"/>
          <w:szCs w:val="24"/>
        </w:rPr>
      </w:pPr>
      <w:r w:rsidRPr="000447D1">
        <w:rPr>
          <w:rFonts w:cs="Arial"/>
          <w:szCs w:val="24"/>
        </w:rPr>
        <w:t xml:space="preserve">Insurers must publicly disclose </w:t>
      </w:r>
      <w:r w:rsidR="007D6EE9" w:rsidRPr="000447D1">
        <w:rPr>
          <w:rFonts w:cs="Arial"/>
          <w:szCs w:val="24"/>
        </w:rPr>
        <w:t xml:space="preserve">sufficient quantitative and qualitative </w:t>
      </w:r>
      <w:r w:rsidRPr="000447D1">
        <w:rPr>
          <w:rFonts w:cs="Arial"/>
          <w:szCs w:val="24"/>
        </w:rPr>
        <w:t xml:space="preserve">information </w:t>
      </w:r>
      <w:r w:rsidR="00823C0C" w:rsidRPr="000447D1">
        <w:rPr>
          <w:rFonts w:cs="Arial"/>
          <w:szCs w:val="24"/>
        </w:rPr>
        <w:t>regarding their i</w:t>
      </w:r>
      <w:r w:rsidRPr="000447D1">
        <w:rPr>
          <w:rFonts w:cs="Arial"/>
          <w:szCs w:val="24"/>
        </w:rPr>
        <w:t>nvestment risk exposure</w:t>
      </w:r>
      <w:r w:rsidR="0044546B" w:rsidRPr="000447D1">
        <w:rPr>
          <w:rFonts w:cs="Arial"/>
          <w:szCs w:val="24"/>
        </w:rPr>
        <w:t>s</w:t>
      </w:r>
      <w:r w:rsidRPr="000447D1">
        <w:rPr>
          <w:rFonts w:cs="Arial"/>
          <w:szCs w:val="24"/>
        </w:rPr>
        <w:t xml:space="preserve"> to </w:t>
      </w:r>
      <w:r w:rsidR="00823C0C" w:rsidRPr="000447D1">
        <w:rPr>
          <w:rFonts w:cs="Arial"/>
          <w:szCs w:val="24"/>
        </w:rPr>
        <w:t xml:space="preserve">enable </w:t>
      </w:r>
      <w:r w:rsidRPr="000447D1">
        <w:rPr>
          <w:rFonts w:cs="Arial"/>
          <w:szCs w:val="24"/>
        </w:rPr>
        <w:t xml:space="preserve">stakeholders </w:t>
      </w:r>
      <w:r w:rsidR="00823C0C" w:rsidRPr="000447D1">
        <w:rPr>
          <w:rFonts w:cs="Arial"/>
          <w:szCs w:val="24"/>
        </w:rPr>
        <w:t xml:space="preserve">to assess the nature, scale and management of risks arising from the </w:t>
      </w:r>
      <w:r w:rsidR="004E3151">
        <w:rPr>
          <w:rFonts w:cs="Arial"/>
          <w:szCs w:val="24"/>
        </w:rPr>
        <w:t>insurer's</w:t>
      </w:r>
      <w:r w:rsidR="00823C0C" w:rsidRPr="000447D1">
        <w:rPr>
          <w:rFonts w:cs="Arial"/>
          <w:szCs w:val="24"/>
        </w:rPr>
        <w:t xml:space="preserve"> investment activit</w:t>
      </w:r>
      <w:r w:rsidR="00832981" w:rsidRPr="000447D1">
        <w:rPr>
          <w:rFonts w:cs="Arial"/>
          <w:szCs w:val="24"/>
        </w:rPr>
        <w:t>i</w:t>
      </w:r>
      <w:r w:rsidR="00823C0C" w:rsidRPr="000447D1">
        <w:rPr>
          <w:rFonts w:cs="Arial"/>
          <w:szCs w:val="24"/>
        </w:rPr>
        <w:t>es</w:t>
      </w:r>
      <w:r w:rsidR="00754C3E" w:rsidRPr="000447D1">
        <w:rPr>
          <w:rFonts w:cs="Arial"/>
          <w:szCs w:val="24"/>
        </w:rPr>
        <w:t xml:space="preserve"> and the potential impact on </w:t>
      </w:r>
      <w:r w:rsidR="00754C3E" w:rsidRPr="00577F1A">
        <w:rPr>
          <w:rFonts w:cs="Arial"/>
          <w:szCs w:val="24"/>
        </w:rPr>
        <w:t>financial</w:t>
      </w:r>
      <w:r w:rsidR="009B6B0E" w:rsidRPr="00577F1A">
        <w:rPr>
          <w:rFonts w:cs="Arial"/>
          <w:szCs w:val="24"/>
        </w:rPr>
        <w:t xml:space="preserve"> </w:t>
      </w:r>
      <w:r w:rsidR="00754C3E" w:rsidRPr="00577F1A">
        <w:rPr>
          <w:rFonts w:cs="Arial"/>
          <w:szCs w:val="24"/>
        </w:rPr>
        <w:t>and solvency</w:t>
      </w:r>
      <w:r w:rsidR="009B6B0E" w:rsidRPr="00577F1A">
        <w:rPr>
          <w:rFonts w:cs="Arial"/>
          <w:szCs w:val="24"/>
        </w:rPr>
        <w:t xml:space="preserve"> position.</w:t>
      </w:r>
    </w:p>
    <w:p w14:paraId="63BE341A" w14:textId="25C8B005" w:rsidR="004E3151" w:rsidRPr="000E7FCA" w:rsidRDefault="002C716D" w:rsidP="00ED58FE">
      <w:pPr>
        <w:pStyle w:val="ListParagraph"/>
        <w:numPr>
          <w:ilvl w:val="3"/>
          <w:numId w:val="3"/>
        </w:numPr>
        <w:ind w:left="1208" w:hanging="357"/>
        <w:jc w:val="both"/>
        <w:rPr>
          <w:rFonts w:cs="Arial"/>
          <w:szCs w:val="24"/>
        </w:rPr>
      </w:pPr>
      <w:r w:rsidRPr="00A8576F">
        <w:rPr>
          <w:rFonts w:cs="Arial"/>
          <w:szCs w:val="24"/>
        </w:rPr>
        <w:t>At a minimum, insurers must disclose:</w:t>
      </w:r>
    </w:p>
    <w:p w14:paraId="785DDD29" w14:textId="63ED1136" w:rsidR="00D64832" w:rsidRPr="00D64832" w:rsidRDefault="00771973" w:rsidP="00ED58FE">
      <w:pPr>
        <w:pStyle w:val="ListParagraph"/>
        <w:numPr>
          <w:ilvl w:val="0"/>
          <w:numId w:val="5"/>
        </w:numPr>
        <w:ind w:left="1531" w:hanging="170"/>
        <w:jc w:val="both"/>
        <w:rPr>
          <w:rFonts w:cs="Arial"/>
          <w:szCs w:val="24"/>
        </w:rPr>
      </w:pPr>
      <w:r w:rsidRPr="00A8576F">
        <w:rPr>
          <w:rFonts w:cs="Arial"/>
          <w:b/>
          <w:bCs/>
          <w:szCs w:val="24"/>
        </w:rPr>
        <w:t>Qualitative information</w:t>
      </w:r>
    </w:p>
    <w:p w14:paraId="0BD2C4BC" w14:textId="58E8DC72" w:rsidR="00163FEE" w:rsidRDefault="00F47F2E" w:rsidP="00ED58FE">
      <w:pPr>
        <w:pStyle w:val="ListParagraph"/>
        <w:numPr>
          <w:ilvl w:val="0"/>
          <w:numId w:val="24"/>
        </w:numPr>
        <w:ind w:left="2041" w:hanging="510"/>
        <w:jc w:val="both"/>
        <w:rPr>
          <w:rFonts w:cs="Arial"/>
          <w:szCs w:val="24"/>
        </w:rPr>
      </w:pPr>
      <w:r w:rsidRPr="00D64832">
        <w:rPr>
          <w:rFonts w:cs="Arial"/>
          <w:szCs w:val="24"/>
        </w:rPr>
        <w:t xml:space="preserve">The </w:t>
      </w:r>
      <w:r w:rsidR="007100D0" w:rsidRPr="00D64832">
        <w:rPr>
          <w:rFonts w:cs="Arial"/>
          <w:szCs w:val="24"/>
        </w:rPr>
        <w:t>insurer's</w:t>
      </w:r>
      <w:r w:rsidRPr="00D64832">
        <w:rPr>
          <w:rFonts w:cs="Arial"/>
          <w:szCs w:val="24"/>
        </w:rPr>
        <w:t xml:space="preserve"> i</w:t>
      </w:r>
      <w:r w:rsidR="00163FEE" w:rsidRPr="00D64832">
        <w:rPr>
          <w:rFonts w:cs="Arial"/>
          <w:szCs w:val="24"/>
        </w:rPr>
        <w:t>nvestment risk management objectives, policies and processes.</w:t>
      </w:r>
    </w:p>
    <w:p w14:paraId="0121B19E" w14:textId="364DE63A" w:rsidR="00784516" w:rsidRPr="000667C6" w:rsidRDefault="009B0DB1" w:rsidP="00ED58FE">
      <w:pPr>
        <w:pStyle w:val="ListParagraph"/>
        <w:numPr>
          <w:ilvl w:val="0"/>
          <w:numId w:val="24"/>
        </w:numPr>
        <w:ind w:left="2041" w:hanging="510"/>
        <w:jc w:val="both"/>
        <w:rPr>
          <w:rFonts w:cs="Arial"/>
          <w:szCs w:val="24"/>
        </w:rPr>
      </w:pPr>
      <w:r w:rsidRPr="000667C6">
        <w:rPr>
          <w:rFonts w:cs="Arial"/>
          <w:szCs w:val="24"/>
        </w:rPr>
        <w:t>High</w:t>
      </w:r>
      <w:r w:rsidR="002564F2">
        <w:rPr>
          <w:rFonts w:cs="Arial"/>
          <w:szCs w:val="24"/>
        </w:rPr>
        <w:t>-</w:t>
      </w:r>
      <w:r w:rsidRPr="000667C6">
        <w:rPr>
          <w:rFonts w:cs="Arial"/>
          <w:szCs w:val="24"/>
        </w:rPr>
        <w:t>level m</w:t>
      </w:r>
      <w:r w:rsidR="00163FEE" w:rsidRPr="000667C6">
        <w:rPr>
          <w:rFonts w:cs="Arial"/>
          <w:szCs w:val="24"/>
        </w:rPr>
        <w:t xml:space="preserve">ethodologies </w:t>
      </w:r>
      <w:r w:rsidR="006E5E40" w:rsidRPr="000667C6">
        <w:rPr>
          <w:rFonts w:cs="Arial"/>
          <w:szCs w:val="24"/>
        </w:rPr>
        <w:t>a</w:t>
      </w:r>
      <w:r w:rsidR="00163FEE" w:rsidRPr="000667C6">
        <w:rPr>
          <w:rFonts w:cs="Arial"/>
          <w:szCs w:val="24"/>
        </w:rPr>
        <w:t>nd</w:t>
      </w:r>
      <w:r w:rsidRPr="000667C6">
        <w:rPr>
          <w:rFonts w:cs="Arial"/>
          <w:szCs w:val="24"/>
        </w:rPr>
        <w:t xml:space="preserve"> key</w:t>
      </w:r>
      <w:r w:rsidR="00163FEE" w:rsidRPr="000667C6">
        <w:rPr>
          <w:rFonts w:cs="Arial"/>
          <w:szCs w:val="24"/>
        </w:rPr>
        <w:t xml:space="preserve"> assumptions used </w:t>
      </w:r>
      <w:r w:rsidR="00784516" w:rsidRPr="000667C6">
        <w:rPr>
          <w:rFonts w:cs="Arial"/>
          <w:szCs w:val="24"/>
        </w:rPr>
        <w:t>to identify, measure, monitor and control investment risks.</w:t>
      </w:r>
    </w:p>
    <w:p w14:paraId="49BD7ABF" w14:textId="6586184F" w:rsidR="00784516" w:rsidRPr="000667C6" w:rsidRDefault="00F47F2E" w:rsidP="00ED58FE">
      <w:pPr>
        <w:pStyle w:val="ListParagraph"/>
        <w:numPr>
          <w:ilvl w:val="0"/>
          <w:numId w:val="24"/>
        </w:numPr>
        <w:ind w:left="2041" w:hanging="510"/>
        <w:jc w:val="both"/>
        <w:rPr>
          <w:rFonts w:cs="Arial"/>
          <w:szCs w:val="24"/>
        </w:rPr>
      </w:pPr>
      <w:r w:rsidRPr="000667C6">
        <w:rPr>
          <w:rFonts w:cs="Arial"/>
          <w:szCs w:val="24"/>
        </w:rPr>
        <w:t>Approaches to s</w:t>
      </w:r>
      <w:r w:rsidR="00784516" w:rsidRPr="000667C6">
        <w:rPr>
          <w:rFonts w:cs="Arial"/>
          <w:szCs w:val="24"/>
        </w:rPr>
        <w:t>tress</w:t>
      </w:r>
      <w:r w:rsidR="002564F2">
        <w:rPr>
          <w:rFonts w:cs="Arial"/>
          <w:szCs w:val="24"/>
        </w:rPr>
        <w:t>-</w:t>
      </w:r>
      <w:r w:rsidR="00784516" w:rsidRPr="000667C6">
        <w:rPr>
          <w:rFonts w:cs="Arial"/>
          <w:szCs w:val="24"/>
        </w:rPr>
        <w:t>testing and scenario analysis app</w:t>
      </w:r>
      <w:r w:rsidR="00A65D16" w:rsidRPr="000667C6">
        <w:rPr>
          <w:rFonts w:cs="Arial"/>
          <w:szCs w:val="24"/>
        </w:rPr>
        <w:t xml:space="preserve">lied </w:t>
      </w:r>
      <w:r w:rsidR="00784516" w:rsidRPr="000667C6">
        <w:rPr>
          <w:rFonts w:cs="Arial"/>
          <w:szCs w:val="24"/>
        </w:rPr>
        <w:t>to the investment portfolio</w:t>
      </w:r>
      <w:r w:rsidR="00A65D16" w:rsidRPr="000667C6">
        <w:rPr>
          <w:rFonts w:cs="Arial"/>
          <w:szCs w:val="24"/>
        </w:rPr>
        <w:t xml:space="preserve">, illustrating potential adverse outcomes and the </w:t>
      </w:r>
      <w:r w:rsidR="007100D0" w:rsidRPr="000667C6">
        <w:rPr>
          <w:rFonts w:cs="Arial"/>
          <w:szCs w:val="24"/>
        </w:rPr>
        <w:t>insurer's</w:t>
      </w:r>
      <w:r w:rsidR="00A65D16" w:rsidRPr="000667C6">
        <w:rPr>
          <w:rFonts w:cs="Arial"/>
          <w:szCs w:val="24"/>
        </w:rPr>
        <w:t xml:space="preserve"> preparedness to manage such scenarios</w:t>
      </w:r>
      <w:r w:rsidR="00784516" w:rsidRPr="000667C6">
        <w:rPr>
          <w:rFonts w:cs="Arial"/>
          <w:szCs w:val="24"/>
        </w:rPr>
        <w:t>.</w:t>
      </w:r>
    </w:p>
    <w:p w14:paraId="1AC824FB" w14:textId="77777777" w:rsidR="00BD4E7A" w:rsidRPr="00D2548E" w:rsidRDefault="00784516" w:rsidP="00ED58FE">
      <w:pPr>
        <w:pStyle w:val="ListParagraph"/>
        <w:numPr>
          <w:ilvl w:val="0"/>
          <w:numId w:val="24"/>
        </w:numPr>
        <w:ind w:left="2041" w:hanging="510"/>
        <w:jc w:val="both"/>
        <w:rPr>
          <w:rFonts w:cs="Arial"/>
          <w:szCs w:val="24"/>
        </w:rPr>
      </w:pPr>
      <w:r w:rsidRPr="000667C6">
        <w:rPr>
          <w:rFonts w:cs="Arial"/>
          <w:szCs w:val="24"/>
        </w:rPr>
        <w:t xml:space="preserve">Any </w:t>
      </w:r>
      <w:r w:rsidR="006E5E40" w:rsidRPr="000667C6">
        <w:rPr>
          <w:rFonts w:cs="Arial"/>
          <w:szCs w:val="24"/>
        </w:rPr>
        <w:t>m</w:t>
      </w:r>
      <w:r w:rsidRPr="000667C6">
        <w:rPr>
          <w:rFonts w:cs="Arial"/>
          <w:szCs w:val="24"/>
        </w:rPr>
        <w:t xml:space="preserve">aterial factors affecting the </w:t>
      </w:r>
      <w:r w:rsidR="007100D0" w:rsidRPr="000667C6">
        <w:rPr>
          <w:rFonts w:cs="Arial"/>
          <w:szCs w:val="24"/>
        </w:rPr>
        <w:t>insurer's</w:t>
      </w:r>
      <w:r w:rsidRPr="000667C6">
        <w:rPr>
          <w:rFonts w:cs="Arial"/>
          <w:szCs w:val="24"/>
        </w:rPr>
        <w:t xml:space="preserve"> i</w:t>
      </w:r>
      <w:r w:rsidR="006E5E40" w:rsidRPr="000667C6">
        <w:rPr>
          <w:rFonts w:cs="Arial"/>
          <w:szCs w:val="24"/>
        </w:rPr>
        <w:t xml:space="preserve">nvestment risk profile, including </w:t>
      </w:r>
      <w:r w:rsidR="006E5E40" w:rsidRPr="00577F1A">
        <w:rPr>
          <w:rFonts w:cs="Arial"/>
          <w:szCs w:val="24"/>
        </w:rPr>
        <w:t>significant concentrations</w:t>
      </w:r>
      <w:r w:rsidR="00A13E71" w:rsidRPr="00577F1A">
        <w:rPr>
          <w:rFonts w:cs="Arial"/>
          <w:szCs w:val="24"/>
        </w:rPr>
        <w:t>,</w:t>
      </w:r>
      <w:r w:rsidR="00A13E71" w:rsidRPr="00D2548E">
        <w:rPr>
          <w:rFonts w:cs="Arial"/>
          <w:szCs w:val="24"/>
        </w:rPr>
        <w:t xml:space="preserve"> diversification strategies</w:t>
      </w:r>
      <w:r w:rsidR="002A260E" w:rsidRPr="00D2548E">
        <w:rPr>
          <w:rFonts w:cs="Arial"/>
          <w:szCs w:val="24"/>
        </w:rPr>
        <w:t xml:space="preserve"> and hedging practices</w:t>
      </w:r>
      <w:r w:rsidR="006E5E40" w:rsidRPr="00D2548E">
        <w:rPr>
          <w:rFonts w:cs="Arial"/>
          <w:szCs w:val="24"/>
        </w:rPr>
        <w:t>.</w:t>
      </w:r>
    </w:p>
    <w:p w14:paraId="6DC769A2" w14:textId="645F7559" w:rsidR="00C21DB8" w:rsidRDefault="004A3B01" w:rsidP="00ED58FE">
      <w:pPr>
        <w:pStyle w:val="ListParagraph"/>
        <w:numPr>
          <w:ilvl w:val="0"/>
          <w:numId w:val="5"/>
        </w:numPr>
        <w:ind w:left="1531" w:hanging="170"/>
        <w:jc w:val="both"/>
        <w:rPr>
          <w:rFonts w:cs="Arial"/>
          <w:szCs w:val="24"/>
        </w:rPr>
      </w:pPr>
      <w:r w:rsidRPr="00BD4E7A">
        <w:rPr>
          <w:rFonts w:cs="Arial"/>
          <w:b/>
          <w:bCs/>
          <w:szCs w:val="24"/>
        </w:rPr>
        <w:t>Quantitative information</w:t>
      </w:r>
    </w:p>
    <w:p w14:paraId="3A079A99" w14:textId="6EEA3E87" w:rsidR="00C21DB8" w:rsidRDefault="00C21DB8" w:rsidP="00ED58FE">
      <w:pPr>
        <w:pStyle w:val="ListParagraph"/>
        <w:numPr>
          <w:ilvl w:val="0"/>
          <w:numId w:val="25"/>
        </w:numPr>
        <w:ind w:left="2041" w:hanging="510"/>
        <w:jc w:val="both"/>
        <w:rPr>
          <w:rFonts w:cs="Arial"/>
          <w:szCs w:val="24"/>
        </w:rPr>
      </w:pPr>
      <w:r w:rsidRPr="003C2555">
        <w:rPr>
          <w:rFonts w:cs="Arial"/>
          <w:szCs w:val="24"/>
        </w:rPr>
        <w:t>Exposure to market risk, including</w:t>
      </w:r>
      <w:r w:rsidR="002A260E" w:rsidRPr="003C2555">
        <w:rPr>
          <w:rFonts w:cs="Arial"/>
          <w:szCs w:val="24"/>
        </w:rPr>
        <w:t xml:space="preserve"> but not limited to,</w:t>
      </w:r>
      <w:r w:rsidRPr="003C2555">
        <w:rPr>
          <w:rFonts w:cs="Arial"/>
          <w:szCs w:val="24"/>
        </w:rPr>
        <w:t xml:space="preserve"> interest rate, equity, </w:t>
      </w:r>
      <w:r w:rsidR="00497E44">
        <w:rPr>
          <w:rFonts w:cs="Arial"/>
          <w:szCs w:val="24"/>
        </w:rPr>
        <w:t xml:space="preserve">property, </w:t>
      </w:r>
      <w:r w:rsidRPr="003C2555">
        <w:rPr>
          <w:rFonts w:cs="Arial"/>
          <w:szCs w:val="24"/>
        </w:rPr>
        <w:t xml:space="preserve">currency and </w:t>
      </w:r>
      <w:r w:rsidR="00D60D06">
        <w:rPr>
          <w:rFonts w:cs="Arial"/>
          <w:szCs w:val="24"/>
        </w:rPr>
        <w:t>concentration</w:t>
      </w:r>
      <w:r w:rsidR="00D60D06" w:rsidRPr="003C2555">
        <w:rPr>
          <w:rFonts w:cs="Arial"/>
          <w:szCs w:val="24"/>
        </w:rPr>
        <w:t xml:space="preserve"> </w:t>
      </w:r>
      <w:r w:rsidRPr="003C2555">
        <w:rPr>
          <w:rFonts w:cs="Arial"/>
          <w:szCs w:val="24"/>
        </w:rPr>
        <w:t>risks.</w:t>
      </w:r>
    </w:p>
    <w:p w14:paraId="2B01A829" w14:textId="1F989B26" w:rsidR="00A20039" w:rsidRDefault="00C21DB8" w:rsidP="00ED58FE">
      <w:pPr>
        <w:pStyle w:val="ListParagraph"/>
        <w:numPr>
          <w:ilvl w:val="0"/>
          <w:numId w:val="25"/>
        </w:numPr>
        <w:ind w:left="2041" w:hanging="510"/>
        <w:jc w:val="both"/>
        <w:rPr>
          <w:rFonts w:cs="Arial"/>
          <w:szCs w:val="24"/>
        </w:rPr>
      </w:pPr>
      <w:r w:rsidRPr="00616495">
        <w:rPr>
          <w:rFonts w:cs="Arial"/>
          <w:szCs w:val="24"/>
        </w:rPr>
        <w:t xml:space="preserve">Exposure to credit risks, including concentration </w:t>
      </w:r>
      <w:r w:rsidR="00A20039" w:rsidRPr="00616495">
        <w:rPr>
          <w:rFonts w:cs="Arial"/>
          <w:szCs w:val="24"/>
        </w:rPr>
        <w:t>by counterparty, secto</w:t>
      </w:r>
      <w:r w:rsidRPr="00616495">
        <w:rPr>
          <w:rFonts w:cs="Arial"/>
          <w:szCs w:val="24"/>
        </w:rPr>
        <w:t>r</w:t>
      </w:r>
      <w:r w:rsidR="00A20039" w:rsidRPr="00616495">
        <w:rPr>
          <w:rFonts w:cs="Arial"/>
          <w:szCs w:val="24"/>
        </w:rPr>
        <w:t xml:space="preserve"> and </w:t>
      </w:r>
      <w:r w:rsidR="00B00690" w:rsidRPr="00616495">
        <w:rPr>
          <w:rFonts w:cs="Arial"/>
          <w:szCs w:val="24"/>
        </w:rPr>
        <w:t>credit</w:t>
      </w:r>
      <w:r w:rsidR="00A20039" w:rsidRPr="00616495">
        <w:rPr>
          <w:rFonts w:cs="Arial"/>
          <w:szCs w:val="24"/>
        </w:rPr>
        <w:t xml:space="preserve"> rating</w:t>
      </w:r>
      <w:r w:rsidR="00A67A28" w:rsidRPr="00616495">
        <w:rPr>
          <w:rFonts w:cs="Arial"/>
          <w:szCs w:val="24"/>
        </w:rPr>
        <w:t>,</w:t>
      </w:r>
      <w:r w:rsidR="00A20039" w:rsidRPr="00616495">
        <w:rPr>
          <w:rFonts w:cs="Arial"/>
          <w:szCs w:val="24"/>
        </w:rPr>
        <w:t xml:space="preserve"> </w:t>
      </w:r>
      <w:proofErr w:type="gramStart"/>
      <w:r w:rsidR="00A20039" w:rsidRPr="00616495">
        <w:rPr>
          <w:rFonts w:cs="Arial"/>
          <w:szCs w:val="24"/>
        </w:rPr>
        <w:t>where</w:t>
      </w:r>
      <w:proofErr w:type="gramEnd"/>
      <w:r w:rsidR="00A20039" w:rsidRPr="00616495">
        <w:rPr>
          <w:rFonts w:cs="Arial"/>
          <w:szCs w:val="24"/>
        </w:rPr>
        <w:t xml:space="preserve"> material.</w:t>
      </w:r>
    </w:p>
    <w:p w14:paraId="60B64633" w14:textId="368327EE" w:rsidR="001735E6" w:rsidRDefault="002A260E" w:rsidP="00ED58FE">
      <w:pPr>
        <w:pStyle w:val="ListParagraph"/>
        <w:numPr>
          <w:ilvl w:val="0"/>
          <w:numId w:val="25"/>
        </w:numPr>
        <w:ind w:left="2041" w:hanging="510"/>
        <w:jc w:val="both"/>
        <w:rPr>
          <w:rFonts w:cs="Arial"/>
          <w:szCs w:val="24"/>
        </w:rPr>
      </w:pPr>
      <w:r w:rsidRPr="00616495">
        <w:rPr>
          <w:rFonts w:cs="Arial"/>
          <w:szCs w:val="24"/>
        </w:rPr>
        <w:t>Exposure to l</w:t>
      </w:r>
      <w:r w:rsidR="00A20039" w:rsidRPr="00616495">
        <w:rPr>
          <w:rFonts w:cs="Arial"/>
          <w:szCs w:val="24"/>
        </w:rPr>
        <w:t>iquidity risk</w:t>
      </w:r>
      <w:r w:rsidR="00A67A28" w:rsidRPr="00616495">
        <w:rPr>
          <w:rFonts w:cs="Arial"/>
          <w:szCs w:val="24"/>
        </w:rPr>
        <w:t>s</w:t>
      </w:r>
      <w:r w:rsidR="00A20039" w:rsidRPr="00616495">
        <w:rPr>
          <w:rFonts w:cs="Arial"/>
          <w:szCs w:val="24"/>
        </w:rPr>
        <w:t xml:space="preserve">, including the proportion </w:t>
      </w:r>
      <w:r w:rsidR="00B00690" w:rsidRPr="00616495">
        <w:rPr>
          <w:rFonts w:cs="Arial"/>
          <w:szCs w:val="24"/>
        </w:rPr>
        <w:t>of investments</w:t>
      </w:r>
      <w:r w:rsidR="00A20039" w:rsidRPr="00616495">
        <w:rPr>
          <w:rFonts w:cs="Arial"/>
          <w:szCs w:val="24"/>
        </w:rPr>
        <w:t xml:space="preserve"> that can be readily liquidated and any material mismatch between assets and liabilities.</w:t>
      </w:r>
    </w:p>
    <w:p w14:paraId="2A2756C9" w14:textId="2B6DA8F8" w:rsidR="00FB0BFC" w:rsidRPr="00616495" w:rsidRDefault="002A260E" w:rsidP="00ED58FE">
      <w:pPr>
        <w:pStyle w:val="ListParagraph"/>
        <w:numPr>
          <w:ilvl w:val="0"/>
          <w:numId w:val="25"/>
        </w:numPr>
        <w:ind w:left="2041" w:hanging="510"/>
        <w:jc w:val="both"/>
        <w:rPr>
          <w:rFonts w:cs="Arial"/>
          <w:szCs w:val="24"/>
        </w:rPr>
      </w:pPr>
      <w:r w:rsidRPr="00616495">
        <w:rPr>
          <w:rFonts w:cs="Arial"/>
          <w:szCs w:val="24"/>
        </w:rPr>
        <w:t xml:space="preserve">Where </w:t>
      </w:r>
      <w:r w:rsidR="001735E6" w:rsidRPr="00616495">
        <w:rPr>
          <w:rFonts w:cs="Arial"/>
          <w:szCs w:val="24"/>
        </w:rPr>
        <w:t>material</w:t>
      </w:r>
      <w:r w:rsidR="007259DF" w:rsidRPr="00616495">
        <w:rPr>
          <w:rFonts w:cs="Arial"/>
          <w:szCs w:val="24"/>
        </w:rPr>
        <w:t>,</w:t>
      </w:r>
      <w:r w:rsidRPr="00616495">
        <w:rPr>
          <w:rFonts w:cs="Arial"/>
          <w:szCs w:val="24"/>
        </w:rPr>
        <w:t xml:space="preserve"> </w:t>
      </w:r>
      <w:r w:rsidR="001735E6" w:rsidRPr="00616495">
        <w:rPr>
          <w:rFonts w:cs="Arial"/>
          <w:szCs w:val="24"/>
        </w:rPr>
        <w:t xml:space="preserve">insurers </w:t>
      </w:r>
      <w:r w:rsidR="00555C90" w:rsidRPr="00616495">
        <w:rPr>
          <w:rFonts w:cs="Arial"/>
          <w:szCs w:val="24"/>
        </w:rPr>
        <w:t>must</w:t>
      </w:r>
      <w:r w:rsidR="001735E6" w:rsidRPr="00616495">
        <w:rPr>
          <w:rFonts w:cs="Arial"/>
          <w:szCs w:val="24"/>
        </w:rPr>
        <w:t xml:space="preserve"> provide high, median and low exposures for significant </w:t>
      </w:r>
      <w:r w:rsidR="00B00690" w:rsidRPr="00616495">
        <w:rPr>
          <w:rFonts w:cs="Arial"/>
          <w:szCs w:val="24"/>
        </w:rPr>
        <w:t>investment risks</w:t>
      </w:r>
      <w:r w:rsidR="00662BD6" w:rsidRPr="00616495">
        <w:rPr>
          <w:rFonts w:cs="Arial"/>
          <w:szCs w:val="24"/>
        </w:rPr>
        <w:t xml:space="preserve"> since the prior reporting period.</w:t>
      </w:r>
      <w:r w:rsidR="00555C90" w:rsidRPr="00616495">
        <w:rPr>
          <w:rFonts w:cs="Arial"/>
          <w:szCs w:val="24"/>
        </w:rPr>
        <w:t xml:space="preserve"> </w:t>
      </w:r>
    </w:p>
    <w:p w14:paraId="7B7C6936" w14:textId="77777777" w:rsidR="00555C90" w:rsidRPr="00A8576F" w:rsidRDefault="00555C90" w:rsidP="0045726B">
      <w:pPr>
        <w:jc w:val="both"/>
        <w:rPr>
          <w:rFonts w:cs="Arial"/>
          <w:szCs w:val="24"/>
        </w:rPr>
      </w:pPr>
    </w:p>
    <w:p w14:paraId="091CA48A" w14:textId="002CFAA4" w:rsidR="003D63CE" w:rsidRDefault="003D63CE" w:rsidP="00ED58FE">
      <w:pPr>
        <w:pStyle w:val="Heading2"/>
        <w:numPr>
          <w:ilvl w:val="2"/>
          <w:numId w:val="16"/>
        </w:numPr>
        <w:ind w:left="851" w:hanging="851"/>
        <w:rPr>
          <w:rFonts w:cs="Arial"/>
          <w:b/>
          <w:bCs/>
          <w:szCs w:val="24"/>
        </w:rPr>
      </w:pPr>
      <w:r w:rsidRPr="00A8576F">
        <w:rPr>
          <w:rFonts w:cs="Arial"/>
          <w:b/>
          <w:bCs/>
          <w:szCs w:val="24"/>
        </w:rPr>
        <w:t>Asset and liability management</w:t>
      </w:r>
    </w:p>
    <w:p w14:paraId="59769DAE" w14:textId="77777777" w:rsidR="00397CF5" w:rsidRDefault="00397CF5" w:rsidP="00397CF5">
      <w:pPr>
        <w:pStyle w:val="ListParagraph"/>
        <w:ind w:left="851"/>
        <w:jc w:val="both"/>
        <w:rPr>
          <w:rFonts w:cs="Arial"/>
          <w:b/>
          <w:bCs/>
          <w:szCs w:val="24"/>
        </w:rPr>
      </w:pPr>
    </w:p>
    <w:p w14:paraId="6A560FDC" w14:textId="28F80989" w:rsidR="00475259" w:rsidRPr="000447D1" w:rsidRDefault="00102164" w:rsidP="00ED58FE">
      <w:pPr>
        <w:pStyle w:val="ListParagraph"/>
        <w:numPr>
          <w:ilvl w:val="3"/>
          <w:numId w:val="26"/>
        </w:numPr>
        <w:ind w:left="1208" w:hanging="357"/>
        <w:jc w:val="both"/>
        <w:rPr>
          <w:rFonts w:cs="Arial"/>
          <w:b/>
          <w:bCs/>
          <w:szCs w:val="24"/>
        </w:rPr>
      </w:pPr>
      <w:r w:rsidRPr="000447D1">
        <w:rPr>
          <w:rFonts w:cs="Arial"/>
          <w:szCs w:val="24"/>
        </w:rPr>
        <w:t xml:space="preserve">Insurers must publicly disclose information on their asset and liability management </w:t>
      </w:r>
      <w:r w:rsidR="00F91716" w:rsidRPr="000447D1">
        <w:rPr>
          <w:rFonts w:cs="Arial"/>
          <w:szCs w:val="24"/>
        </w:rPr>
        <w:t>(</w:t>
      </w:r>
      <w:r w:rsidRPr="000447D1">
        <w:rPr>
          <w:rFonts w:cs="Arial"/>
          <w:szCs w:val="24"/>
        </w:rPr>
        <w:t>ALM)</w:t>
      </w:r>
      <w:r w:rsidR="00F91716" w:rsidRPr="000447D1">
        <w:rPr>
          <w:rFonts w:cs="Arial"/>
          <w:szCs w:val="24"/>
        </w:rPr>
        <w:t xml:space="preserve"> practices to enable stakeholders to understand how the insurer manages the interaction</w:t>
      </w:r>
      <w:r w:rsidR="00627773" w:rsidRPr="000447D1">
        <w:rPr>
          <w:rFonts w:cs="Arial"/>
          <w:szCs w:val="24"/>
        </w:rPr>
        <w:t xml:space="preserve"> between its assets and liabilities, including the strategies, </w:t>
      </w:r>
      <w:r w:rsidR="00627773" w:rsidRPr="000667C6">
        <w:rPr>
          <w:rFonts w:cs="Arial"/>
          <w:szCs w:val="24"/>
        </w:rPr>
        <w:t>methodologies and key assumptions</w:t>
      </w:r>
      <w:r w:rsidR="00627773" w:rsidRPr="000447D1">
        <w:rPr>
          <w:rFonts w:cs="Arial"/>
          <w:szCs w:val="24"/>
        </w:rPr>
        <w:t xml:space="preserve"> </w:t>
      </w:r>
      <w:r w:rsidR="00475259" w:rsidRPr="000447D1">
        <w:rPr>
          <w:rFonts w:cs="Arial"/>
          <w:szCs w:val="24"/>
        </w:rPr>
        <w:t>applied.</w:t>
      </w:r>
    </w:p>
    <w:p w14:paraId="020647D0" w14:textId="77777777" w:rsidR="00710F1B" w:rsidRPr="000447D1" w:rsidRDefault="00475259" w:rsidP="00ED58FE">
      <w:pPr>
        <w:pStyle w:val="ListParagraph"/>
        <w:numPr>
          <w:ilvl w:val="3"/>
          <w:numId w:val="26"/>
        </w:numPr>
        <w:ind w:left="1208" w:hanging="357"/>
        <w:jc w:val="both"/>
        <w:rPr>
          <w:rFonts w:cs="Arial"/>
          <w:b/>
          <w:bCs/>
          <w:szCs w:val="24"/>
        </w:rPr>
      </w:pPr>
      <w:r w:rsidRPr="000447D1">
        <w:rPr>
          <w:rFonts w:cs="Arial"/>
          <w:szCs w:val="24"/>
        </w:rPr>
        <w:t>Such disclosures should provide insight into the insurer’s ability to meet its obligations</w:t>
      </w:r>
      <w:r w:rsidR="006069F3" w:rsidRPr="000447D1">
        <w:rPr>
          <w:rFonts w:cs="Arial"/>
          <w:szCs w:val="24"/>
        </w:rPr>
        <w:t xml:space="preserve">, maintain </w:t>
      </w:r>
      <w:r w:rsidR="00710F1B" w:rsidRPr="000447D1">
        <w:rPr>
          <w:rFonts w:cs="Arial"/>
          <w:szCs w:val="24"/>
        </w:rPr>
        <w:t>financial</w:t>
      </w:r>
      <w:r w:rsidR="006069F3" w:rsidRPr="000447D1">
        <w:rPr>
          <w:rFonts w:cs="Arial"/>
          <w:szCs w:val="24"/>
        </w:rPr>
        <w:t xml:space="preserve"> stability, and manage potential mismatches between assets and liabilities over time.</w:t>
      </w:r>
    </w:p>
    <w:p w14:paraId="0DE5C6C5" w14:textId="0144B7E9" w:rsidR="001A6C54" w:rsidRPr="000447D1" w:rsidRDefault="00212C12" w:rsidP="00ED58FE">
      <w:pPr>
        <w:pStyle w:val="ListParagraph"/>
        <w:numPr>
          <w:ilvl w:val="3"/>
          <w:numId w:val="26"/>
        </w:numPr>
        <w:ind w:left="1208" w:hanging="357"/>
        <w:jc w:val="both"/>
        <w:rPr>
          <w:rFonts w:cs="Arial"/>
          <w:b/>
          <w:bCs/>
          <w:szCs w:val="24"/>
        </w:rPr>
      </w:pPr>
      <w:r w:rsidRPr="000447D1">
        <w:rPr>
          <w:rFonts w:cs="Arial"/>
          <w:szCs w:val="24"/>
        </w:rPr>
        <w:t>Disclosures must be presented in a clear and understandable manner, differentiating between quantitative metrics</w:t>
      </w:r>
      <w:r w:rsidR="007259DF">
        <w:rPr>
          <w:rFonts w:cs="Arial"/>
          <w:szCs w:val="24"/>
        </w:rPr>
        <w:t xml:space="preserve"> and</w:t>
      </w:r>
      <w:r w:rsidR="00760EA9" w:rsidRPr="000447D1">
        <w:rPr>
          <w:rFonts w:cs="Arial"/>
          <w:szCs w:val="24"/>
        </w:rPr>
        <w:t xml:space="preserve"> qualitative narratives to enable stakeholders to ass</w:t>
      </w:r>
      <w:r w:rsidR="00514A5D" w:rsidRPr="000447D1">
        <w:rPr>
          <w:rFonts w:cs="Arial"/>
          <w:szCs w:val="24"/>
        </w:rPr>
        <w:t>ess the adequacy and effectiveness of the insurer’s ALM.</w:t>
      </w:r>
    </w:p>
    <w:p w14:paraId="5EF98ABB" w14:textId="5C9AEEC4" w:rsidR="00685A19" w:rsidRPr="00884603" w:rsidRDefault="00710F1B" w:rsidP="00ED58FE">
      <w:pPr>
        <w:pStyle w:val="ListParagraph"/>
        <w:numPr>
          <w:ilvl w:val="3"/>
          <w:numId w:val="26"/>
        </w:numPr>
        <w:ind w:left="1208" w:hanging="357"/>
        <w:jc w:val="both"/>
        <w:rPr>
          <w:rFonts w:cs="Arial"/>
          <w:b/>
          <w:bCs/>
          <w:szCs w:val="24"/>
        </w:rPr>
      </w:pPr>
      <w:r w:rsidRPr="000447D1">
        <w:rPr>
          <w:rFonts w:cs="Arial"/>
          <w:szCs w:val="24"/>
        </w:rPr>
        <w:t xml:space="preserve">At a minimum, the disclosure must </w:t>
      </w:r>
      <w:r w:rsidR="00685A19" w:rsidRPr="000447D1">
        <w:rPr>
          <w:rFonts w:cs="Arial"/>
          <w:szCs w:val="24"/>
        </w:rPr>
        <w:t xml:space="preserve">include the </w:t>
      </w:r>
      <w:r w:rsidRPr="000447D1">
        <w:rPr>
          <w:rFonts w:cs="Arial"/>
          <w:szCs w:val="24"/>
        </w:rPr>
        <w:t>following:</w:t>
      </w:r>
    </w:p>
    <w:p w14:paraId="3B5D0A4B" w14:textId="6AE92206" w:rsidR="0049751D" w:rsidRDefault="00685A19" w:rsidP="00ED58FE">
      <w:pPr>
        <w:pStyle w:val="ListParagraph"/>
        <w:numPr>
          <w:ilvl w:val="0"/>
          <w:numId w:val="6"/>
        </w:numPr>
        <w:ind w:left="1531" w:hanging="170"/>
        <w:jc w:val="both"/>
        <w:rPr>
          <w:rFonts w:cs="Arial"/>
          <w:szCs w:val="24"/>
        </w:rPr>
      </w:pPr>
      <w:r w:rsidRPr="003014F0">
        <w:rPr>
          <w:rFonts w:cs="Arial"/>
          <w:szCs w:val="24"/>
        </w:rPr>
        <w:t xml:space="preserve">ALM </w:t>
      </w:r>
      <w:r w:rsidR="00DB6B70" w:rsidRPr="003014F0">
        <w:rPr>
          <w:rFonts w:cs="Arial"/>
          <w:szCs w:val="24"/>
        </w:rPr>
        <w:t>objectives and policies:</w:t>
      </w:r>
      <w:r w:rsidR="00DB6B70" w:rsidRPr="00A8576F">
        <w:rPr>
          <w:rFonts w:cs="Arial"/>
          <w:szCs w:val="24"/>
        </w:rPr>
        <w:t xml:space="preserve"> </w:t>
      </w:r>
      <w:r w:rsidR="00D773F2">
        <w:rPr>
          <w:rFonts w:cs="Arial"/>
          <w:szCs w:val="24"/>
        </w:rPr>
        <w:t>A</w:t>
      </w:r>
      <w:r w:rsidR="00DB6B70" w:rsidRPr="00A8576F">
        <w:rPr>
          <w:rFonts w:cs="Arial"/>
          <w:szCs w:val="24"/>
        </w:rPr>
        <w:t xml:space="preserve"> narrative of the insurer’s ALM objectives, </w:t>
      </w:r>
      <w:r w:rsidR="002061C2" w:rsidRPr="003A0DF1">
        <w:rPr>
          <w:rFonts w:cs="Arial"/>
          <w:szCs w:val="24"/>
        </w:rPr>
        <w:t>p</w:t>
      </w:r>
      <w:r w:rsidR="00DB6B70" w:rsidRPr="003A0DF1">
        <w:rPr>
          <w:rFonts w:cs="Arial"/>
          <w:szCs w:val="24"/>
        </w:rPr>
        <w:t>olicies and</w:t>
      </w:r>
      <w:r w:rsidR="0049751D" w:rsidRPr="003A0DF1">
        <w:rPr>
          <w:rFonts w:cs="Arial"/>
          <w:szCs w:val="24"/>
        </w:rPr>
        <w:t xml:space="preserve"> governance framework, including-</w:t>
      </w:r>
    </w:p>
    <w:p w14:paraId="63C0F02E" w14:textId="0CCB28C8" w:rsidR="002604C9" w:rsidRDefault="00F83FE9" w:rsidP="00ED58FE">
      <w:pPr>
        <w:pStyle w:val="ListParagraph"/>
        <w:numPr>
          <w:ilvl w:val="0"/>
          <w:numId w:val="27"/>
        </w:numPr>
        <w:ind w:left="2041" w:hanging="510"/>
        <w:jc w:val="both"/>
        <w:rPr>
          <w:rFonts w:cs="Arial"/>
          <w:szCs w:val="24"/>
        </w:rPr>
      </w:pPr>
      <w:r>
        <w:rPr>
          <w:rFonts w:cs="Arial"/>
          <w:szCs w:val="24"/>
        </w:rPr>
        <w:t>t</w:t>
      </w:r>
      <w:r w:rsidR="0081678F" w:rsidRPr="007922F9">
        <w:rPr>
          <w:rFonts w:cs="Arial"/>
          <w:szCs w:val="24"/>
        </w:rPr>
        <w:t xml:space="preserve">he principles and strategies employed to match assets with </w:t>
      </w:r>
      <w:proofErr w:type="gramStart"/>
      <w:r w:rsidR="0081678F" w:rsidRPr="007922F9">
        <w:rPr>
          <w:rFonts w:cs="Arial"/>
          <w:szCs w:val="24"/>
        </w:rPr>
        <w:t>liabilities;</w:t>
      </w:r>
      <w:proofErr w:type="gramEnd"/>
    </w:p>
    <w:p w14:paraId="040E930A" w14:textId="326C2843" w:rsidR="0081678F" w:rsidRDefault="00F83FE9" w:rsidP="00ED58FE">
      <w:pPr>
        <w:pStyle w:val="ListParagraph"/>
        <w:numPr>
          <w:ilvl w:val="0"/>
          <w:numId w:val="27"/>
        </w:numPr>
        <w:ind w:left="2041" w:hanging="510"/>
        <w:jc w:val="both"/>
        <w:rPr>
          <w:rFonts w:cs="Arial"/>
          <w:szCs w:val="24"/>
        </w:rPr>
      </w:pPr>
      <w:r>
        <w:rPr>
          <w:rFonts w:cs="Arial"/>
          <w:szCs w:val="24"/>
        </w:rPr>
        <w:t>t</w:t>
      </w:r>
      <w:r w:rsidR="0081678F" w:rsidRPr="007922F9">
        <w:rPr>
          <w:rFonts w:cs="Arial"/>
          <w:szCs w:val="24"/>
        </w:rPr>
        <w:t>he processes for identifying, measuring</w:t>
      </w:r>
      <w:r w:rsidR="00610748" w:rsidRPr="007922F9">
        <w:rPr>
          <w:rFonts w:cs="Arial"/>
          <w:szCs w:val="24"/>
        </w:rPr>
        <w:t>, monitoring</w:t>
      </w:r>
      <w:r>
        <w:rPr>
          <w:rFonts w:cs="Arial"/>
          <w:szCs w:val="24"/>
        </w:rPr>
        <w:t xml:space="preserve"> </w:t>
      </w:r>
      <w:r w:rsidR="00610748" w:rsidRPr="007922F9">
        <w:rPr>
          <w:rFonts w:cs="Arial"/>
          <w:szCs w:val="24"/>
        </w:rPr>
        <w:t>and managing potential mismatches; and</w:t>
      </w:r>
    </w:p>
    <w:p w14:paraId="0FC12409" w14:textId="7A515DA4" w:rsidR="000E7FCA" w:rsidRPr="007922F9" w:rsidRDefault="00F83FE9" w:rsidP="00ED58FE">
      <w:pPr>
        <w:pStyle w:val="ListParagraph"/>
        <w:numPr>
          <w:ilvl w:val="0"/>
          <w:numId w:val="27"/>
        </w:numPr>
        <w:ind w:left="2041" w:hanging="510"/>
        <w:jc w:val="both"/>
        <w:rPr>
          <w:rFonts w:cs="Arial"/>
          <w:szCs w:val="24"/>
        </w:rPr>
      </w:pPr>
      <w:r>
        <w:rPr>
          <w:rFonts w:cs="Arial"/>
        </w:rPr>
        <w:t>t</w:t>
      </w:r>
      <w:r w:rsidR="00610748" w:rsidRPr="007922F9">
        <w:rPr>
          <w:rFonts w:cs="Arial"/>
        </w:rPr>
        <w:t xml:space="preserve">he roles and responsibilities </w:t>
      </w:r>
      <w:r w:rsidR="5F12C026" w:rsidRPr="007922F9">
        <w:rPr>
          <w:rFonts w:cs="Arial"/>
        </w:rPr>
        <w:t>in respect of</w:t>
      </w:r>
      <w:r w:rsidR="00610748" w:rsidRPr="007922F9">
        <w:rPr>
          <w:rFonts w:cs="Arial"/>
        </w:rPr>
        <w:t xml:space="preserve"> ALM oversight, including reporting lines and the board’s involvement in setting ALM policy. </w:t>
      </w:r>
    </w:p>
    <w:p w14:paraId="784A4FB0" w14:textId="1E824B79" w:rsidR="000E7FCA" w:rsidRPr="00E408BE" w:rsidRDefault="00571808" w:rsidP="00ED58FE">
      <w:pPr>
        <w:pStyle w:val="ListParagraph"/>
        <w:numPr>
          <w:ilvl w:val="0"/>
          <w:numId w:val="6"/>
        </w:numPr>
        <w:ind w:left="1531" w:hanging="170"/>
        <w:jc w:val="both"/>
        <w:rPr>
          <w:rFonts w:cs="Arial"/>
          <w:szCs w:val="24"/>
        </w:rPr>
      </w:pPr>
      <w:r w:rsidRPr="00A8576F">
        <w:rPr>
          <w:rFonts w:cs="Arial"/>
          <w:b/>
          <w:bCs/>
          <w:szCs w:val="24"/>
        </w:rPr>
        <w:t>Quantitative information</w:t>
      </w:r>
    </w:p>
    <w:p w14:paraId="059E752A" w14:textId="285D812A" w:rsidR="00DA1A65" w:rsidRDefault="00571808" w:rsidP="00ED58FE">
      <w:pPr>
        <w:pStyle w:val="ListParagraph"/>
        <w:numPr>
          <w:ilvl w:val="0"/>
          <w:numId w:val="28"/>
        </w:numPr>
        <w:ind w:left="2041" w:hanging="510"/>
        <w:jc w:val="both"/>
        <w:rPr>
          <w:rFonts w:cs="Arial"/>
          <w:szCs w:val="24"/>
        </w:rPr>
      </w:pPr>
      <w:r w:rsidRPr="00A8576F">
        <w:rPr>
          <w:rFonts w:cs="Arial"/>
          <w:szCs w:val="24"/>
        </w:rPr>
        <w:t xml:space="preserve">The </w:t>
      </w:r>
      <w:r w:rsidR="00143CA9">
        <w:rPr>
          <w:rFonts w:cs="Arial"/>
          <w:szCs w:val="24"/>
        </w:rPr>
        <w:t>high</w:t>
      </w:r>
      <w:r w:rsidR="00F83FE9">
        <w:rPr>
          <w:rFonts w:cs="Arial"/>
          <w:szCs w:val="24"/>
        </w:rPr>
        <w:t>-</w:t>
      </w:r>
      <w:r w:rsidR="00143CA9">
        <w:rPr>
          <w:rFonts w:cs="Arial"/>
          <w:szCs w:val="24"/>
        </w:rPr>
        <w:t xml:space="preserve">level description of </w:t>
      </w:r>
      <w:r w:rsidRPr="00A8576F">
        <w:rPr>
          <w:rFonts w:cs="Arial"/>
          <w:szCs w:val="24"/>
        </w:rPr>
        <w:t>methods and key as</w:t>
      </w:r>
      <w:r w:rsidR="005424DE" w:rsidRPr="00A8576F">
        <w:rPr>
          <w:rFonts w:cs="Arial"/>
          <w:szCs w:val="24"/>
        </w:rPr>
        <w:t xml:space="preserve">sumptions used in measuring assets and liabilities for ALM purposes, including relevant </w:t>
      </w:r>
      <w:r w:rsidR="005424DE" w:rsidRPr="00A8576F">
        <w:rPr>
          <w:rFonts w:cs="Arial"/>
          <w:szCs w:val="24"/>
        </w:rPr>
        <w:lastRenderedPageBreak/>
        <w:t xml:space="preserve">metrics such as durations, liquidity profiles and </w:t>
      </w:r>
      <w:r w:rsidR="00A65561" w:rsidRPr="00A8576F">
        <w:rPr>
          <w:rFonts w:cs="Arial"/>
          <w:szCs w:val="24"/>
        </w:rPr>
        <w:t>sensitivity</w:t>
      </w:r>
      <w:r w:rsidR="00DA1A65" w:rsidRPr="00A8576F">
        <w:rPr>
          <w:rFonts w:cs="Arial"/>
          <w:szCs w:val="24"/>
        </w:rPr>
        <w:t xml:space="preserve"> to interest rate, credit and other market risks.</w:t>
      </w:r>
    </w:p>
    <w:p w14:paraId="14C4C867" w14:textId="2630ECAB" w:rsidR="008842D1" w:rsidRDefault="00DA1A65" w:rsidP="00ED58FE">
      <w:pPr>
        <w:pStyle w:val="ListParagraph"/>
        <w:numPr>
          <w:ilvl w:val="0"/>
          <w:numId w:val="28"/>
        </w:numPr>
        <w:ind w:left="2041" w:hanging="510"/>
        <w:jc w:val="both"/>
        <w:rPr>
          <w:rFonts w:cs="Arial"/>
          <w:szCs w:val="24"/>
        </w:rPr>
      </w:pPr>
      <w:r w:rsidRPr="006B6910">
        <w:rPr>
          <w:rFonts w:cs="Arial"/>
          <w:szCs w:val="24"/>
        </w:rPr>
        <w:t xml:space="preserve">Material mismatches between assets and liabilities, including capital or provisions held to </w:t>
      </w:r>
      <w:r w:rsidR="00A65561" w:rsidRPr="006B6910">
        <w:rPr>
          <w:rFonts w:cs="Arial"/>
          <w:szCs w:val="24"/>
        </w:rPr>
        <w:t>mitigate the</w:t>
      </w:r>
      <w:r w:rsidR="008842D1" w:rsidRPr="006B6910">
        <w:rPr>
          <w:rFonts w:cs="Arial"/>
          <w:szCs w:val="24"/>
        </w:rPr>
        <w:t xml:space="preserve"> impact of such mismatches</w:t>
      </w:r>
      <w:r w:rsidR="00081DF0">
        <w:rPr>
          <w:rFonts w:cs="Arial"/>
          <w:szCs w:val="24"/>
        </w:rPr>
        <w:t>.</w:t>
      </w:r>
    </w:p>
    <w:p w14:paraId="2F05057B" w14:textId="3DF42FBE" w:rsidR="003A0DF1" w:rsidRPr="006B6910" w:rsidRDefault="008842D1" w:rsidP="00ED58FE">
      <w:pPr>
        <w:pStyle w:val="ListParagraph"/>
        <w:numPr>
          <w:ilvl w:val="0"/>
          <w:numId w:val="28"/>
        </w:numPr>
        <w:ind w:left="2041" w:hanging="510"/>
        <w:jc w:val="both"/>
        <w:rPr>
          <w:rFonts w:cs="Arial"/>
          <w:szCs w:val="24"/>
        </w:rPr>
      </w:pPr>
      <w:r w:rsidRPr="006B6910">
        <w:rPr>
          <w:rFonts w:cs="Arial"/>
          <w:szCs w:val="24"/>
        </w:rPr>
        <w:t>Where derivatives or other risk management instruments are used, a description of their nature, objectives</w:t>
      </w:r>
      <w:r w:rsidR="00A65561" w:rsidRPr="006B6910">
        <w:rPr>
          <w:rFonts w:cs="Arial"/>
          <w:szCs w:val="24"/>
        </w:rPr>
        <w:t xml:space="preserve"> and intended effect on the insurer’s risk profile.</w:t>
      </w:r>
    </w:p>
    <w:p w14:paraId="6C9A963B" w14:textId="5BD85AC6" w:rsidR="00A7746B" w:rsidRPr="00E408BE" w:rsidRDefault="00222D41" w:rsidP="00ED58FE">
      <w:pPr>
        <w:pStyle w:val="ListParagraph"/>
        <w:numPr>
          <w:ilvl w:val="0"/>
          <w:numId w:val="6"/>
        </w:numPr>
        <w:ind w:left="1531" w:hanging="170"/>
        <w:jc w:val="both"/>
        <w:rPr>
          <w:rFonts w:cs="Arial"/>
          <w:szCs w:val="24"/>
        </w:rPr>
      </w:pPr>
      <w:r w:rsidRPr="003A0DF1">
        <w:rPr>
          <w:rFonts w:cs="Arial"/>
          <w:b/>
          <w:bCs/>
          <w:szCs w:val="24"/>
        </w:rPr>
        <w:t>Qualitative information</w:t>
      </w:r>
    </w:p>
    <w:p w14:paraId="6BF743EF" w14:textId="3D7416E3" w:rsidR="00210ABA" w:rsidRDefault="00B45FE6" w:rsidP="00ED58FE">
      <w:pPr>
        <w:pStyle w:val="ListParagraph"/>
        <w:numPr>
          <w:ilvl w:val="0"/>
          <w:numId w:val="29"/>
        </w:numPr>
        <w:ind w:left="2041" w:hanging="510"/>
        <w:jc w:val="both"/>
        <w:rPr>
          <w:rFonts w:cs="Arial"/>
          <w:szCs w:val="24"/>
        </w:rPr>
      </w:pPr>
      <w:r w:rsidRPr="00A8576F">
        <w:rPr>
          <w:rFonts w:cs="Arial"/>
          <w:szCs w:val="24"/>
        </w:rPr>
        <w:t>A narrative of how the insurer manages the alignment of its ass</w:t>
      </w:r>
      <w:r w:rsidR="00210ABA" w:rsidRPr="00A8576F">
        <w:rPr>
          <w:rFonts w:cs="Arial"/>
          <w:szCs w:val="24"/>
        </w:rPr>
        <w:t xml:space="preserve">ets and liabilities in a coordinated manner, including the key factors affecting its ALM </w:t>
      </w:r>
      <w:r w:rsidR="007259DF" w:rsidRPr="00A8576F">
        <w:rPr>
          <w:rFonts w:cs="Arial"/>
          <w:szCs w:val="24"/>
        </w:rPr>
        <w:t>decisions.</w:t>
      </w:r>
    </w:p>
    <w:p w14:paraId="6043046B" w14:textId="1A0482E9" w:rsidR="00A752FA" w:rsidRDefault="003178CB" w:rsidP="00ED58FE">
      <w:pPr>
        <w:pStyle w:val="ListParagraph"/>
        <w:numPr>
          <w:ilvl w:val="0"/>
          <w:numId w:val="29"/>
        </w:numPr>
        <w:ind w:left="2041" w:hanging="510"/>
        <w:jc w:val="both"/>
        <w:rPr>
          <w:rFonts w:cs="Arial"/>
          <w:szCs w:val="24"/>
        </w:rPr>
      </w:pPr>
      <w:r w:rsidRPr="006B6910">
        <w:rPr>
          <w:rFonts w:cs="Arial"/>
          <w:szCs w:val="24"/>
        </w:rPr>
        <w:t>A description of t</w:t>
      </w:r>
      <w:r w:rsidR="00210ABA" w:rsidRPr="006B6910">
        <w:rPr>
          <w:rFonts w:cs="Arial"/>
          <w:szCs w:val="24"/>
        </w:rPr>
        <w:t>he use of stress</w:t>
      </w:r>
      <w:r w:rsidR="00081DF0">
        <w:rPr>
          <w:rFonts w:cs="Arial"/>
          <w:szCs w:val="24"/>
        </w:rPr>
        <w:t>-</w:t>
      </w:r>
      <w:r w:rsidR="00210ABA" w:rsidRPr="006B6910">
        <w:rPr>
          <w:rFonts w:cs="Arial"/>
          <w:szCs w:val="24"/>
        </w:rPr>
        <w:t>testing, scenario</w:t>
      </w:r>
      <w:r w:rsidR="00A752FA" w:rsidRPr="006B6910">
        <w:rPr>
          <w:rFonts w:cs="Arial"/>
          <w:szCs w:val="24"/>
        </w:rPr>
        <w:t xml:space="preserve"> analysis or other assessment techniques to evaluate potential mismatches or adverse financial outcomes</w:t>
      </w:r>
      <w:r w:rsidR="00F23510">
        <w:rPr>
          <w:rFonts w:cs="Arial"/>
          <w:szCs w:val="24"/>
        </w:rPr>
        <w:t>.</w:t>
      </w:r>
      <w:r w:rsidR="00A752FA" w:rsidRPr="006B6910">
        <w:rPr>
          <w:rFonts w:cs="Arial"/>
          <w:szCs w:val="24"/>
        </w:rPr>
        <w:t xml:space="preserve"> </w:t>
      </w:r>
    </w:p>
    <w:p w14:paraId="1466A343" w14:textId="4C1EC8D1" w:rsidR="00B45FE6" w:rsidRPr="006B6910" w:rsidRDefault="00A752FA" w:rsidP="00ED58FE">
      <w:pPr>
        <w:pStyle w:val="ListParagraph"/>
        <w:numPr>
          <w:ilvl w:val="0"/>
          <w:numId w:val="29"/>
        </w:numPr>
        <w:ind w:left="2041" w:hanging="510"/>
        <w:jc w:val="both"/>
        <w:rPr>
          <w:rFonts w:cs="Arial"/>
          <w:szCs w:val="24"/>
        </w:rPr>
      </w:pPr>
      <w:r w:rsidRPr="006B6910">
        <w:rPr>
          <w:rFonts w:cs="Arial"/>
          <w:szCs w:val="24"/>
        </w:rPr>
        <w:t xml:space="preserve">Management’s assessment of the effectiveness of ALM policies and procedures in supporting </w:t>
      </w:r>
      <w:r w:rsidR="00886D44" w:rsidRPr="006B6910">
        <w:rPr>
          <w:rFonts w:cs="Arial"/>
          <w:szCs w:val="24"/>
        </w:rPr>
        <w:t xml:space="preserve">the insurer’s </w:t>
      </w:r>
      <w:r w:rsidR="00886D44" w:rsidRPr="00DF2C2C">
        <w:rPr>
          <w:rFonts w:cs="Arial"/>
          <w:szCs w:val="24"/>
        </w:rPr>
        <w:t>financial</w:t>
      </w:r>
      <w:r w:rsidR="004239DE" w:rsidRPr="00DF2C2C">
        <w:rPr>
          <w:rFonts w:cs="Arial"/>
          <w:szCs w:val="24"/>
        </w:rPr>
        <w:t xml:space="preserve"> solvency position</w:t>
      </w:r>
      <w:r w:rsidR="00886D44" w:rsidRPr="00DF2C2C">
        <w:rPr>
          <w:rFonts w:cs="Arial"/>
          <w:szCs w:val="24"/>
        </w:rPr>
        <w:t xml:space="preserve"> and</w:t>
      </w:r>
      <w:r w:rsidR="00886D44" w:rsidRPr="006B6910">
        <w:rPr>
          <w:rFonts w:cs="Arial"/>
          <w:szCs w:val="24"/>
        </w:rPr>
        <w:t xml:space="preserve"> compliance with its risk appetite.</w:t>
      </w:r>
    </w:p>
    <w:p w14:paraId="307A0066" w14:textId="77777777" w:rsidR="00B45FE6" w:rsidRPr="00A8576F" w:rsidRDefault="00B45FE6" w:rsidP="0045726B">
      <w:pPr>
        <w:ind w:left="2154" w:hanging="357"/>
        <w:jc w:val="both"/>
        <w:rPr>
          <w:rFonts w:cs="Arial"/>
          <w:szCs w:val="24"/>
        </w:rPr>
      </w:pPr>
    </w:p>
    <w:p w14:paraId="4B8BB728" w14:textId="77777777" w:rsidR="003D63CE" w:rsidRDefault="003D63CE" w:rsidP="00ED58FE">
      <w:pPr>
        <w:pStyle w:val="Heading2"/>
        <w:numPr>
          <w:ilvl w:val="2"/>
          <w:numId w:val="16"/>
        </w:numPr>
        <w:ind w:left="851" w:hanging="851"/>
        <w:rPr>
          <w:rFonts w:cs="Arial"/>
          <w:b/>
          <w:bCs/>
          <w:szCs w:val="24"/>
        </w:rPr>
      </w:pPr>
      <w:r w:rsidRPr="00A8576F">
        <w:rPr>
          <w:rFonts w:cs="Arial"/>
          <w:b/>
          <w:bCs/>
          <w:szCs w:val="24"/>
        </w:rPr>
        <w:t xml:space="preserve">Liquidity risk </w:t>
      </w:r>
    </w:p>
    <w:p w14:paraId="4AE83230" w14:textId="77777777" w:rsidR="00E408BE" w:rsidRDefault="00E408BE" w:rsidP="00E408BE">
      <w:pPr>
        <w:pStyle w:val="ListParagraph"/>
        <w:ind w:left="851"/>
        <w:jc w:val="both"/>
        <w:rPr>
          <w:rFonts w:cs="Arial"/>
          <w:b/>
          <w:bCs/>
          <w:szCs w:val="24"/>
        </w:rPr>
      </w:pPr>
    </w:p>
    <w:p w14:paraId="245E68CA" w14:textId="5A486E15" w:rsidR="002B6DDD" w:rsidRPr="000447D1" w:rsidRDefault="003D63CE" w:rsidP="00ED58FE">
      <w:pPr>
        <w:pStyle w:val="ListParagraph"/>
        <w:numPr>
          <w:ilvl w:val="3"/>
          <w:numId w:val="30"/>
        </w:numPr>
        <w:ind w:left="1208" w:hanging="357"/>
        <w:jc w:val="both"/>
        <w:rPr>
          <w:rFonts w:cs="Arial"/>
          <w:b/>
          <w:bCs/>
          <w:szCs w:val="24"/>
        </w:rPr>
      </w:pPr>
      <w:r w:rsidRPr="000447D1">
        <w:rPr>
          <w:rFonts w:cs="Arial"/>
          <w:szCs w:val="24"/>
        </w:rPr>
        <w:t xml:space="preserve">Insurers must </w:t>
      </w:r>
      <w:r w:rsidR="00256927" w:rsidRPr="000447D1">
        <w:rPr>
          <w:rFonts w:cs="Arial"/>
          <w:szCs w:val="24"/>
        </w:rPr>
        <w:t xml:space="preserve">publicly disclose </w:t>
      </w:r>
      <w:r w:rsidR="003D6EC7" w:rsidRPr="000447D1">
        <w:rPr>
          <w:rFonts w:cs="Arial"/>
          <w:szCs w:val="24"/>
        </w:rPr>
        <w:t xml:space="preserve">sufficient </w:t>
      </w:r>
      <w:r w:rsidR="00256927" w:rsidRPr="000447D1">
        <w:rPr>
          <w:rFonts w:cs="Arial"/>
          <w:szCs w:val="24"/>
        </w:rPr>
        <w:t xml:space="preserve">quantitative and qualitative information regarding liquidity risk </w:t>
      </w:r>
      <w:r w:rsidR="00A66028" w:rsidRPr="000447D1">
        <w:rPr>
          <w:rFonts w:cs="Arial"/>
          <w:szCs w:val="24"/>
        </w:rPr>
        <w:t xml:space="preserve">exposures </w:t>
      </w:r>
      <w:r w:rsidR="00256927" w:rsidRPr="000447D1">
        <w:rPr>
          <w:rFonts w:cs="Arial"/>
          <w:szCs w:val="24"/>
        </w:rPr>
        <w:t>to enable</w:t>
      </w:r>
      <w:r w:rsidR="002446E0" w:rsidRPr="000447D1">
        <w:rPr>
          <w:rFonts w:cs="Arial"/>
          <w:szCs w:val="24"/>
        </w:rPr>
        <w:t xml:space="preserve"> stakeholders to make a meaningful assessment of the insurer’s </w:t>
      </w:r>
      <w:r w:rsidR="000663F2" w:rsidRPr="000447D1">
        <w:rPr>
          <w:rFonts w:cs="Arial"/>
          <w:szCs w:val="24"/>
        </w:rPr>
        <w:t>ability to meet its financial</w:t>
      </w:r>
      <w:r w:rsidR="00512B8D" w:rsidRPr="000447D1">
        <w:rPr>
          <w:rFonts w:cs="Arial"/>
          <w:szCs w:val="24"/>
        </w:rPr>
        <w:t xml:space="preserve"> obligations as they fall due. </w:t>
      </w:r>
    </w:p>
    <w:p w14:paraId="696A1161" w14:textId="568A73F8" w:rsidR="00E36F8B" w:rsidRPr="000447D1" w:rsidRDefault="002B6DDD" w:rsidP="00ED58FE">
      <w:pPr>
        <w:pStyle w:val="ListParagraph"/>
        <w:numPr>
          <w:ilvl w:val="3"/>
          <w:numId w:val="30"/>
        </w:numPr>
        <w:ind w:left="1208" w:hanging="357"/>
        <w:jc w:val="both"/>
        <w:rPr>
          <w:rFonts w:cs="Arial"/>
          <w:b/>
          <w:bCs/>
          <w:szCs w:val="24"/>
        </w:rPr>
      </w:pPr>
      <w:r w:rsidRPr="000447D1">
        <w:rPr>
          <w:rFonts w:cs="Arial"/>
          <w:szCs w:val="24"/>
        </w:rPr>
        <w:t>Disclosures should provide insight into both the magnitude</w:t>
      </w:r>
      <w:r w:rsidR="005240F7" w:rsidRPr="000447D1">
        <w:rPr>
          <w:rFonts w:cs="Arial"/>
          <w:szCs w:val="24"/>
        </w:rPr>
        <w:t xml:space="preserve"> of liquidity risk and the insurer’s approach</w:t>
      </w:r>
      <w:r w:rsidR="006577E3" w:rsidRPr="000447D1">
        <w:rPr>
          <w:rFonts w:cs="Arial"/>
          <w:szCs w:val="24"/>
        </w:rPr>
        <w:t xml:space="preserve"> to </w:t>
      </w:r>
      <w:r w:rsidR="00E80175" w:rsidRPr="000447D1">
        <w:rPr>
          <w:rFonts w:cs="Arial"/>
          <w:szCs w:val="24"/>
        </w:rPr>
        <w:t>monitoring</w:t>
      </w:r>
      <w:r w:rsidR="006577E3" w:rsidRPr="000447D1">
        <w:rPr>
          <w:rFonts w:cs="Arial"/>
          <w:szCs w:val="24"/>
        </w:rPr>
        <w:t xml:space="preserve">, mitigating and managing such risk, including relevant policies, procedures, </w:t>
      </w:r>
      <w:r w:rsidR="00E80175" w:rsidRPr="000447D1">
        <w:rPr>
          <w:rFonts w:cs="Arial"/>
          <w:szCs w:val="24"/>
        </w:rPr>
        <w:t>governance</w:t>
      </w:r>
      <w:r w:rsidR="00DE0562" w:rsidRPr="000447D1">
        <w:rPr>
          <w:rFonts w:cs="Arial"/>
          <w:szCs w:val="24"/>
        </w:rPr>
        <w:t xml:space="preserve"> arrangements, known trends, significant commitments or anticipated demands that could materially affect liquidity. </w:t>
      </w:r>
    </w:p>
    <w:p w14:paraId="756AB920" w14:textId="77777777" w:rsidR="003A0DF1" w:rsidRPr="003A0DF1" w:rsidRDefault="00E36F8B" w:rsidP="00ED58FE">
      <w:pPr>
        <w:pStyle w:val="ListParagraph"/>
        <w:numPr>
          <w:ilvl w:val="3"/>
          <w:numId w:val="30"/>
        </w:numPr>
        <w:ind w:left="1208" w:hanging="357"/>
        <w:jc w:val="both"/>
        <w:rPr>
          <w:rFonts w:cs="Arial"/>
          <w:b/>
          <w:bCs/>
          <w:szCs w:val="24"/>
        </w:rPr>
      </w:pPr>
      <w:r w:rsidRPr="000447D1">
        <w:rPr>
          <w:rFonts w:cs="Arial"/>
          <w:szCs w:val="24"/>
        </w:rPr>
        <w:t>At a minimum, the disclosure must include:</w:t>
      </w:r>
    </w:p>
    <w:p w14:paraId="74D124DA" w14:textId="4BC78A38" w:rsidR="00966303" w:rsidRDefault="00EB7047" w:rsidP="00ED58FE">
      <w:pPr>
        <w:pStyle w:val="ListParagraph"/>
        <w:numPr>
          <w:ilvl w:val="0"/>
          <w:numId w:val="31"/>
        </w:numPr>
        <w:ind w:left="1531" w:hanging="170"/>
        <w:jc w:val="both"/>
        <w:rPr>
          <w:rFonts w:cs="Arial"/>
        </w:rPr>
      </w:pPr>
      <w:r w:rsidRPr="009702E8">
        <w:rPr>
          <w:rFonts w:cs="Arial"/>
        </w:rPr>
        <w:t xml:space="preserve">Nature and sources of liquidity </w:t>
      </w:r>
      <w:r w:rsidR="00F34F96" w:rsidRPr="009702E8">
        <w:rPr>
          <w:rFonts w:cs="Arial"/>
        </w:rPr>
        <w:t>risk</w:t>
      </w:r>
      <w:r w:rsidR="008468AA" w:rsidRPr="009702E8">
        <w:rPr>
          <w:rFonts w:cs="Arial"/>
        </w:rPr>
        <w:t xml:space="preserve">: </w:t>
      </w:r>
      <w:r w:rsidR="00681CBE">
        <w:rPr>
          <w:rFonts w:cs="Arial"/>
        </w:rPr>
        <w:t>Insurers</w:t>
      </w:r>
      <w:r w:rsidR="008468AA" w:rsidRPr="009702E8">
        <w:rPr>
          <w:rFonts w:cs="Arial"/>
        </w:rPr>
        <w:t xml:space="preserve"> must </w:t>
      </w:r>
      <w:r w:rsidR="00B12528" w:rsidRPr="009702E8">
        <w:rPr>
          <w:rFonts w:cs="Arial"/>
        </w:rPr>
        <w:t>disclose</w:t>
      </w:r>
      <w:r w:rsidR="00681CBE">
        <w:rPr>
          <w:rFonts w:cs="Arial"/>
        </w:rPr>
        <w:t>,</w:t>
      </w:r>
      <w:r w:rsidR="00441072" w:rsidRPr="009702E8">
        <w:rPr>
          <w:rFonts w:cs="Arial"/>
        </w:rPr>
        <w:t xml:space="preserve"> from a qualitative perspective,</w:t>
      </w:r>
      <w:r w:rsidR="006240FE" w:rsidRPr="009702E8">
        <w:rPr>
          <w:rFonts w:cs="Arial"/>
        </w:rPr>
        <w:t xml:space="preserve"> </w:t>
      </w:r>
      <w:r w:rsidR="008468AA" w:rsidRPr="009702E8">
        <w:rPr>
          <w:rFonts w:cs="Arial"/>
        </w:rPr>
        <w:t xml:space="preserve">a </w:t>
      </w:r>
      <w:r w:rsidR="006240FE" w:rsidRPr="009702E8">
        <w:rPr>
          <w:rFonts w:cs="Arial"/>
        </w:rPr>
        <w:t xml:space="preserve">description of </w:t>
      </w:r>
      <w:r w:rsidR="002A1EC6">
        <w:rPr>
          <w:rFonts w:cs="Arial"/>
        </w:rPr>
        <w:t>their</w:t>
      </w:r>
      <w:r w:rsidR="006240FE" w:rsidRPr="009702E8">
        <w:rPr>
          <w:rFonts w:cs="Arial"/>
        </w:rPr>
        <w:t xml:space="preserve"> principal sources of liquidity risk</w:t>
      </w:r>
      <w:r w:rsidR="005672C7" w:rsidRPr="009702E8">
        <w:rPr>
          <w:rFonts w:cs="Arial"/>
        </w:rPr>
        <w:t>. This includes</w:t>
      </w:r>
      <w:r w:rsidR="002E057D" w:rsidRPr="009702E8">
        <w:rPr>
          <w:rFonts w:cs="Arial"/>
        </w:rPr>
        <w:t xml:space="preserve"> but is not</w:t>
      </w:r>
      <w:r w:rsidR="006240FE" w:rsidRPr="009702E8">
        <w:rPr>
          <w:rFonts w:cs="Arial"/>
        </w:rPr>
        <w:t xml:space="preserve"> limited to claims payment obligations, policyholder behaviour such as surrenders or withdrawals</w:t>
      </w:r>
      <w:r w:rsidR="00EC74C1" w:rsidRPr="009702E8">
        <w:rPr>
          <w:rFonts w:cs="Arial"/>
        </w:rPr>
        <w:t xml:space="preserve">, the liquidity characteristics of assets held, and the timing of reinsurance </w:t>
      </w:r>
      <w:proofErr w:type="spellStart"/>
      <w:r w:rsidR="00EC74C1" w:rsidRPr="009702E8">
        <w:rPr>
          <w:rFonts w:cs="Arial"/>
        </w:rPr>
        <w:t>recoverables</w:t>
      </w:r>
      <w:proofErr w:type="spellEnd"/>
      <w:r w:rsidR="00EC74C1" w:rsidRPr="009702E8">
        <w:rPr>
          <w:rFonts w:cs="Arial"/>
        </w:rPr>
        <w:t xml:space="preserve"> or other mate</w:t>
      </w:r>
      <w:r w:rsidR="0062041C" w:rsidRPr="009702E8">
        <w:rPr>
          <w:rFonts w:cs="Arial"/>
        </w:rPr>
        <w:t>rial cash inflows.</w:t>
      </w:r>
    </w:p>
    <w:p w14:paraId="06E0476D" w14:textId="5E357255" w:rsidR="00B12528" w:rsidRDefault="00966303" w:rsidP="00ED58FE">
      <w:pPr>
        <w:pStyle w:val="ListParagraph"/>
        <w:numPr>
          <w:ilvl w:val="0"/>
          <w:numId w:val="31"/>
        </w:numPr>
        <w:ind w:left="1531" w:hanging="170"/>
        <w:jc w:val="both"/>
        <w:rPr>
          <w:rFonts w:cs="Arial"/>
        </w:rPr>
      </w:pPr>
      <w:r w:rsidRPr="005E4824">
        <w:rPr>
          <w:rFonts w:cs="Arial"/>
        </w:rPr>
        <w:t xml:space="preserve">Liquidity risk management </w:t>
      </w:r>
      <w:r w:rsidR="00230F50" w:rsidRPr="005E4824">
        <w:rPr>
          <w:rFonts w:cs="Arial"/>
        </w:rPr>
        <w:t>framework</w:t>
      </w:r>
      <w:r w:rsidRPr="005E4824">
        <w:rPr>
          <w:rFonts w:cs="Arial"/>
        </w:rPr>
        <w:t xml:space="preserve">: </w:t>
      </w:r>
      <w:r w:rsidR="002A1EC6" w:rsidRPr="005E4824">
        <w:rPr>
          <w:rFonts w:cs="Arial"/>
        </w:rPr>
        <w:t>Insurers</w:t>
      </w:r>
      <w:r w:rsidR="008E2E33" w:rsidRPr="005E4824">
        <w:rPr>
          <w:rFonts w:cs="Arial"/>
        </w:rPr>
        <w:t xml:space="preserve"> must</w:t>
      </w:r>
      <w:r w:rsidR="007E4204" w:rsidRPr="005E4824">
        <w:rPr>
          <w:rFonts w:cs="Arial"/>
        </w:rPr>
        <w:t xml:space="preserve"> </w:t>
      </w:r>
      <w:r w:rsidR="00B12528" w:rsidRPr="005E4824">
        <w:rPr>
          <w:rFonts w:cs="Arial"/>
        </w:rPr>
        <w:t>disclose</w:t>
      </w:r>
      <w:r w:rsidR="008E2E33" w:rsidRPr="005E4824">
        <w:rPr>
          <w:rFonts w:cs="Arial"/>
        </w:rPr>
        <w:t>, from a</w:t>
      </w:r>
      <w:r w:rsidR="007E4204" w:rsidRPr="005E4824">
        <w:rPr>
          <w:rFonts w:cs="Arial"/>
        </w:rPr>
        <w:t xml:space="preserve"> </w:t>
      </w:r>
      <w:r w:rsidR="008E2E33" w:rsidRPr="005E4824">
        <w:rPr>
          <w:rFonts w:cs="Arial"/>
        </w:rPr>
        <w:t>qualitative perspective, the approach and framework employed to manage liquidity risk. This includes a description of strategies, policies and processes used to identify, measure, monitor and manage liquidity risk</w:t>
      </w:r>
      <w:r w:rsidR="0065761C" w:rsidRPr="005E4824">
        <w:rPr>
          <w:rFonts w:cs="Arial"/>
        </w:rPr>
        <w:t xml:space="preserve">, the application of asset-liability management principles, the maintenance of liability buffers or other readily available </w:t>
      </w:r>
      <w:r w:rsidR="00CA5352" w:rsidRPr="005E4824">
        <w:rPr>
          <w:rFonts w:cs="Arial"/>
        </w:rPr>
        <w:t xml:space="preserve">funding </w:t>
      </w:r>
      <w:r w:rsidR="003678D4" w:rsidRPr="005E4824">
        <w:rPr>
          <w:rFonts w:cs="Arial"/>
        </w:rPr>
        <w:t>sources,</w:t>
      </w:r>
      <w:r w:rsidR="00CA5352" w:rsidRPr="005E4824">
        <w:rPr>
          <w:rFonts w:cs="Arial"/>
        </w:rPr>
        <w:t xml:space="preserve"> and the integration of liquidity risk management into </w:t>
      </w:r>
      <w:r w:rsidR="002A1EC6" w:rsidRPr="005E4824">
        <w:rPr>
          <w:rFonts w:cs="Arial"/>
        </w:rPr>
        <w:t xml:space="preserve">the </w:t>
      </w:r>
      <w:r w:rsidR="00CA5352" w:rsidRPr="005E4824">
        <w:rPr>
          <w:rFonts w:cs="Arial"/>
        </w:rPr>
        <w:t xml:space="preserve">insurer’s broader enterprise risk management framework. </w:t>
      </w:r>
    </w:p>
    <w:p w14:paraId="0FC428CF" w14:textId="2DA992B5" w:rsidR="00013BD9" w:rsidRDefault="00417665" w:rsidP="00ED58FE">
      <w:pPr>
        <w:pStyle w:val="ListParagraph"/>
        <w:numPr>
          <w:ilvl w:val="0"/>
          <w:numId w:val="31"/>
        </w:numPr>
        <w:ind w:left="1531" w:hanging="170"/>
        <w:jc w:val="both"/>
        <w:rPr>
          <w:rFonts w:cs="Arial"/>
        </w:rPr>
      </w:pPr>
      <w:r w:rsidRPr="005E4824">
        <w:rPr>
          <w:rFonts w:cs="Arial"/>
        </w:rPr>
        <w:t xml:space="preserve">Trends, significant commitments and foreseeable </w:t>
      </w:r>
      <w:r w:rsidR="00E64293" w:rsidRPr="005E4824">
        <w:rPr>
          <w:rFonts w:cs="Arial"/>
        </w:rPr>
        <w:t>events:</w:t>
      </w:r>
      <w:r w:rsidR="00B12528" w:rsidRPr="005E4824">
        <w:rPr>
          <w:rFonts w:cs="Arial"/>
        </w:rPr>
        <w:t xml:space="preserve"> Insurer</w:t>
      </w:r>
      <w:r w:rsidR="00F56153">
        <w:rPr>
          <w:rFonts w:cs="Arial"/>
        </w:rPr>
        <w:t>s</w:t>
      </w:r>
      <w:r w:rsidR="00B12528" w:rsidRPr="005E4824">
        <w:rPr>
          <w:rFonts w:cs="Arial"/>
        </w:rPr>
        <w:t xml:space="preserve"> must disclose information on </w:t>
      </w:r>
      <w:r w:rsidR="00E64293" w:rsidRPr="005E4824">
        <w:rPr>
          <w:rFonts w:cs="Arial"/>
        </w:rPr>
        <w:t>trends</w:t>
      </w:r>
      <w:r w:rsidR="00145048" w:rsidRPr="005E4824">
        <w:rPr>
          <w:rFonts w:cs="Arial"/>
        </w:rPr>
        <w:t xml:space="preserve"> in expected cash inflows and outflows</w:t>
      </w:r>
      <w:r w:rsidR="00E64293" w:rsidRPr="005E4824">
        <w:rPr>
          <w:rFonts w:cs="Arial"/>
        </w:rPr>
        <w:t>, significant commitments</w:t>
      </w:r>
      <w:r w:rsidR="00145048" w:rsidRPr="005E4824">
        <w:rPr>
          <w:rFonts w:cs="Arial"/>
        </w:rPr>
        <w:t xml:space="preserve"> in respect of contractual or planned cash obligat</w:t>
      </w:r>
      <w:r w:rsidR="00871235" w:rsidRPr="005E4824">
        <w:rPr>
          <w:rFonts w:cs="Arial"/>
        </w:rPr>
        <w:t>i</w:t>
      </w:r>
      <w:r w:rsidR="00145048" w:rsidRPr="005E4824">
        <w:rPr>
          <w:rFonts w:cs="Arial"/>
        </w:rPr>
        <w:t>ons</w:t>
      </w:r>
      <w:r w:rsidR="00871235" w:rsidRPr="005E4824">
        <w:rPr>
          <w:rFonts w:cs="Arial"/>
        </w:rPr>
        <w:t xml:space="preserve">, </w:t>
      </w:r>
      <w:r w:rsidR="00E64293" w:rsidRPr="005E4824">
        <w:rPr>
          <w:rFonts w:cs="Arial"/>
        </w:rPr>
        <w:t xml:space="preserve">and other foreseeable events that may materially affect </w:t>
      </w:r>
      <w:r w:rsidR="00013BD9">
        <w:rPr>
          <w:rFonts w:cs="Arial"/>
        </w:rPr>
        <w:t xml:space="preserve">the insurer's </w:t>
      </w:r>
      <w:r w:rsidR="00FB561B" w:rsidRPr="005E4824">
        <w:rPr>
          <w:rFonts w:cs="Arial"/>
        </w:rPr>
        <w:t xml:space="preserve">ability to meet obligations as they fall due. </w:t>
      </w:r>
    </w:p>
    <w:p w14:paraId="3AA81E39" w14:textId="172F61B5" w:rsidR="00A7746B" w:rsidRDefault="0078477C" w:rsidP="00ED58FE">
      <w:pPr>
        <w:pStyle w:val="ListParagraph"/>
        <w:numPr>
          <w:ilvl w:val="0"/>
          <w:numId w:val="31"/>
        </w:numPr>
        <w:ind w:left="1531" w:hanging="170"/>
        <w:jc w:val="both"/>
        <w:rPr>
          <w:rFonts w:cs="Arial"/>
        </w:rPr>
      </w:pPr>
      <w:r w:rsidRPr="005E4824">
        <w:rPr>
          <w:rFonts w:cs="Arial"/>
        </w:rPr>
        <w:t>Q</w:t>
      </w:r>
      <w:r w:rsidR="00FB561B" w:rsidRPr="005E4824">
        <w:rPr>
          <w:rFonts w:cs="Arial"/>
        </w:rPr>
        <w:t>uantitative information must also be provided</w:t>
      </w:r>
      <w:r w:rsidR="00712FEF" w:rsidRPr="005E4824">
        <w:rPr>
          <w:rFonts w:cs="Arial"/>
        </w:rPr>
        <w:t xml:space="preserve"> to illustrate the potential impact of these trends, commitments or events, including adverse but plausible stress or scenario consideration</w:t>
      </w:r>
      <w:r w:rsidR="00122210">
        <w:rPr>
          <w:rFonts w:cs="Arial"/>
        </w:rPr>
        <w:t>s</w:t>
      </w:r>
      <w:r w:rsidRPr="005E4824">
        <w:rPr>
          <w:rFonts w:cs="Arial"/>
        </w:rPr>
        <w:t>, where material</w:t>
      </w:r>
      <w:r w:rsidR="00712FEF" w:rsidRPr="005E4824">
        <w:rPr>
          <w:rFonts w:cs="Arial"/>
        </w:rPr>
        <w:t xml:space="preserve">. </w:t>
      </w:r>
    </w:p>
    <w:p w14:paraId="262C1C25" w14:textId="77777777" w:rsidR="00DF2C2C" w:rsidRDefault="00DF2C2C" w:rsidP="00DF2C2C">
      <w:pPr>
        <w:jc w:val="both"/>
        <w:rPr>
          <w:rFonts w:cs="Arial"/>
        </w:rPr>
      </w:pPr>
    </w:p>
    <w:p w14:paraId="2F258913" w14:textId="77777777" w:rsidR="00DF2C2C" w:rsidRPr="00DF2C2C" w:rsidRDefault="00DF2C2C" w:rsidP="00DF2C2C">
      <w:pPr>
        <w:jc w:val="both"/>
        <w:rPr>
          <w:rFonts w:cs="Arial"/>
        </w:rPr>
      </w:pPr>
    </w:p>
    <w:p w14:paraId="769C5A52" w14:textId="77777777" w:rsidR="00A7746B" w:rsidRPr="009702E8" w:rsidRDefault="00A7746B" w:rsidP="0045726B">
      <w:pPr>
        <w:jc w:val="both"/>
        <w:rPr>
          <w:rFonts w:cs="Arial"/>
          <w:szCs w:val="24"/>
        </w:rPr>
      </w:pPr>
    </w:p>
    <w:p w14:paraId="31403C71" w14:textId="4C6B842A" w:rsidR="00A7746B" w:rsidRDefault="00A7746B" w:rsidP="00ED58FE">
      <w:pPr>
        <w:pStyle w:val="Heading2"/>
        <w:numPr>
          <w:ilvl w:val="2"/>
          <w:numId w:val="16"/>
        </w:numPr>
        <w:ind w:left="851" w:hanging="851"/>
        <w:rPr>
          <w:rFonts w:cs="Arial"/>
          <w:b/>
          <w:bCs/>
          <w:szCs w:val="24"/>
        </w:rPr>
      </w:pPr>
      <w:r w:rsidRPr="00A8576F">
        <w:rPr>
          <w:rFonts w:cs="Arial"/>
          <w:b/>
          <w:bCs/>
          <w:szCs w:val="24"/>
        </w:rPr>
        <w:t>Capital adequacy</w:t>
      </w:r>
    </w:p>
    <w:p w14:paraId="3B1AB88F" w14:textId="77777777" w:rsidR="00946BEE" w:rsidRDefault="00946BEE" w:rsidP="00946BEE">
      <w:pPr>
        <w:pStyle w:val="ListParagraph"/>
        <w:ind w:left="851"/>
        <w:jc w:val="both"/>
        <w:rPr>
          <w:rFonts w:cs="Arial"/>
          <w:b/>
          <w:bCs/>
          <w:szCs w:val="24"/>
        </w:rPr>
      </w:pPr>
    </w:p>
    <w:p w14:paraId="7087F78C" w14:textId="201DED8E" w:rsidR="002353D5" w:rsidRPr="000447D1" w:rsidRDefault="00327B1D" w:rsidP="00ED58FE">
      <w:pPr>
        <w:pStyle w:val="ListParagraph"/>
        <w:numPr>
          <w:ilvl w:val="3"/>
          <w:numId w:val="36"/>
        </w:numPr>
        <w:ind w:left="1208" w:hanging="357"/>
        <w:jc w:val="both"/>
        <w:rPr>
          <w:rFonts w:cs="Arial"/>
          <w:b/>
          <w:bCs/>
        </w:rPr>
      </w:pPr>
      <w:r w:rsidRPr="59EB61C6">
        <w:rPr>
          <w:rFonts w:cs="Arial"/>
        </w:rPr>
        <w:t xml:space="preserve">Insurers must publicly disclose sufficient </w:t>
      </w:r>
      <w:r w:rsidR="00860507" w:rsidRPr="59EB61C6">
        <w:rPr>
          <w:rFonts w:cs="Arial"/>
        </w:rPr>
        <w:t>quantitative</w:t>
      </w:r>
      <w:r w:rsidRPr="59EB61C6">
        <w:rPr>
          <w:rFonts w:cs="Arial"/>
        </w:rPr>
        <w:t xml:space="preserve"> and qualitative information</w:t>
      </w:r>
      <w:r w:rsidR="00860507" w:rsidRPr="59EB61C6">
        <w:rPr>
          <w:rFonts w:cs="Arial"/>
        </w:rPr>
        <w:t xml:space="preserve"> </w:t>
      </w:r>
      <w:r w:rsidR="004B19D2" w:rsidRPr="59EB61C6">
        <w:rPr>
          <w:rFonts w:cs="Arial"/>
        </w:rPr>
        <w:t>in</w:t>
      </w:r>
      <w:r w:rsidR="00BB2DBB" w:rsidRPr="59EB61C6">
        <w:rPr>
          <w:rFonts w:cs="Arial"/>
        </w:rPr>
        <w:t xml:space="preserve"> </w:t>
      </w:r>
      <w:r w:rsidR="004B19D2" w:rsidRPr="59EB61C6">
        <w:rPr>
          <w:rFonts w:cs="Arial"/>
        </w:rPr>
        <w:t>respect</w:t>
      </w:r>
      <w:r w:rsidR="006F3CE2" w:rsidRPr="59EB61C6">
        <w:rPr>
          <w:rFonts w:cs="Arial"/>
        </w:rPr>
        <w:t xml:space="preserve"> of their capital requirements</w:t>
      </w:r>
      <w:r w:rsidR="002353D5" w:rsidRPr="59EB61C6">
        <w:rPr>
          <w:rFonts w:cs="Arial"/>
        </w:rPr>
        <w:t xml:space="preserve"> to enable stakeholders to assess the insurer’s ability to maintain adequate capital and meet regulatory requirements under normal and stressed conditions.</w:t>
      </w:r>
    </w:p>
    <w:p w14:paraId="7A64004A" w14:textId="3B6A4FF9" w:rsidR="00F01F55" w:rsidRPr="000447D1" w:rsidRDefault="003D42E9" w:rsidP="00ED58FE">
      <w:pPr>
        <w:pStyle w:val="ListParagraph"/>
        <w:numPr>
          <w:ilvl w:val="3"/>
          <w:numId w:val="36"/>
        </w:numPr>
        <w:ind w:left="1208" w:hanging="357"/>
        <w:jc w:val="both"/>
        <w:rPr>
          <w:rFonts w:cs="Arial"/>
          <w:b/>
          <w:bCs/>
          <w:szCs w:val="24"/>
        </w:rPr>
      </w:pPr>
      <w:r w:rsidRPr="000447D1">
        <w:rPr>
          <w:rFonts w:cs="Arial"/>
          <w:szCs w:val="24"/>
        </w:rPr>
        <w:t>At a minimum, the disclosures must include:</w:t>
      </w:r>
    </w:p>
    <w:p w14:paraId="3620632E" w14:textId="4370133A" w:rsidR="00357FA4" w:rsidRPr="009E2763" w:rsidRDefault="00F01F55" w:rsidP="00ED58FE">
      <w:pPr>
        <w:pStyle w:val="ListParagraph"/>
        <w:numPr>
          <w:ilvl w:val="0"/>
          <w:numId w:val="7"/>
        </w:numPr>
        <w:ind w:left="1531" w:hanging="170"/>
        <w:jc w:val="both"/>
        <w:rPr>
          <w:rFonts w:cs="Arial"/>
          <w:b/>
          <w:bCs/>
          <w:szCs w:val="24"/>
        </w:rPr>
      </w:pPr>
      <w:r w:rsidRPr="000447D1">
        <w:rPr>
          <w:rFonts w:cs="Arial"/>
          <w:b/>
          <w:bCs/>
          <w:szCs w:val="24"/>
        </w:rPr>
        <w:t xml:space="preserve">Qualitative </w:t>
      </w:r>
      <w:r w:rsidR="00357FA4" w:rsidRPr="000447D1">
        <w:rPr>
          <w:rFonts w:cs="Arial"/>
          <w:b/>
          <w:bCs/>
          <w:szCs w:val="24"/>
        </w:rPr>
        <w:t>capital requirements disclosures</w:t>
      </w:r>
    </w:p>
    <w:p w14:paraId="4F44471E" w14:textId="3D9E6493" w:rsidR="005942AE" w:rsidRPr="009E2763" w:rsidRDefault="00357FA4" w:rsidP="00ED58FE">
      <w:pPr>
        <w:pStyle w:val="ListParagraph"/>
        <w:numPr>
          <w:ilvl w:val="0"/>
          <w:numId w:val="32"/>
        </w:numPr>
        <w:ind w:left="2041" w:hanging="510"/>
        <w:jc w:val="both"/>
        <w:rPr>
          <w:rFonts w:cs="Arial"/>
          <w:b/>
          <w:bCs/>
          <w:szCs w:val="24"/>
        </w:rPr>
      </w:pPr>
      <w:r w:rsidRPr="009E2763">
        <w:rPr>
          <w:rFonts w:cs="Arial"/>
          <w:szCs w:val="24"/>
        </w:rPr>
        <w:t xml:space="preserve">Capital </w:t>
      </w:r>
      <w:r w:rsidR="00122210">
        <w:rPr>
          <w:rFonts w:cs="Arial"/>
          <w:szCs w:val="24"/>
        </w:rPr>
        <w:t>m</w:t>
      </w:r>
      <w:r w:rsidRPr="009E2763">
        <w:rPr>
          <w:rFonts w:cs="Arial"/>
          <w:szCs w:val="24"/>
        </w:rPr>
        <w:t>anagement</w:t>
      </w:r>
      <w:r w:rsidR="00776054" w:rsidRPr="009E2763">
        <w:rPr>
          <w:rFonts w:cs="Arial"/>
          <w:szCs w:val="24"/>
        </w:rPr>
        <w:t xml:space="preserve"> framework: </w:t>
      </w:r>
      <w:r w:rsidR="007C2B0F">
        <w:rPr>
          <w:rFonts w:cs="Arial"/>
          <w:szCs w:val="24"/>
        </w:rPr>
        <w:t>Insurers</w:t>
      </w:r>
      <w:r w:rsidR="00776054" w:rsidRPr="009E2763">
        <w:rPr>
          <w:rFonts w:cs="Arial"/>
          <w:szCs w:val="24"/>
        </w:rPr>
        <w:t xml:space="preserve"> must disclose a </w:t>
      </w:r>
      <w:r w:rsidR="000465CE" w:rsidRPr="009E2763">
        <w:rPr>
          <w:rFonts w:cs="Arial"/>
          <w:szCs w:val="24"/>
        </w:rPr>
        <w:t>description of</w:t>
      </w:r>
      <w:r w:rsidR="00776054" w:rsidRPr="009E2763">
        <w:rPr>
          <w:rFonts w:cs="Arial"/>
          <w:szCs w:val="24"/>
        </w:rPr>
        <w:t xml:space="preserve"> the insurer’s objectives, </w:t>
      </w:r>
      <w:r w:rsidR="00BA055B">
        <w:rPr>
          <w:rFonts w:cs="Arial"/>
          <w:szCs w:val="24"/>
        </w:rPr>
        <w:t xml:space="preserve">as well as </w:t>
      </w:r>
      <w:r w:rsidR="00776054" w:rsidRPr="009E2763">
        <w:rPr>
          <w:rFonts w:cs="Arial"/>
          <w:szCs w:val="24"/>
        </w:rPr>
        <w:t>policies</w:t>
      </w:r>
      <w:r w:rsidR="004152A6" w:rsidRPr="009E2763">
        <w:rPr>
          <w:rFonts w:cs="Arial"/>
          <w:szCs w:val="24"/>
        </w:rPr>
        <w:t xml:space="preserve"> for</w:t>
      </w:r>
      <w:r w:rsidR="00776054" w:rsidRPr="009E2763">
        <w:rPr>
          <w:rFonts w:cs="Arial"/>
          <w:szCs w:val="24"/>
        </w:rPr>
        <w:t xml:space="preserve"> managing</w:t>
      </w:r>
      <w:r w:rsidR="005942AE" w:rsidRPr="009E2763">
        <w:rPr>
          <w:rFonts w:cs="Arial"/>
          <w:szCs w:val="24"/>
        </w:rPr>
        <w:t xml:space="preserve"> capital and assessing capital adequacy</w:t>
      </w:r>
      <w:r w:rsidR="003B6AB9" w:rsidRPr="009E2763">
        <w:rPr>
          <w:rFonts w:cs="Arial"/>
          <w:szCs w:val="24"/>
        </w:rPr>
        <w:t xml:space="preserve">, including the governance </w:t>
      </w:r>
      <w:r w:rsidR="00AD04C0">
        <w:rPr>
          <w:rFonts w:cs="Arial"/>
          <w:szCs w:val="24"/>
        </w:rPr>
        <w:t>arrangements</w:t>
      </w:r>
      <w:r w:rsidR="003B6AB9" w:rsidRPr="009E2763">
        <w:rPr>
          <w:rFonts w:cs="Arial"/>
          <w:szCs w:val="24"/>
        </w:rPr>
        <w:t xml:space="preserve"> that support capital mana</w:t>
      </w:r>
      <w:r w:rsidR="008D2B0A" w:rsidRPr="009E2763">
        <w:rPr>
          <w:rFonts w:cs="Arial"/>
          <w:szCs w:val="24"/>
        </w:rPr>
        <w:t>g</w:t>
      </w:r>
      <w:r w:rsidR="003B6AB9" w:rsidRPr="009E2763">
        <w:rPr>
          <w:rFonts w:cs="Arial"/>
          <w:szCs w:val="24"/>
        </w:rPr>
        <w:t>ement</w:t>
      </w:r>
      <w:r w:rsidR="005942AE" w:rsidRPr="009E2763">
        <w:rPr>
          <w:rFonts w:cs="Arial"/>
          <w:szCs w:val="24"/>
        </w:rPr>
        <w:t>.</w:t>
      </w:r>
    </w:p>
    <w:p w14:paraId="3506C916" w14:textId="7A4D832F" w:rsidR="00DC3549" w:rsidRPr="009E2763" w:rsidRDefault="005942AE" w:rsidP="00ED58FE">
      <w:pPr>
        <w:pStyle w:val="ListParagraph"/>
        <w:numPr>
          <w:ilvl w:val="0"/>
          <w:numId w:val="32"/>
        </w:numPr>
        <w:ind w:left="2041" w:hanging="510"/>
        <w:jc w:val="both"/>
        <w:rPr>
          <w:rFonts w:cs="Arial"/>
          <w:b/>
          <w:bCs/>
          <w:szCs w:val="24"/>
        </w:rPr>
      </w:pPr>
      <w:r w:rsidRPr="009E2763">
        <w:rPr>
          <w:rFonts w:cs="Arial"/>
          <w:szCs w:val="24"/>
        </w:rPr>
        <w:t xml:space="preserve">Regulatory capital requirements: </w:t>
      </w:r>
      <w:r w:rsidR="007C2B0F">
        <w:rPr>
          <w:rFonts w:cs="Arial"/>
          <w:szCs w:val="24"/>
        </w:rPr>
        <w:t>Insurers</w:t>
      </w:r>
      <w:r w:rsidRPr="009E2763">
        <w:rPr>
          <w:rFonts w:cs="Arial"/>
          <w:szCs w:val="24"/>
        </w:rPr>
        <w:t xml:space="preserve"> </w:t>
      </w:r>
      <w:r w:rsidR="000465CE" w:rsidRPr="009E2763">
        <w:rPr>
          <w:rFonts w:cs="Arial"/>
          <w:szCs w:val="24"/>
        </w:rPr>
        <w:t>must</w:t>
      </w:r>
      <w:r w:rsidRPr="009E2763">
        <w:rPr>
          <w:rFonts w:cs="Arial"/>
          <w:szCs w:val="24"/>
        </w:rPr>
        <w:t xml:space="preserve"> disclose an explanation of applicable regulatory requirements</w:t>
      </w:r>
      <w:r w:rsidR="00580885" w:rsidRPr="009E2763">
        <w:rPr>
          <w:rFonts w:cs="Arial"/>
          <w:szCs w:val="24"/>
        </w:rPr>
        <w:t xml:space="preserve">, including the methods used to calculate the </w:t>
      </w:r>
      <w:r w:rsidR="00BA055B">
        <w:rPr>
          <w:rFonts w:cs="Arial"/>
          <w:szCs w:val="24"/>
        </w:rPr>
        <w:t>s</w:t>
      </w:r>
      <w:r w:rsidR="00580885" w:rsidRPr="009E2763">
        <w:rPr>
          <w:rFonts w:cs="Arial"/>
          <w:szCs w:val="24"/>
        </w:rPr>
        <w:t xml:space="preserve">olvency </w:t>
      </w:r>
      <w:r w:rsidR="00BA055B">
        <w:rPr>
          <w:rFonts w:cs="Arial"/>
          <w:szCs w:val="24"/>
        </w:rPr>
        <w:t>c</w:t>
      </w:r>
      <w:r w:rsidR="00580885" w:rsidRPr="009E2763">
        <w:rPr>
          <w:rFonts w:cs="Arial"/>
          <w:szCs w:val="24"/>
        </w:rPr>
        <w:t xml:space="preserve">apital </w:t>
      </w:r>
      <w:r w:rsidR="00BA055B">
        <w:rPr>
          <w:rFonts w:cs="Arial"/>
          <w:szCs w:val="24"/>
        </w:rPr>
        <w:t>r</w:t>
      </w:r>
      <w:r w:rsidR="00580885" w:rsidRPr="009E2763">
        <w:rPr>
          <w:rFonts w:cs="Arial"/>
          <w:szCs w:val="24"/>
        </w:rPr>
        <w:t xml:space="preserve">equirement (SCR) and </w:t>
      </w:r>
      <w:r w:rsidR="00BA055B">
        <w:rPr>
          <w:rFonts w:cs="Arial"/>
          <w:szCs w:val="24"/>
        </w:rPr>
        <w:t>m</w:t>
      </w:r>
      <w:r w:rsidR="00580885" w:rsidRPr="009E2763">
        <w:rPr>
          <w:rFonts w:cs="Arial"/>
          <w:szCs w:val="24"/>
        </w:rPr>
        <w:t xml:space="preserve">inimum </w:t>
      </w:r>
      <w:r w:rsidR="00BA055B">
        <w:rPr>
          <w:rFonts w:cs="Arial"/>
          <w:szCs w:val="24"/>
        </w:rPr>
        <w:t>c</w:t>
      </w:r>
      <w:r w:rsidR="00580885" w:rsidRPr="009E2763">
        <w:rPr>
          <w:rFonts w:cs="Arial"/>
          <w:szCs w:val="24"/>
        </w:rPr>
        <w:t xml:space="preserve">apital </w:t>
      </w:r>
      <w:r w:rsidR="00BA055B">
        <w:rPr>
          <w:rFonts w:cs="Arial"/>
          <w:szCs w:val="24"/>
        </w:rPr>
        <w:t>r</w:t>
      </w:r>
      <w:r w:rsidR="00580885" w:rsidRPr="009E2763">
        <w:rPr>
          <w:rFonts w:cs="Arial"/>
          <w:szCs w:val="24"/>
        </w:rPr>
        <w:t>equirement (MCR</w:t>
      </w:r>
      <w:r w:rsidR="000465CE" w:rsidRPr="009E2763">
        <w:rPr>
          <w:rFonts w:cs="Arial"/>
          <w:szCs w:val="24"/>
        </w:rPr>
        <w:t>), and</w:t>
      </w:r>
      <w:r w:rsidR="00580885" w:rsidRPr="009E2763">
        <w:rPr>
          <w:rFonts w:cs="Arial"/>
          <w:szCs w:val="24"/>
        </w:rPr>
        <w:t xml:space="preserve"> any superv</w:t>
      </w:r>
      <w:r w:rsidR="00DC3549" w:rsidRPr="009E2763">
        <w:rPr>
          <w:rFonts w:cs="Arial"/>
          <w:szCs w:val="24"/>
        </w:rPr>
        <w:t>isory adjustments applied.</w:t>
      </w:r>
    </w:p>
    <w:p w14:paraId="4C94908C" w14:textId="0AAEA8A6" w:rsidR="00C64B45" w:rsidRPr="009E2763" w:rsidRDefault="00DC3549" w:rsidP="00ED58FE">
      <w:pPr>
        <w:pStyle w:val="ListParagraph"/>
        <w:numPr>
          <w:ilvl w:val="0"/>
          <w:numId w:val="32"/>
        </w:numPr>
        <w:ind w:left="2041" w:hanging="510"/>
        <w:jc w:val="both"/>
        <w:rPr>
          <w:rFonts w:cs="Arial"/>
          <w:b/>
          <w:bCs/>
          <w:szCs w:val="24"/>
        </w:rPr>
      </w:pPr>
      <w:r w:rsidRPr="009E2763">
        <w:rPr>
          <w:rFonts w:cs="Arial"/>
          <w:szCs w:val="24"/>
        </w:rPr>
        <w:t>Risk-capital linkage: Insurers must disclose a discussion on how key risk exposures (</w:t>
      </w:r>
      <w:r w:rsidR="00E81381" w:rsidRPr="009E2763">
        <w:rPr>
          <w:rFonts w:cs="Arial"/>
          <w:szCs w:val="24"/>
        </w:rPr>
        <w:t xml:space="preserve">including but not limited to </w:t>
      </w:r>
      <w:r w:rsidR="00C05E6C" w:rsidRPr="009E2763">
        <w:rPr>
          <w:rFonts w:cs="Arial"/>
          <w:szCs w:val="24"/>
        </w:rPr>
        <w:t xml:space="preserve">insurance, </w:t>
      </w:r>
      <w:r w:rsidR="000465CE" w:rsidRPr="009E2763">
        <w:rPr>
          <w:rFonts w:cs="Arial"/>
          <w:szCs w:val="24"/>
        </w:rPr>
        <w:t>market, credit</w:t>
      </w:r>
      <w:r w:rsidR="00183B70">
        <w:rPr>
          <w:rFonts w:cs="Arial"/>
          <w:szCs w:val="24"/>
        </w:rPr>
        <w:t xml:space="preserve"> and</w:t>
      </w:r>
      <w:r w:rsidR="00C05E6C" w:rsidRPr="009E2763">
        <w:rPr>
          <w:rFonts w:cs="Arial"/>
          <w:szCs w:val="24"/>
        </w:rPr>
        <w:t xml:space="preserve"> operational) influence capital requirements. </w:t>
      </w:r>
    </w:p>
    <w:p w14:paraId="567241DD" w14:textId="6988A478" w:rsidR="00FF2B68" w:rsidRPr="00397CF5" w:rsidRDefault="00C64B45" w:rsidP="00ED58FE">
      <w:pPr>
        <w:pStyle w:val="ListParagraph"/>
        <w:numPr>
          <w:ilvl w:val="0"/>
          <w:numId w:val="32"/>
        </w:numPr>
        <w:ind w:left="2041" w:hanging="510"/>
        <w:jc w:val="both"/>
        <w:rPr>
          <w:rFonts w:cs="Arial"/>
          <w:szCs w:val="24"/>
        </w:rPr>
      </w:pPr>
      <w:r w:rsidRPr="00397CF5">
        <w:rPr>
          <w:rFonts w:cs="Arial"/>
          <w:szCs w:val="24"/>
        </w:rPr>
        <w:t xml:space="preserve">Capital </w:t>
      </w:r>
      <w:r w:rsidR="000465CE" w:rsidRPr="00397CF5">
        <w:rPr>
          <w:rFonts w:cs="Arial"/>
          <w:szCs w:val="24"/>
        </w:rPr>
        <w:t>adequacy</w:t>
      </w:r>
      <w:r w:rsidRPr="00397CF5">
        <w:rPr>
          <w:rFonts w:cs="Arial"/>
          <w:szCs w:val="24"/>
        </w:rPr>
        <w:t xml:space="preserve"> management processes: Insurers must disclose </w:t>
      </w:r>
      <w:r w:rsidR="00651E9A" w:rsidRPr="00397CF5">
        <w:rPr>
          <w:rFonts w:cs="Arial"/>
          <w:szCs w:val="24"/>
        </w:rPr>
        <w:t>a description</w:t>
      </w:r>
      <w:r w:rsidR="00A21384" w:rsidRPr="00397CF5">
        <w:rPr>
          <w:rFonts w:cs="Arial"/>
          <w:szCs w:val="24"/>
        </w:rPr>
        <w:t xml:space="preserve"> </w:t>
      </w:r>
      <w:r w:rsidR="00FF2B68" w:rsidRPr="00397CF5">
        <w:rPr>
          <w:rFonts w:cs="Arial"/>
          <w:szCs w:val="24"/>
        </w:rPr>
        <w:t>o</w:t>
      </w:r>
      <w:r w:rsidR="00300397" w:rsidRPr="00397CF5">
        <w:rPr>
          <w:rFonts w:cs="Arial"/>
          <w:szCs w:val="24"/>
        </w:rPr>
        <w:t xml:space="preserve">f the </w:t>
      </w:r>
      <w:r w:rsidR="00FF2B68" w:rsidRPr="00397CF5">
        <w:rPr>
          <w:rFonts w:cs="Arial"/>
          <w:szCs w:val="24"/>
        </w:rPr>
        <w:t>processes for monitoring and maintaining capital adequacy, including stress</w:t>
      </w:r>
      <w:r w:rsidR="00183B70">
        <w:rPr>
          <w:rFonts w:cs="Arial"/>
          <w:szCs w:val="24"/>
        </w:rPr>
        <w:t>-</w:t>
      </w:r>
      <w:r w:rsidR="00FF2B68" w:rsidRPr="00397CF5">
        <w:rPr>
          <w:rFonts w:cs="Arial"/>
          <w:szCs w:val="24"/>
        </w:rPr>
        <w:t xml:space="preserve">testing and scenario </w:t>
      </w:r>
      <w:r w:rsidR="00473047" w:rsidRPr="00397CF5">
        <w:rPr>
          <w:rFonts w:cs="Arial"/>
          <w:szCs w:val="24"/>
        </w:rPr>
        <w:t>analysis to</w:t>
      </w:r>
      <w:r w:rsidR="00FF2B68" w:rsidRPr="00397CF5">
        <w:rPr>
          <w:rFonts w:cs="Arial"/>
          <w:szCs w:val="24"/>
        </w:rPr>
        <w:t xml:space="preserve"> illustrate the impact of adverse but plausible events on capital adequacy.</w:t>
      </w:r>
    </w:p>
    <w:p w14:paraId="15E12B52" w14:textId="52C6F305" w:rsidR="00182B65" w:rsidRDefault="005D4602" w:rsidP="00ED58FE">
      <w:pPr>
        <w:pStyle w:val="ListParagraph"/>
        <w:numPr>
          <w:ilvl w:val="0"/>
          <w:numId w:val="32"/>
        </w:numPr>
        <w:ind w:left="2041" w:hanging="510"/>
        <w:jc w:val="both"/>
        <w:rPr>
          <w:rFonts w:cs="Arial"/>
          <w:szCs w:val="24"/>
        </w:rPr>
      </w:pPr>
      <w:r w:rsidRPr="00397CF5">
        <w:rPr>
          <w:rFonts w:cs="Arial"/>
          <w:szCs w:val="24"/>
        </w:rPr>
        <w:t xml:space="preserve">Internal models: </w:t>
      </w:r>
      <w:r w:rsidR="00552B70" w:rsidRPr="00397CF5">
        <w:rPr>
          <w:rFonts w:cs="Arial"/>
          <w:szCs w:val="24"/>
        </w:rPr>
        <w:t>Insurers</w:t>
      </w:r>
      <w:r w:rsidRPr="00397CF5">
        <w:rPr>
          <w:rFonts w:cs="Arial"/>
          <w:szCs w:val="24"/>
        </w:rPr>
        <w:t xml:space="preserve"> must disclose relevant information on the use of internal models to determine capital requirements and eli</w:t>
      </w:r>
      <w:r w:rsidR="00473047" w:rsidRPr="00397CF5">
        <w:rPr>
          <w:rFonts w:cs="Arial"/>
          <w:szCs w:val="24"/>
        </w:rPr>
        <w:t>gible own funds, only if such models are employed by the insurer.</w:t>
      </w:r>
      <w:r w:rsidR="00860507" w:rsidRPr="00397CF5">
        <w:rPr>
          <w:rFonts w:cs="Arial"/>
          <w:szCs w:val="24"/>
        </w:rPr>
        <w:t xml:space="preserve"> </w:t>
      </w:r>
    </w:p>
    <w:p w14:paraId="64183F1E" w14:textId="1433436A" w:rsidR="007E08F0" w:rsidRPr="00737C1C" w:rsidRDefault="007E08F0" w:rsidP="00ED58FE">
      <w:pPr>
        <w:pStyle w:val="ListParagraph"/>
        <w:numPr>
          <w:ilvl w:val="0"/>
          <w:numId w:val="32"/>
        </w:numPr>
        <w:ind w:left="2041" w:hanging="510"/>
        <w:jc w:val="both"/>
        <w:rPr>
          <w:rFonts w:cs="Arial"/>
          <w:szCs w:val="24"/>
        </w:rPr>
      </w:pPr>
      <w:r w:rsidRPr="00737C1C">
        <w:rPr>
          <w:rFonts w:cs="Arial"/>
          <w:szCs w:val="24"/>
        </w:rPr>
        <w:t xml:space="preserve">Available capital instruments: </w:t>
      </w:r>
      <w:r w:rsidR="007917B9" w:rsidRPr="00737C1C">
        <w:rPr>
          <w:rFonts w:cs="Arial"/>
          <w:szCs w:val="24"/>
        </w:rPr>
        <w:t>Insurers must disclose</w:t>
      </w:r>
      <w:r w:rsidR="0075403A" w:rsidRPr="00737C1C">
        <w:rPr>
          <w:rFonts w:cs="Arial"/>
          <w:szCs w:val="24"/>
        </w:rPr>
        <w:t xml:space="preserve"> qualitative information on the main categories of instruments regarded as available capital for regulatory purposes, including a </w:t>
      </w:r>
      <w:r w:rsidR="007917B9" w:rsidRPr="00737C1C">
        <w:rPr>
          <w:rFonts w:cs="Arial"/>
          <w:szCs w:val="24"/>
        </w:rPr>
        <w:t>description of the</w:t>
      </w:r>
      <w:r w:rsidR="00CD5403" w:rsidRPr="00737C1C">
        <w:rPr>
          <w:rFonts w:cs="Arial"/>
          <w:szCs w:val="24"/>
        </w:rPr>
        <w:t>ir key features and any material limitations affecting their</w:t>
      </w:r>
      <w:r w:rsidR="006602A8" w:rsidRPr="00737C1C">
        <w:rPr>
          <w:rFonts w:cs="Arial"/>
          <w:szCs w:val="24"/>
        </w:rPr>
        <w:t xml:space="preserve"> availability or loss-absorbing capacity.</w:t>
      </w:r>
      <w:r w:rsidR="00F74E24" w:rsidRPr="00737C1C">
        <w:rPr>
          <w:rFonts w:cs="Arial"/>
          <w:szCs w:val="24"/>
        </w:rPr>
        <w:t xml:space="preserve"> The level of detail must be proportionate to the significance of such instruments </w:t>
      </w:r>
      <w:r w:rsidR="00D67854" w:rsidRPr="00737C1C">
        <w:rPr>
          <w:rFonts w:cs="Arial"/>
          <w:szCs w:val="24"/>
        </w:rPr>
        <w:t>in</w:t>
      </w:r>
      <w:r w:rsidR="00F74E24" w:rsidRPr="00737C1C">
        <w:rPr>
          <w:rFonts w:cs="Arial"/>
          <w:szCs w:val="24"/>
        </w:rPr>
        <w:t xml:space="preserve"> meeting regulatory capital requirements.</w:t>
      </w:r>
    </w:p>
    <w:p w14:paraId="587D2F93" w14:textId="3A1A8A54" w:rsidR="00EA4AF6" w:rsidRPr="00397CF5" w:rsidRDefault="00EA4AF6" w:rsidP="00ED58FE">
      <w:pPr>
        <w:pStyle w:val="ListParagraph"/>
        <w:numPr>
          <w:ilvl w:val="0"/>
          <w:numId w:val="32"/>
        </w:numPr>
        <w:ind w:left="2041" w:hanging="510"/>
        <w:jc w:val="both"/>
        <w:rPr>
          <w:rFonts w:cs="Arial"/>
          <w:szCs w:val="24"/>
        </w:rPr>
      </w:pPr>
      <w:r w:rsidRPr="00397CF5">
        <w:rPr>
          <w:rFonts w:cs="Arial"/>
          <w:szCs w:val="24"/>
        </w:rPr>
        <w:t xml:space="preserve">Risk drivers of capital requirements: Insurers must disclose </w:t>
      </w:r>
      <w:r w:rsidR="007C2A2B" w:rsidRPr="00397CF5">
        <w:rPr>
          <w:rFonts w:cs="Arial"/>
          <w:szCs w:val="24"/>
        </w:rPr>
        <w:t xml:space="preserve">a description </w:t>
      </w:r>
      <w:r w:rsidR="000D70C5" w:rsidRPr="00397CF5">
        <w:rPr>
          <w:rFonts w:cs="Arial"/>
          <w:szCs w:val="24"/>
        </w:rPr>
        <w:t>of</w:t>
      </w:r>
      <w:r w:rsidRPr="00397CF5">
        <w:rPr>
          <w:rFonts w:cs="Arial"/>
          <w:szCs w:val="24"/>
        </w:rPr>
        <w:t xml:space="preserve"> the key risk</w:t>
      </w:r>
      <w:r w:rsidR="00192766" w:rsidRPr="00397CF5">
        <w:rPr>
          <w:rFonts w:cs="Arial"/>
          <w:szCs w:val="24"/>
        </w:rPr>
        <w:t xml:space="preserve"> exposures </w:t>
      </w:r>
      <w:r w:rsidR="00E05A52" w:rsidRPr="00397CF5">
        <w:rPr>
          <w:rFonts w:cs="Arial"/>
          <w:szCs w:val="24"/>
        </w:rPr>
        <w:t xml:space="preserve">that materially influence the </w:t>
      </w:r>
      <w:r w:rsidR="00443F84" w:rsidRPr="00397CF5">
        <w:rPr>
          <w:rFonts w:cs="Arial"/>
          <w:szCs w:val="24"/>
        </w:rPr>
        <w:t xml:space="preserve">determination of </w:t>
      </w:r>
      <w:r w:rsidR="00E05A52" w:rsidRPr="00397CF5">
        <w:rPr>
          <w:rFonts w:cs="Arial"/>
          <w:szCs w:val="24"/>
        </w:rPr>
        <w:t>regulatory capital requirements</w:t>
      </w:r>
      <w:r w:rsidR="00443F84" w:rsidRPr="00397CF5">
        <w:rPr>
          <w:rFonts w:cs="Arial"/>
          <w:szCs w:val="24"/>
        </w:rPr>
        <w:t>, including</w:t>
      </w:r>
      <w:r w:rsidR="000D70C5" w:rsidRPr="00397CF5">
        <w:rPr>
          <w:rFonts w:cs="Arial"/>
          <w:szCs w:val="24"/>
        </w:rPr>
        <w:t>,</w:t>
      </w:r>
      <w:r w:rsidR="00443F84" w:rsidRPr="00397CF5">
        <w:rPr>
          <w:rFonts w:cs="Arial"/>
          <w:szCs w:val="24"/>
        </w:rPr>
        <w:t xml:space="preserve"> where relevant,</w:t>
      </w:r>
      <w:r w:rsidR="00436465" w:rsidRPr="00397CF5">
        <w:rPr>
          <w:rFonts w:cs="Arial"/>
          <w:szCs w:val="24"/>
        </w:rPr>
        <w:t xml:space="preserve"> </w:t>
      </w:r>
      <w:r w:rsidR="00576DDD" w:rsidRPr="00397CF5">
        <w:rPr>
          <w:rFonts w:cs="Arial"/>
          <w:szCs w:val="24"/>
        </w:rPr>
        <w:t xml:space="preserve">insurance, </w:t>
      </w:r>
      <w:r w:rsidR="00436465" w:rsidRPr="00397CF5">
        <w:rPr>
          <w:rFonts w:cs="Arial"/>
          <w:szCs w:val="24"/>
        </w:rPr>
        <w:t>market, credit, operational and liquidity risks</w:t>
      </w:r>
      <w:r w:rsidR="00E05A52" w:rsidRPr="00397CF5">
        <w:rPr>
          <w:rFonts w:cs="Arial"/>
          <w:szCs w:val="24"/>
        </w:rPr>
        <w:t>.</w:t>
      </w:r>
      <w:r w:rsidR="00FA12BE" w:rsidRPr="00397CF5">
        <w:rPr>
          <w:rFonts w:cs="Arial"/>
          <w:szCs w:val="24"/>
        </w:rPr>
        <w:t xml:space="preserve"> Th</w:t>
      </w:r>
      <w:r w:rsidR="00576DDD" w:rsidRPr="00397CF5">
        <w:rPr>
          <w:rFonts w:cs="Arial"/>
          <w:szCs w:val="24"/>
        </w:rPr>
        <w:t>i</w:t>
      </w:r>
      <w:r w:rsidR="00FA12BE" w:rsidRPr="00397CF5">
        <w:rPr>
          <w:rFonts w:cs="Arial"/>
          <w:szCs w:val="24"/>
        </w:rPr>
        <w:t xml:space="preserve">s disclosure should </w:t>
      </w:r>
      <w:r w:rsidR="00C0075B" w:rsidRPr="00397CF5">
        <w:rPr>
          <w:rFonts w:cs="Arial"/>
          <w:szCs w:val="24"/>
        </w:rPr>
        <w:t>explain</w:t>
      </w:r>
      <w:r w:rsidR="00FA12BE" w:rsidRPr="00397CF5">
        <w:rPr>
          <w:rFonts w:cs="Arial"/>
          <w:szCs w:val="24"/>
        </w:rPr>
        <w:t xml:space="preserve"> how these risks are reflected in the capital calculation</w:t>
      </w:r>
      <w:r w:rsidR="00576DDD" w:rsidRPr="00397CF5">
        <w:rPr>
          <w:rFonts w:cs="Arial"/>
          <w:szCs w:val="24"/>
        </w:rPr>
        <w:t xml:space="preserve">, at a level of detail proportionate to the </w:t>
      </w:r>
      <w:r w:rsidR="009A6C38" w:rsidRPr="00397CF5">
        <w:rPr>
          <w:rFonts w:cs="Arial"/>
          <w:szCs w:val="24"/>
        </w:rPr>
        <w:t>insurer's</w:t>
      </w:r>
      <w:r w:rsidR="00576DDD" w:rsidRPr="00397CF5">
        <w:rPr>
          <w:rFonts w:cs="Arial"/>
          <w:szCs w:val="24"/>
        </w:rPr>
        <w:t xml:space="preserve"> nature, scale and complexity.</w:t>
      </w:r>
      <w:r w:rsidR="00FA12BE" w:rsidRPr="00397CF5">
        <w:rPr>
          <w:rFonts w:cs="Arial"/>
          <w:szCs w:val="24"/>
        </w:rPr>
        <w:t xml:space="preserve"> </w:t>
      </w:r>
    </w:p>
    <w:p w14:paraId="22BD620C" w14:textId="7B1E51E5" w:rsidR="00E05A52" w:rsidRPr="00397CF5" w:rsidRDefault="00616FE5" w:rsidP="00ED58FE">
      <w:pPr>
        <w:pStyle w:val="ListParagraph"/>
        <w:numPr>
          <w:ilvl w:val="0"/>
          <w:numId w:val="32"/>
        </w:numPr>
        <w:ind w:left="2041" w:hanging="510"/>
        <w:jc w:val="both"/>
        <w:rPr>
          <w:rFonts w:cs="Arial"/>
          <w:szCs w:val="24"/>
        </w:rPr>
      </w:pPr>
      <w:r w:rsidRPr="00397CF5">
        <w:rPr>
          <w:rFonts w:cs="Arial"/>
          <w:szCs w:val="24"/>
        </w:rPr>
        <w:t>Risk appetite</w:t>
      </w:r>
      <w:r w:rsidR="00B52C6B" w:rsidRPr="00397CF5">
        <w:rPr>
          <w:rFonts w:cs="Arial"/>
          <w:szCs w:val="24"/>
        </w:rPr>
        <w:t xml:space="preserve"> in relation to capital</w:t>
      </w:r>
      <w:r w:rsidRPr="00397CF5">
        <w:rPr>
          <w:rFonts w:cs="Arial"/>
          <w:szCs w:val="24"/>
        </w:rPr>
        <w:t xml:space="preserve">: Insurers must disclose </w:t>
      </w:r>
      <w:r w:rsidR="007E2842" w:rsidRPr="00397CF5">
        <w:rPr>
          <w:rFonts w:cs="Arial"/>
          <w:szCs w:val="24"/>
        </w:rPr>
        <w:t xml:space="preserve">a description of the </w:t>
      </w:r>
      <w:r w:rsidR="009A6C38" w:rsidRPr="00397CF5">
        <w:rPr>
          <w:rFonts w:cs="Arial"/>
          <w:szCs w:val="24"/>
        </w:rPr>
        <w:t>insurer's</w:t>
      </w:r>
      <w:r w:rsidR="007E2842" w:rsidRPr="00397CF5">
        <w:rPr>
          <w:rFonts w:cs="Arial"/>
          <w:szCs w:val="24"/>
        </w:rPr>
        <w:t xml:space="preserve"> risk appetite to the extent that it is relevant to the maintenance of adequate capital, including how the </w:t>
      </w:r>
      <w:r w:rsidR="009A6C38" w:rsidRPr="00397CF5">
        <w:rPr>
          <w:rFonts w:cs="Arial"/>
          <w:szCs w:val="24"/>
        </w:rPr>
        <w:t>insurer's</w:t>
      </w:r>
      <w:r w:rsidR="007E2842" w:rsidRPr="00397CF5">
        <w:rPr>
          <w:rFonts w:cs="Arial"/>
          <w:szCs w:val="24"/>
        </w:rPr>
        <w:t xml:space="preserve"> tolerance for key risks informs its capital target and buffers. </w:t>
      </w:r>
      <w:r w:rsidR="0092624A" w:rsidRPr="00397CF5">
        <w:rPr>
          <w:rFonts w:cs="Arial"/>
          <w:szCs w:val="24"/>
        </w:rPr>
        <w:t xml:space="preserve">The disclosure must be commensurate with the materiality </w:t>
      </w:r>
      <w:r w:rsidR="009A6C38" w:rsidRPr="00397CF5">
        <w:rPr>
          <w:rFonts w:cs="Arial"/>
          <w:szCs w:val="24"/>
        </w:rPr>
        <w:t>of</w:t>
      </w:r>
      <w:r w:rsidR="0092624A" w:rsidRPr="00397CF5">
        <w:rPr>
          <w:rFonts w:cs="Arial"/>
          <w:szCs w:val="24"/>
        </w:rPr>
        <w:t xml:space="preserve"> the risks.</w:t>
      </w:r>
      <w:r w:rsidRPr="00397CF5">
        <w:rPr>
          <w:rFonts w:cs="Arial"/>
          <w:szCs w:val="24"/>
        </w:rPr>
        <w:t xml:space="preserve"> </w:t>
      </w:r>
    </w:p>
    <w:p w14:paraId="3F2084BB" w14:textId="77777777" w:rsidR="00286BEA" w:rsidRPr="00A8576F" w:rsidRDefault="00286BEA" w:rsidP="0045726B">
      <w:pPr>
        <w:pStyle w:val="ListParagraph"/>
        <w:ind w:left="1701"/>
        <w:jc w:val="both"/>
        <w:rPr>
          <w:rFonts w:cs="Arial"/>
          <w:szCs w:val="24"/>
        </w:rPr>
      </w:pPr>
    </w:p>
    <w:p w14:paraId="1AC15B45" w14:textId="27398039" w:rsidR="00977469" w:rsidRDefault="00977469" w:rsidP="00ED58FE">
      <w:pPr>
        <w:pStyle w:val="ListParagraph"/>
        <w:numPr>
          <w:ilvl w:val="0"/>
          <w:numId w:val="7"/>
        </w:numPr>
        <w:ind w:left="1531" w:hanging="170"/>
        <w:jc w:val="both"/>
        <w:rPr>
          <w:rFonts w:cs="Arial"/>
          <w:szCs w:val="24"/>
        </w:rPr>
      </w:pPr>
      <w:r w:rsidRPr="00A8576F">
        <w:rPr>
          <w:rFonts w:cs="Arial"/>
          <w:b/>
          <w:bCs/>
          <w:szCs w:val="24"/>
        </w:rPr>
        <w:t>Quantitative capital requirements disclosures</w:t>
      </w:r>
    </w:p>
    <w:p w14:paraId="698C7E21" w14:textId="77777777" w:rsidR="000D70C5" w:rsidRPr="00A8576F" w:rsidRDefault="000D70C5" w:rsidP="000D70C5">
      <w:pPr>
        <w:pStyle w:val="ListParagraph"/>
        <w:ind w:left="1800"/>
        <w:jc w:val="both"/>
        <w:rPr>
          <w:rFonts w:cs="Arial"/>
          <w:szCs w:val="24"/>
        </w:rPr>
      </w:pPr>
    </w:p>
    <w:p w14:paraId="5D8AA894" w14:textId="538A2047" w:rsidR="00977469" w:rsidRPr="00A8576F" w:rsidRDefault="005D46FA" w:rsidP="00ED58FE">
      <w:pPr>
        <w:pStyle w:val="ListParagraph"/>
        <w:numPr>
          <w:ilvl w:val="0"/>
          <w:numId w:val="33"/>
        </w:numPr>
        <w:ind w:left="2041" w:hanging="510"/>
        <w:jc w:val="both"/>
        <w:rPr>
          <w:rFonts w:cs="Arial"/>
          <w:szCs w:val="24"/>
        </w:rPr>
      </w:pPr>
      <w:r w:rsidRPr="00A8576F">
        <w:rPr>
          <w:rFonts w:cs="Arial"/>
          <w:szCs w:val="24"/>
        </w:rPr>
        <w:t xml:space="preserve">Regulatory capital ratios: </w:t>
      </w:r>
      <w:r w:rsidR="000D70C5">
        <w:rPr>
          <w:rFonts w:cs="Arial"/>
          <w:szCs w:val="24"/>
        </w:rPr>
        <w:t>Insurers</w:t>
      </w:r>
      <w:r w:rsidRPr="00A8576F">
        <w:rPr>
          <w:rFonts w:cs="Arial"/>
          <w:szCs w:val="24"/>
        </w:rPr>
        <w:t xml:space="preserve"> must disclose their SCR and MCR, including coverage ratios.</w:t>
      </w:r>
    </w:p>
    <w:p w14:paraId="59C8BCA0" w14:textId="77777777" w:rsidR="00183B70" w:rsidRDefault="00183B70" w:rsidP="0045726B">
      <w:pPr>
        <w:jc w:val="both"/>
        <w:rPr>
          <w:rFonts w:cs="Arial"/>
          <w:szCs w:val="24"/>
        </w:rPr>
      </w:pPr>
    </w:p>
    <w:p w14:paraId="6544BDB7" w14:textId="77777777" w:rsidR="00183B70" w:rsidRPr="00A8576F" w:rsidRDefault="00183B70" w:rsidP="0045726B">
      <w:pPr>
        <w:jc w:val="both"/>
        <w:rPr>
          <w:rFonts w:cs="Arial"/>
          <w:szCs w:val="24"/>
        </w:rPr>
      </w:pPr>
    </w:p>
    <w:p w14:paraId="7850BBB0" w14:textId="77777777" w:rsidR="00854300" w:rsidRDefault="00854300" w:rsidP="00ED58FE">
      <w:pPr>
        <w:pStyle w:val="Heading2"/>
        <w:numPr>
          <w:ilvl w:val="2"/>
          <w:numId w:val="16"/>
        </w:numPr>
        <w:ind w:left="851" w:hanging="851"/>
        <w:rPr>
          <w:rFonts w:cs="Arial"/>
          <w:b/>
          <w:bCs/>
          <w:szCs w:val="24"/>
        </w:rPr>
      </w:pPr>
      <w:r w:rsidRPr="00A8576F">
        <w:rPr>
          <w:rFonts w:cs="Arial"/>
          <w:b/>
          <w:bCs/>
          <w:szCs w:val="24"/>
        </w:rPr>
        <w:lastRenderedPageBreak/>
        <w:t xml:space="preserve">Financial performance </w:t>
      </w:r>
    </w:p>
    <w:p w14:paraId="65BAE02D" w14:textId="77777777" w:rsidR="00397CF5" w:rsidRDefault="00397CF5" w:rsidP="00397CF5">
      <w:pPr>
        <w:pStyle w:val="ListParagraph"/>
        <w:ind w:left="851"/>
        <w:jc w:val="both"/>
        <w:rPr>
          <w:rFonts w:cs="Arial"/>
          <w:b/>
          <w:bCs/>
          <w:szCs w:val="24"/>
        </w:rPr>
      </w:pPr>
    </w:p>
    <w:p w14:paraId="7FD17C15" w14:textId="63F8DE07" w:rsidR="000D70C5" w:rsidRPr="008540EE" w:rsidRDefault="00502D4C" w:rsidP="00ED58FE">
      <w:pPr>
        <w:pStyle w:val="ListParagraph"/>
        <w:numPr>
          <w:ilvl w:val="3"/>
          <w:numId w:val="35"/>
        </w:numPr>
        <w:ind w:left="1208" w:hanging="357"/>
        <w:jc w:val="both"/>
        <w:rPr>
          <w:rFonts w:cs="Arial"/>
          <w:b/>
          <w:bCs/>
          <w:szCs w:val="24"/>
        </w:rPr>
      </w:pPr>
      <w:r w:rsidRPr="008C2531">
        <w:rPr>
          <w:rFonts w:cs="Arial"/>
          <w:szCs w:val="24"/>
        </w:rPr>
        <w:t xml:space="preserve">Insurers must publicly disclose sufficient qualitative and quantitative information in respect of their financial </w:t>
      </w:r>
      <w:r w:rsidR="00F21DB9" w:rsidRPr="008C2531">
        <w:rPr>
          <w:rFonts w:cs="Arial"/>
          <w:szCs w:val="24"/>
        </w:rPr>
        <w:t xml:space="preserve">performance </w:t>
      </w:r>
      <w:r w:rsidR="00F2064B" w:rsidRPr="008C2531">
        <w:rPr>
          <w:rFonts w:cs="Arial"/>
          <w:szCs w:val="24"/>
        </w:rPr>
        <w:t xml:space="preserve">over the reporting period </w:t>
      </w:r>
      <w:r w:rsidR="00F21DB9" w:rsidRPr="008C2531">
        <w:rPr>
          <w:rFonts w:cs="Arial"/>
          <w:szCs w:val="24"/>
        </w:rPr>
        <w:t xml:space="preserve">to enable stakeholders to assess the </w:t>
      </w:r>
      <w:r w:rsidR="000D70C5">
        <w:rPr>
          <w:rFonts w:cs="Arial"/>
          <w:szCs w:val="24"/>
        </w:rPr>
        <w:t>insurer's</w:t>
      </w:r>
      <w:r w:rsidR="00F21DB9" w:rsidRPr="008C2531">
        <w:rPr>
          <w:rFonts w:cs="Arial"/>
          <w:szCs w:val="24"/>
        </w:rPr>
        <w:t xml:space="preserve"> profitability, sources of earnings and overall financial performance</w:t>
      </w:r>
      <w:r w:rsidR="00C1122C" w:rsidRPr="008C2531">
        <w:rPr>
          <w:rFonts w:cs="Arial"/>
          <w:szCs w:val="24"/>
        </w:rPr>
        <w:t xml:space="preserve">, including understanding how </w:t>
      </w:r>
      <w:r w:rsidR="00222203" w:rsidRPr="008C2531">
        <w:rPr>
          <w:rFonts w:cs="Arial"/>
          <w:szCs w:val="24"/>
        </w:rPr>
        <w:t>profit emerges from new and in-force insurance policies</w:t>
      </w:r>
      <w:r w:rsidR="00F21DB9" w:rsidRPr="008C2531">
        <w:rPr>
          <w:rFonts w:cs="Arial"/>
          <w:szCs w:val="24"/>
        </w:rPr>
        <w:t>.</w:t>
      </w:r>
    </w:p>
    <w:p w14:paraId="671B961E" w14:textId="6790CFAA" w:rsidR="000B7D2C" w:rsidRPr="00397CF5" w:rsidRDefault="00EE580B" w:rsidP="00ED58FE">
      <w:pPr>
        <w:pStyle w:val="ListParagraph"/>
        <w:numPr>
          <w:ilvl w:val="3"/>
          <w:numId w:val="35"/>
        </w:numPr>
        <w:ind w:left="1208" w:hanging="357"/>
        <w:jc w:val="both"/>
        <w:rPr>
          <w:rFonts w:cs="Arial"/>
          <w:b/>
          <w:bCs/>
          <w:szCs w:val="24"/>
        </w:rPr>
      </w:pPr>
      <w:r w:rsidRPr="008C2531">
        <w:rPr>
          <w:rFonts w:cs="Arial"/>
          <w:szCs w:val="24"/>
        </w:rPr>
        <w:t>At a minimum, insurers must disclose:</w:t>
      </w:r>
    </w:p>
    <w:p w14:paraId="42038A47" w14:textId="77083C64" w:rsidR="000B7D2C" w:rsidRDefault="002A5E75" w:rsidP="00ED58FE">
      <w:pPr>
        <w:pStyle w:val="ListParagraph"/>
        <w:numPr>
          <w:ilvl w:val="0"/>
          <w:numId w:val="34"/>
        </w:numPr>
        <w:ind w:left="1531" w:hanging="170"/>
        <w:jc w:val="both"/>
        <w:rPr>
          <w:rFonts w:cs="Arial"/>
          <w:szCs w:val="24"/>
        </w:rPr>
      </w:pPr>
      <w:r w:rsidRPr="000B7D2C">
        <w:rPr>
          <w:rFonts w:cs="Arial"/>
          <w:szCs w:val="24"/>
        </w:rPr>
        <w:t xml:space="preserve">Overall financial performance (quantitative and qualitative): Insurers </w:t>
      </w:r>
      <w:r w:rsidRPr="009E2763">
        <w:rPr>
          <w:rFonts w:cs="Arial"/>
          <w:szCs w:val="24"/>
        </w:rPr>
        <w:t>must disclose</w:t>
      </w:r>
      <w:r w:rsidR="00732A35" w:rsidRPr="009E2763">
        <w:rPr>
          <w:rFonts w:cs="Arial"/>
          <w:szCs w:val="24"/>
        </w:rPr>
        <w:t xml:space="preserve"> </w:t>
      </w:r>
      <w:r w:rsidRPr="009E2763">
        <w:rPr>
          <w:rFonts w:cs="Arial"/>
          <w:szCs w:val="24"/>
        </w:rPr>
        <w:t>quantitative</w:t>
      </w:r>
      <w:r w:rsidR="00732A35" w:rsidRPr="009E2763">
        <w:rPr>
          <w:rFonts w:cs="Arial"/>
          <w:szCs w:val="24"/>
        </w:rPr>
        <w:t xml:space="preserve"> information on their overall financial </w:t>
      </w:r>
      <w:r w:rsidR="0084006D" w:rsidRPr="009E2763">
        <w:rPr>
          <w:rFonts w:cs="Arial"/>
          <w:szCs w:val="24"/>
        </w:rPr>
        <w:t>p</w:t>
      </w:r>
      <w:r w:rsidR="00732A35" w:rsidRPr="009E2763">
        <w:rPr>
          <w:rFonts w:cs="Arial"/>
          <w:szCs w:val="24"/>
        </w:rPr>
        <w:t xml:space="preserve">erformance for the reporting period, including </w:t>
      </w:r>
      <w:r w:rsidR="00173046" w:rsidRPr="009E2763">
        <w:rPr>
          <w:rFonts w:cs="Arial"/>
          <w:szCs w:val="24"/>
        </w:rPr>
        <w:t>profit</w:t>
      </w:r>
      <w:r w:rsidR="00732A35" w:rsidRPr="009E2763">
        <w:rPr>
          <w:rFonts w:cs="Arial"/>
          <w:szCs w:val="24"/>
        </w:rPr>
        <w:t xml:space="preserve"> </w:t>
      </w:r>
      <w:r w:rsidR="00B62D9D" w:rsidRPr="009E2763">
        <w:rPr>
          <w:rFonts w:cs="Arial"/>
          <w:szCs w:val="24"/>
        </w:rPr>
        <w:t xml:space="preserve">or loss and other </w:t>
      </w:r>
      <w:r w:rsidR="00173046" w:rsidRPr="009E2763">
        <w:rPr>
          <w:rFonts w:cs="Arial"/>
          <w:szCs w:val="24"/>
        </w:rPr>
        <w:t>material</w:t>
      </w:r>
      <w:r w:rsidR="00B62D9D" w:rsidRPr="009E2763">
        <w:rPr>
          <w:rFonts w:cs="Arial"/>
          <w:szCs w:val="24"/>
        </w:rPr>
        <w:t xml:space="preserve"> components </w:t>
      </w:r>
      <w:r w:rsidR="00F21919" w:rsidRPr="009E2763">
        <w:rPr>
          <w:rFonts w:cs="Arial"/>
          <w:szCs w:val="24"/>
        </w:rPr>
        <w:t>o</w:t>
      </w:r>
      <w:r w:rsidR="00B62D9D" w:rsidRPr="009E2763">
        <w:rPr>
          <w:rFonts w:cs="Arial"/>
          <w:szCs w:val="24"/>
        </w:rPr>
        <w:t xml:space="preserve">f income and expenses, together with a qualitative </w:t>
      </w:r>
      <w:r w:rsidR="00173046" w:rsidRPr="009E2763">
        <w:rPr>
          <w:rFonts w:cs="Arial"/>
          <w:szCs w:val="24"/>
        </w:rPr>
        <w:t>explanation</w:t>
      </w:r>
      <w:r w:rsidR="00B62D9D" w:rsidRPr="009E2763">
        <w:rPr>
          <w:rFonts w:cs="Arial"/>
          <w:szCs w:val="24"/>
        </w:rPr>
        <w:t xml:space="preserve"> of the key drivers of financial performance.</w:t>
      </w:r>
      <w:r w:rsidRPr="009E2763">
        <w:rPr>
          <w:rFonts w:cs="Arial"/>
          <w:szCs w:val="24"/>
        </w:rPr>
        <w:t xml:space="preserve"> </w:t>
      </w:r>
    </w:p>
    <w:p w14:paraId="56F05B01" w14:textId="5D6A8BC8" w:rsidR="000B7D2C" w:rsidRPr="00E312CD" w:rsidRDefault="00AB4507" w:rsidP="00ED58FE">
      <w:pPr>
        <w:pStyle w:val="ListParagraph"/>
        <w:numPr>
          <w:ilvl w:val="0"/>
          <w:numId w:val="34"/>
        </w:numPr>
        <w:ind w:left="1531" w:hanging="170"/>
        <w:jc w:val="both"/>
        <w:rPr>
          <w:rFonts w:cs="Arial"/>
          <w:szCs w:val="24"/>
        </w:rPr>
      </w:pPr>
      <w:r w:rsidRPr="00E312CD">
        <w:rPr>
          <w:rFonts w:cs="Arial"/>
          <w:szCs w:val="24"/>
        </w:rPr>
        <w:t xml:space="preserve">Underwriting performance (quantitative and qualitative): </w:t>
      </w:r>
      <w:r w:rsidR="00F871B1" w:rsidRPr="00E312CD">
        <w:rPr>
          <w:rFonts w:cs="Arial"/>
          <w:szCs w:val="24"/>
        </w:rPr>
        <w:t>Insurers must disclose information on underwriting performance over the reporting period, including earned premiums, claims incurred and the resulting underwriting</w:t>
      </w:r>
      <w:r w:rsidR="000D262B" w:rsidRPr="00E312CD">
        <w:rPr>
          <w:rFonts w:cs="Arial"/>
          <w:szCs w:val="24"/>
        </w:rPr>
        <w:t>, together with a qualitative discussion of material factors influencing underwriting performance</w:t>
      </w:r>
      <w:r w:rsidR="00D558B2" w:rsidRPr="00E312CD">
        <w:rPr>
          <w:rFonts w:cs="Arial"/>
          <w:szCs w:val="24"/>
        </w:rPr>
        <w:t xml:space="preserve"> and how these results contribute</w:t>
      </w:r>
      <w:r w:rsidR="0098395A" w:rsidRPr="00E312CD">
        <w:rPr>
          <w:rFonts w:cs="Arial"/>
          <w:szCs w:val="24"/>
        </w:rPr>
        <w:t xml:space="preserve"> to profit emerging from new and in-force insurance policies</w:t>
      </w:r>
      <w:r w:rsidR="000D262B" w:rsidRPr="00E312CD">
        <w:rPr>
          <w:rFonts w:cs="Arial"/>
          <w:szCs w:val="24"/>
        </w:rPr>
        <w:t>.</w:t>
      </w:r>
    </w:p>
    <w:p w14:paraId="2F83D416" w14:textId="5635FAAF" w:rsidR="00205174" w:rsidRPr="00397CF5" w:rsidRDefault="00D014DA" w:rsidP="00ED58FE">
      <w:pPr>
        <w:pStyle w:val="ListParagraph"/>
        <w:numPr>
          <w:ilvl w:val="0"/>
          <w:numId w:val="34"/>
        </w:numPr>
        <w:ind w:left="1531" w:hanging="170"/>
        <w:jc w:val="both"/>
        <w:rPr>
          <w:rFonts w:cs="Arial"/>
          <w:szCs w:val="24"/>
        </w:rPr>
      </w:pPr>
      <w:r w:rsidRPr="000B7D2C">
        <w:rPr>
          <w:rFonts w:cs="Arial"/>
          <w:szCs w:val="24"/>
        </w:rPr>
        <w:t>Sources of earnings: Insurers must disclose information on the main source</w:t>
      </w:r>
      <w:r w:rsidR="0004656B" w:rsidRPr="000B7D2C">
        <w:rPr>
          <w:rFonts w:cs="Arial"/>
          <w:szCs w:val="24"/>
        </w:rPr>
        <w:t xml:space="preserve">s of earnings for the reporting period, including, where relevant, earnings from insurance activities and investment activities. </w:t>
      </w:r>
      <w:r w:rsidR="0062707F" w:rsidRPr="000B7D2C">
        <w:rPr>
          <w:rFonts w:cs="Arial"/>
          <w:szCs w:val="24"/>
        </w:rPr>
        <w:t>For life insurers, th</w:t>
      </w:r>
      <w:r w:rsidR="00D67E8D" w:rsidRPr="000B7D2C">
        <w:rPr>
          <w:rFonts w:cs="Arial"/>
          <w:szCs w:val="24"/>
        </w:rPr>
        <w:t xml:space="preserve">e disclosures must include </w:t>
      </w:r>
      <w:r w:rsidR="0062707F" w:rsidRPr="000B7D2C">
        <w:rPr>
          <w:rFonts w:cs="Arial"/>
          <w:szCs w:val="24"/>
        </w:rPr>
        <w:t xml:space="preserve">an explanation of the principal sources of earnings relevant to </w:t>
      </w:r>
      <w:r w:rsidR="00DC44E9" w:rsidRPr="000B7D2C">
        <w:rPr>
          <w:rFonts w:cs="Arial"/>
          <w:szCs w:val="24"/>
        </w:rPr>
        <w:t xml:space="preserve">the </w:t>
      </w:r>
      <w:r w:rsidR="0062707F" w:rsidRPr="000B7D2C">
        <w:rPr>
          <w:rFonts w:cs="Arial"/>
          <w:szCs w:val="24"/>
        </w:rPr>
        <w:t xml:space="preserve">life insurance </w:t>
      </w:r>
      <w:r w:rsidR="00991596" w:rsidRPr="000B7D2C">
        <w:rPr>
          <w:rFonts w:cs="Arial"/>
          <w:szCs w:val="24"/>
        </w:rPr>
        <w:t xml:space="preserve">policies, highlighting how these earnings arise from </w:t>
      </w:r>
      <w:r w:rsidR="007617AF" w:rsidRPr="000B7D2C">
        <w:rPr>
          <w:rFonts w:cs="Arial"/>
          <w:szCs w:val="24"/>
        </w:rPr>
        <w:t xml:space="preserve">both </w:t>
      </w:r>
      <w:r w:rsidR="00991596" w:rsidRPr="000B7D2C">
        <w:rPr>
          <w:rFonts w:cs="Arial"/>
          <w:szCs w:val="24"/>
        </w:rPr>
        <w:t>new and in-force policies.</w:t>
      </w:r>
      <w:r w:rsidR="00CD6813" w:rsidRPr="000B7D2C">
        <w:rPr>
          <w:rFonts w:cs="Arial"/>
          <w:szCs w:val="24"/>
        </w:rPr>
        <w:t xml:space="preserve"> Where material, disclosures must also include the impact of experience gains and losses, management actions, and changes</w:t>
      </w:r>
      <w:r w:rsidR="00104C8F" w:rsidRPr="000B7D2C">
        <w:rPr>
          <w:rFonts w:cs="Arial"/>
          <w:szCs w:val="24"/>
        </w:rPr>
        <w:t xml:space="preserve"> in</w:t>
      </w:r>
      <w:r w:rsidR="00371E69">
        <w:rPr>
          <w:rFonts w:cs="Arial"/>
          <w:szCs w:val="24"/>
        </w:rPr>
        <w:t xml:space="preserve"> key</w:t>
      </w:r>
      <w:r w:rsidR="00104C8F" w:rsidRPr="000B7D2C">
        <w:rPr>
          <w:rFonts w:cs="Arial"/>
          <w:szCs w:val="24"/>
        </w:rPr>
        <w:t xml:space="preserve"> assumptions on earnings.</w:t>
      </w:r>
      <w:r w:rsidR="00CD6813" w:rsidRPr="000B7D2C">
        <w:rPr>
          <w:rFonts w:cs="Arial"/>
          <w:szCs w:val="24"/>
        </w:rPr>
        <w:t xml:space="preserve"> </w:t>
      </w:r>
    </w:p>
    <w:p w14:paraId="2DAE6DD0" w14:textId="3633BE0A" w:rsidR="00205174" w:rsidRPr="00397CF5" w:rsidRDefault="004A2200" w:rsidP="00ED58FE">
      <w:pPr>
        <w:pStyle w:val="ListParagraph"/>
        <w:numPr>
          <w:ilvl w:val="0"/>
          <w:numId w:val="34"/>
        </w:numPr>
        <w:ind w:left="1531" w:hanging="170"/>
        <w:jc w:val="both"/>
        <w:rPr>
          <w:rFonts w:cs="Arial"/>
          <w:szCs w:val="24"/>
        </w:rPr>
      </w:pPr>
      <w:r w:rsidRPr="000B7D2C">
        <w:rPr>
          <w:rFonts w:cs="Arial"/>
          <w:szCs w:val="24"/>
        </w:rPr>
        <w:t xml:space="preserve">Investment performance (qualitative and quantitative): Insurers must disclose information on investment </w:t>
      </w:r>
      <w:r w:rsidR="00431770" w:rsidRPr="000B7D2C">
        <w:rPr>
          <w:rFonts w:cs="Arial"/>
          <w:szCs w:val="24"/>
        </w:rPr>
        <w:t>performance</w:t>
      </w:r>
      <w:r w:rsidRPr="000B7D2C">
        <w:rPr>
          <w:rFonts w:cs="Arial"/>
          <w:szCs w:val="24"/>
        </w:rPr>
        <w:t xml:space="preserve"> over the reporting period, including</w:t>
      </w:r>
      <w:r w:rsidR="00431770" w:rsidRPr="000B7D2C">
        <w:rPr>
          <w:rFonts w:cs="Arial"/>
          <w:szCs w:val="24"/>
        </w:rPr>
        <w:t xml:space="preserve"> investment income and gains or losses, together with a qualitative explanation of material factors affecting investment results</w:t>
      </w:r>
      <w:r w:rsidR="00A145CF" w:rsidRPr="000B7D2C">
        <w:rPr>
          <w:rFonts w:cs="Arial"/>
          <w:szCs w:val="24"/>
        </w:rPr>
        <w:t xml:space="preserve"> and how these returns contribute</w:t>
      </w:r>
      <w:r w:rsidR="00564D34" w:rsidRPr="000B7D2C">
        <w:rPr>
          <w:rFonts w:cs="Arial"/>
          <w:szCs w:val="24"/>
        </w:rPr>
        <w:t xml:space="preserve"> to the profit emerging from new and in-force insurance policies</w:t>
      </w:r>
      <w:r w:rsidR="00431770" w:rsidRPr="000B7D2C">
        <w:rPr>
          <w:rFonts w:cs="Arial"/>
          <w:szCs w:val="24"/>
        </w:rPr>
        <w:t>.</w:t>
      </w:r>
    </w:p>
    <w:p w14:paraId="253F3380" w14:textId="426D1DBE" w:rsidR="00205174" w:rsidRPr="00397CF5" w:rsidRDefault="00110554" w:rsidP="00ED58FE">
      <w:pPr>
        <w:pStyle w:val="ListParagraph"/>
        <w:numPr>
          <w:ilvl w:val="0"/>
          <w:numId w:val="34"/>
        </w:numPr>
        <w:ind w:left="1531" w:hanging="170"/>
        <w:jc w:val="both"/>
        <w:rPr>
          <w:rFonts w:cs="Arial"/>
          <w:szCs w:val="24"/>
        </w:rPr>
      </w:pPr>
      <w:r w:rsidRPr="000B7D2C">
        <w:rPr>
          <w:rFonts w:cs="Arial"/>
          <w:szCs w:val="24"/>
        </w:rPr>
        <w:t xml:space="preserve">Material items affecting financial </w:t>
      </w:r>
      <w:r w:rsidR="000C7CEC" w:rsidRPr="000B7D2C">
        <w:rPr>
          <w:rFonts w:cs="Arial"/>
          <w:szCs w:val="24"/>
        </w:rPr>
        <w:t>performance (</w:t>
      </w:r>
      <w:r w:rsidRPr="000B7D2C">
        <w:rPr>
          <w:rFonts w:cs="Arial"/>
          <w:szCs w:val="24"/>
        </w:rPr>
        <w:t xml:space="preserve">qualitative and quantitative): Insurers must disclose the impact of material items affecting financial performance during </w:t>
      </w:r>
      <w:r w:rsidR="00DE571C" w:rsidRPr="000B7D2C">
        <w:rPr>
          <w:rFonts w:cs="Arial"/>
          <w:szCs w:val="24"/>
        </w:rPr>
        <w:t>the reporting period, including, where applicable, the amortisation or impairment of intangible assets, to the extent that such items</w:t>
      </w:r>
      <w:r w:rsidR="009932C8" w:rsidRPr="000B7D2C">
        <w:rPr>
          <w:rFonts w:cs="Arial"/>
          <w:szCs w:val="24"/>
        </w:rPr>
        <w:t xml:space="preserve"> materially affect financial performance.</w:t>
      </w:r>
    </w:p>
    <w:p w14:paraId="10C920D6" w14:textId="33B63ACE" w:rsidR="00205174" w:rsidRPr="00397CF5" w:rsidRDefault="009932C8" w:rsidP="00ED58FE">
      <w:pPr>
        <w:pStyle w:val="ListParagraph"/>
        <w:numPr>
          <w:ilvl w:val="0"/>
          <w:numId w:val="34"/>
        </w:numPr>
        <w:ind w:left="1531" w:hanging="170"/>
        <w:jc w:val="both"/>
        <w:rPr>
          <w:rFonts w:cs="Arial"/>
          <w:szCs w:val="24"/>
        </w:rPr>
      </w:pPr>
      <w:r w:rsidRPr="000B7D2C">
        <w:rPr>
          <w:rFonts w:cs="Arial"/>
          <w:szCs w:val="24"/>
        </w:rPr>
        <w:t>Significant loss events (qualitative and quantitative):</w:t>
      </w:r>
      <w:r w:rsidR="00900E94" w:rsidRPr="00A8576F">
        <w:rPr>
          <w:rFonts w:cs="Arial"/>
          <w:b/>
          <w:bCs/>
          <w:szCs w:val="24"/>
        </w:rPr>
        <w:t xml:space="preserve"> </w:t>
      </w:r>
      <w:r w:rsidR="00900E94" w:rsidRPr="00A8576F">
        <w:rPr>
          <w:rFonts w:cs="Arial"/>
          <w:szCs w:val="24"/>
        </w:rPr>
        <w:t>Insurers must disclose gross and net amounts of significant loss events incurred during the reporting period, including catas</w:t>
      </w:r>
      <w:r w:rsidR="000C7CEC" w:rsidRPr="00A8576F">
        <w:rPr>
          <w:rFonts w:cs="Arial"/>
          <w:szCs w:val="24"/>
        </w:rPr>
        <w:t xml:space="preserve">trophe losses where applicable, together with a qualitative explanation of </w:t>
      </w:r>
      <w:r w:rsidR="00BB4401" w:rsidRPr="00A8576F">
        <w:rPr>
          <w:rFonts w:cs="Arial"/>
          <w:szCs w:val="24"/>
        </w:rPr>
        <w:t xml:space="preserve">overall </w:t>
      </w:r>
      <w:r w:rsidR="000C7CEC" w:rsidRPr="00A8576F">
        <w:rPr>
          <w:rFonts w:cs="Arial"/>
          <w:szCs w:val="24"/>
        </w:rPr>
        <w:t>financial performance</w:t>
      </w:r>
      <w:r w:rsidR="005E0D4B" w:rsidRPr="00A8576F">
        <w:rPr>
          <w:rFonts w:cs="Arial"/>
          <w:szCs w:val="24"/>
        </w:rPr>
        <w:t xml:space="preserve"> and profit derived from insurance policies</w:t>
      </w:r>
      <w:r w:rsidR="000C7CEC" w:rsidRPr="00A8576F">
        <w:rPr>
          <w:rFonts w:cs="Arial"/>
          <w:szCs w:val="24"/>
        </w:rPr>
        <w:t>.</w:t>
      </w:r>
    </w:p>
    <w:p w14:paraId="6546611F" w14:textId="5B815E4F" w:rsidR="000C7CEC" w:rsidRPr="00A8576F" w:rsidRDefault="00754141" w:rsidP="00ED58FE">
      <w:pPr>
        <w:pStyle w:val="ListParagraph"/>
        <w:numPr>
          <w:ilvl w:val="0"/>
          <w:numId w:val="34"/>
        </w:numPr>
        <w:ind w:left="1531" w:hanging="170"/>
        <w:jc w:val="both"/>
        <w:rPr>
          <w:rFonts w:cs="Arial"/>
          <w:szCs w:val="24"/>
        </w:rPr>
      </w:pPr>
      <w:r w:rsidRPr="000B7D2C">
        <w:rPr>
          <w:rFonts w:cs="Arial"/>
          <w:szCs w:val="24"/>
        </w:rPr>
        <w:t>Comparative</w:t>
      </w:r>
      <w:r w:rsidR="005001A8" w:rsidRPr="000B7D2C">
        <w:rPr>
          <w:rFonts w:cs="Arial"/>
          <w:szCs w:val="24"/>
        </w:rPr>
        <w:t xml:space="preserve"> and explanatory context (qualitative</w:t>
      </w:r>
      <w:r w:rsidR="005001A8" w:rsidRPr="00872AC7">
        <w:rPr>
          <w:rFonts w:cs="Arial"/>
          <w:szCs w:val="24"/>
        </w:rPr>
        <w:t>):</w:t>
      </w:r>
      <w:r w:rsidR="005001A8" w:rsidRPr="00A8576F">
        <w:rPr>
          <w:rFonts w:cs="Arial"/>
          <w:szCs w:val="24"/>
        </w:rPr>
        <w:t xml:space="preserve"> Insurers must provide a qualitative explanation of</w:t>
      </w:r>
      <w:r w:rsidR="005E7AB3" w:rsidRPr="00A8576F">
        <w:rPr>
          <w:rFonts w:cs="Arial"/>
          <w:szCs w:val="24"/>
        </w:rPr>
        <w:t xml:space="preserve"> material changes in financial performance compared to the previous reporting period, including key trends or one</w:t>
      </w:r>
      <w:r w:rsidR="00035988" w:rsidRPr="00A8576F">
        <w:rPr>
          <w:rFonts w:cs="Arial"/>
          <w:szCs w:val="24"/>
        </w:rPr>
        <w:t>-off events that materially influenced results</w:t>
      </w:r>
      <w:r w:rsidR="00A55582" w:rsidRPr="00A8576F">
        <w:rPr>
          <w:rFonts w:cs="Arial"/>
          <w:szCs w:val="24"/>
        </w:rPr>
        <w:t xml:space="preserve"> and, where relevant, the </w:t>
      </w:r>
      <w:r w:rsidR="00E66A42" w:rsidRPr="00A8576F">
        <w:rPr>
          <w:rFonts w:cs="Arial"/>
          <w:szCs w:val="24"/>
        </w:rPr>
        <w:t>emergence</w:t>
      </w:r>
      <w:r w:rsidR="00A55582" w:rsidRPr="00A8576F">
        <w:rPr>
          <w:rFonts w:cs="Arial"/>
          <w:szCs w:val="24"/>
        </w:rPr>
        <w:t xml:space="preserve"> of profit from </w:t>
      </w:r>
      <w:r w:rsidR="00E66A42" w:rsidRPr="00A8576F">
        <w:rPr>
          <w:rFonts w:cs="Arial"/>
          <w:szCs w:val="24"/>
        </w:rPr>
        <w:t>insurance policies over time</w:t>
      </w:r>
      <w:r w:rsidR="00035988" w:rsidRPr="00A8576F">
        <w:rPr>
          <w:rFonts w:cs="Arial"/>
          <w:szCs w:val="24"/>
        </w:rPr>
        <w:t>.</w:t>
      </w:r>
    </w:p>
    <w:p w14:paraId="26913702" w14:textId="09BC31D5" w:rsidR="0015690B" w:rsidRPr="00DE51DA" w:rsidRDefault="0015690B" w:rsidP="00DE51DA">
      <w:pPr>
        <w:jc w:val="both"/>
        <w:rPr>
          <w:rFonts w:eastAsia="MS Mincho" w:cs="Arial"/>
          <w:bCs/>
          <w:szCs w:val="24"/>
        </w:rPr>
      </w:pPr>
      <w:bookmarkStart w:id="9" w:name="_Hlk219274843"/>
    </w:p>
    <w:p w14:paraId="0E94C0C8" w14:textId="77777777" w:rsidR="0015690B" w:rsidRDefault="0015690B" w:rsidP="004D5B05">
      <w:pPr>
        <w:pStyle w:val="Heading1"/>
      </w:pPr>
      <w:bookmarkStart w:id="10" w:name="_Toc138249788"/>
      <w:bookmarkStart w:id="11" w:name="_Toc212548491"/>
      <w:bookmarkStart w:id="12" w:name="_Toc221717260"/>
      <w:bookmarkEnd w:id="9"/>
      <w:r w:rsidRPr="00397CF5">
        <w:t>Short title</w:t>
      </w:r>
      <w:bookmarkEnd w:id="10"/>
      <w:bookmarkEnd w:id="11"/>
      <w:bookmarkEnd w:id="12"/>
      <w:r w:rsidRPr="00397CF5">
        <w:t xml:space="preserve"> </w:t>
      </w:r>
    </w:p>
    <w:p w14:paraId="6AB00886" w14:textId="77777777" w:rsidR="00DA017A" w:rsidRPr="00DA017A" w:rsidRDefault="00DA017A" w:rsidP="00DA017A"/>
    <w:p w14:paraId="02CDDA15" w14:textId="30B23AF8" w:rsidR="006C6435" w:rsidRPr="00A8576F" w:rsidRDefault="0015690B" w:rsidP="00D00BE9">
      <w:pPr>
        <w:pStyle w:val="Heading2"/>
      </w:pPr>
      <w:r w:rsidRPr="00DA017A">
        <w:rPr>
          <w:rFonts w:cs="Arial"/>
          <w:szCs w:val="24"/>
        </w:rPr>
        <w:t xml:space="preserve">This Standard shall be called </w:t>
      </w:r>
      <w:r w:rsidR="00853479" w:rsidRPr="00DA017A">
        <w:rPr>
          <w:rFonts w:cs="Arial"/>
          <w:szCs w:val="24"/>
        </w:rPr>
        <w:t>‘</w:t>
      </w:r>
      <w:r w:rsidR="00D66429" w:rsidRPr="00DA017A">
        <w:rPr>
          <w:rFonts w:cs="Arial"/>
          <w:szCs w:val="24"/>
        </w:rPr>
        <w:t xml:space="preserve">Prudential </w:t>
      </w:r>
      <w:r w:rsidRPr="00DA017A">
        <w:rPr>
          <w:rFonts w:cs="Arial"/>
          <w:szCs w:val="24"/>
        </w:rPr>
        <w:t xml:space="preserve">Standard </w:t>
      </w:r>
      <w:r w:rsidR="00317F6A" w:rsidRPr="00DA017A">
        <w:rPr>
          <w:rFonts w:cs="Arial"/>
          <w:szCs w:val="24"/>
        </w:rPr>
        <w:t>xxx</w:t>
      </w:r>
      <w:r w:rsidRPr="00DA017A">
        <w:rPr>
          <w:rFonts w:cs="Arial"/>
          <w:szCs w:val="24"/>
        </w:rPr>
        <w:t>-01</w:t>
      </w:r>
      <w:r w:rsidR="00493DF0" w:rsidRPr="00DA017A">
        <w:rPr>
          <w:rFonts w:cs="Arial"/>
          <w:szCs w:val="24"/>
        </w:rPr>
        <w:t>:</w:t>
      </w:r>
      <w:r w:rsidR="00853479" w:rsidRPr="00DA017A">
        <w:rPr>
          <w:rFonts w:cs="Arial"/>
          <w:szCs w:val="24"/>
        </w:rPr>
        <w:t xml:space="preserve"> </w:t>
      </w:r>
      <w:r w:rsidR="00511DD4" w:rsidRPr="00DA017A">
        <w:rPr>
          <w:rFonts w:cs="Arial"/>
          <w:szCs w:val="24"/>
        </w:rPr>
        <w:t>Public Disclosures for Insurers</w:t>
      </w:r>
      <w:r w:rsidR="00853479" w:rsidRPr="00DA017A">
        <w:rPr>
          <w:rFonts w:cs="Arial"/>
          <w:szCs w:val="24"/>
        </w:rPr>
        <w:t>’</w:t>
      </w:r>
      <w:r w:rsidR="00493DF0" w:rsidRPr="00DA017A">
        <w:rPr>
          <w:rFonts w:cs="Arial"/>
          <w:szCs w:val="24"/>
        </w:rPr>
        <w:t>.</w:t>
      </w:r>
    </w:p>
    <w:sectPr w:rsidR="006C6435" w:rsidRPr="00A8576F" w:rsidSect="006217B2">
      <w:footerReference w:type="even" r:id="rId11"/>
      <w:footerReference w:type="default" r:id="rId12"/>
      <w:headerReference w:type="first" r:id="rId13"/>
      <w:footerReference w:type="first" r:id="rId14"/>
      <w:pgSz w:w="11900" w:h="16820" w:code="9"/>
      <w:pgMar w:top="1134" w:right="1134" w:bottom="851" w:left="1134" w:header="56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B086" w14:textId="77777777" w:rsidR="00060AF3" w:rsidRDefault="00060AF3">
      <w:r>
        <w:separator/>
      </w:r>
    </w:p>
  </w:endnote>
  <w:endnote w:type="continuationSeparator" w:id="0">
    <w:p w14:paraId="4B4281EC" w14:textId="77777777" w:rsidR="00060AF3" w:rsidRDefault="00060AF3">
      <w:r>
        <w:continuationSeparator/>
      </w:r>
    </w:p>
  </w:endnote>
  <w:endnote w:type="continuationNotice" w:id="1">
    <w:p w14:paraId="14649025" w14:textId="77777777" w:rsidR="00060AF3" w:rsidRDefault="00060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86568"/>
      <w:docPartObj>
        <w:docPartGallery w:val="Page Numbers (Bottom of Page)"/>
        <w:docPartUnique/>
      </w:docPartObj>
    </w:sdtPr>
    <w:sdtEndPr>
      <w:rPr>
        <w:noProof/>
      </w:rPr>
    </w:sdtEndPr>
    <w:sdtContent>
      <w:p w14:paraId="4BBF3A1D" w14:textId="75192BAD" w:rsidR="00046357" w:rsidRDefault="00046357" w:rsidP="00046357">
        <w:pPr>
          <w:pStyle w:val="Footer"/>
          <w:jc w:val="right"/>
        </w:pPr>
        <w:r w:rsidRPr="00517D14">
          <w:rPr>
            <w:color w:val="2B579A"/>
            <w:shd w:val="clear" w:color="auto" w:fill="E6E6E6"/>
          </w:rPr>
          <w:fldChar w:fldCharType="begin"/>
        </w:r>
        <w:r w:rsidRPr="00517D14">
          <w:instrText xml:space="preserve"> PAGE   \* MERGEFORMAT </w:instrText>
        </w:r>
        <w:r w:rsidRPr="00517D14">
          <w:rPr>
            <w:color w:val="2B579A"/>
            <w:shd w:val="clear" w:color="auto" w:fill="E6E6E6"/>
          </w:rPr>
          <w:fldChar w:fldCharType="separate"/>
        </w:r>
        <w:r w:rsidR="00EA2BC6" w:rsidRPr="00517D14">
          <w:rPr>
            <w:noProof/>
          </w:rPr>
          <w:t>2</w:t>
        </w:r>
        <w:r w:rsidRPr="00517D14">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645959"/>
      <w:docPartObj>
        <w:docPartGallery w:val="Page Numbers (Bottom of Page)"/>
        <w:docPartUnique/>
      </w:docPartObj>
    </w:sdtPr>
    <w:sdtEndPr>
      <w:rPr>
        <w:noProof/>
      </w:rPr>
    </w:sdtEndPr>
    <w:sdtContent>
      <w:p w14:paraId="6B6960C9" w14:textId="1E55757D" w:rsidR="00046357" w:rsidRDefault="00046357" w:rsidP="0004635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A2BC6">
          <w:rPr>
            <w:noProof/>
          </w:rPr>
          <w:t>3</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43931"/>
      <w:docPartObj>
        <w:docPartGallery w:val="Page Numbers (Bottom of Page)"/>
        <w:docPartUnique/>
      </w:docPartObj>
    </w:sdtPr>
    <w:sdtEndPr>
      <w:rPr>
        <w:noProof/>
      </w:rPr>
    </w:sdtEndPr>
    <w:sdtContent>
      <w:p w14:paraId="1F5574A5" w14:textId="61CED4D5" w:rsidR="00046357" w:rsidRDefault="00046357" w:rsidP="0004635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C27CB">
          <w:rPr>
            <w:noProof/>
          </w:rPr>
          <w:t>1</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FD7FB" w14:textId="77777777" w:rsidR="00060AF3" w:rsidRDefault="00060AF3">
      <w:r>
        <w:separator/>
      </w:r>
    </w:p>
  </w:footnote>
  <w:footnote w:type="continuationSeparator" w:id="0">
    <w:p w14:paraId="7F0BC5FD" w14:textId="77777777" w:rsidR="00060AF3" w:rsidRDefault="00060AF3">
      <w:r>
        <w:continuationSeparator/>
      </w:r>
    </w:p>
  </w:footnote>
  <w:footnote w:type="continuationNotice" w:id="1">
    <w:p w14:paraId="73ADBF4D" w14:textId="77777777" w:rsidR="00060AF3" w:rsidRDefault="00060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B34F" w14:textId="676F2CF9" w:rsidR="00792155" w:rsidRPr="007465B5" w:rsidRDefault="00792155" w:rsidP="006217B2">
    <w:pPr>
      <w:jc w:val="center"/>
      <w:rPr>
        <w:bCs/>
        <w:sz w:val="20"/>
        <w:szCs w:val="24"/>
      </w:rPr>
    </w:pPr>
  </w:p>
  <w:p w14:paraId="76730380" w14:textId="35B6C60E" w:rsidR="00792155" w:rsidRPr="007465B5" w:rsidRDefault="002D6AAD" w:rsidP="00C80FE0">
    <w:pPr>
      <w:jc w:val="center"/>
      <w:rPr>
        <w:b/>
        <w:sz w:val="20"/>
      </w:rPr>
    </w:pPr>
    <w:r>
      <w:rPr>
        <w:b/>
        <w:noProof/>
        <w:color w:val="2B579A"/>
        <w:sz w:val="20"/>
        <w:shd w:val="clear" w:color="auto" w:fill="E6E6E6"/>
      </w:rPr>
      <w:drawing>
        <wp:inline distT="0" distB="0" distL="0" distR="0" wp14:anchorId="08B4E8F0" wp14:editId="5D79EE11">
          <wp:extent cx="1225550" cy="981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CFC"/>
    <w:multiLevelType w:val="multilevel"/>
    <w:tmpl w:val="9E409A3C"/>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b w:val="0"/>
        <w:bCs w:val="0"/>
        <w:i w:val="0"/>
        <w:iCs w:val="0"/>
      </w:rPr>
    </w:lvl>
    <w:lvl w:ilvl="2">
      <w:start w:val="1"/>
      <w:numFmt w:val="decimal"/>
      <w:lvlText w:val="4.%3.1."/>
      <w:lvlJc w:val="left"/>
      <w:pPr>
        <w:ind w:left="360" w:hanging="360"/>
      </w:pPr>
      <w:rPr>
        <w:rFonts w:hint="default"/>
        <w:i w:val="0"/>
        <w:iCs w:val="0"/>
      </w:rPr>
    </w:lvl>
    <w:lvl w:ilvl="3">
      <w:start w:val="1"/>
      <w:numFmt w:val="none"/>
      <w:pStyle w:val="Heading4"/>
      <w:lvlText w:val="%44.1.1"/>
      <w:lvlJc w:val="left"/>
      <w:pPr>
        <w:ind w:left="851" w:hanging="851"/>
      </w:pPr>
      <w:rPr>
        <w:rFonts w:hint="default"/>
      </w:rPr>
    </w:lvl>
    <w:lvl w:ilvl="4">
      <w:start w:val="1"/>
      <w:numFmt w:val="lowerRoman"/>
      <w:pStyle w:val="Heading5"/>
      <w:lvlText w:val="(%5)"/>
      <w:lvlJc w:val="left"/>
      <w:pPr>
        <w:ind w:left="851" w:hanging="851"/>
      </w:pPr>
      <w:rPr>
        <w:rFonts w:hint="default"/>
      </w:rPr>
    </w:lvl>
    <w:lvl w:ilvl="5">
      <w:start w:val="27"/>
      <w:numFmt w:val="lowerLetter"/>
      <w:pStyle w:val="Heading6"/>
      <w:lvlText w:val="(%6)"/>
      <w:lvlJc w:val="left"/>
      <w:pPr>
        <w:ind w:left="851" w:hanging="851"/>
      </w:pPr>
      <w:rPr>
        <w:rFonts w:hint="default"/>
      </w:rPr>
    </w:lvl>
    <w:lvl w:ilvl="6">
      <w:start w:val="1"/>
      <w:numFmt w:val="decimal"/>
      <w:lvlText w:val="%7.2.1."/>
      <w:lvlJc w:val="left"/>
      <w:pPr>
        <w:ind w:left="360" w:hanging="360"/>
      </w:pPr>
      <w:rPr>
        <w:rFonts w:hint="default"/>
      </w:rPr>
    </w:lvl>
    <w:lvl w:ilvl="7">
      <w:start w:val="1"/>
      <w:numFmt w:val="decimal"/>
      <w:pStyle w:val="Heading8"/>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1" w15:restartNumberingAfterBreak="0">
    <w:nsid w:val="061C0651"/>
    <w:multiLevelType w:val="hybridMultilevel"/>
    <w:tmpl w:val="EF924DEC"/>
    <w:lvl w:ilvl="0" w:tplc="E44CCC54">
      <w:start w:val="1"/>
      <w:numFmt w:val="lowerRoman"/>
      <w:lvlText w:val="%1."/>
      <w:lvlJc w:val="right"/>
      <w:pPr>
        <w:ind w:left="2648" w:hanging="360"/>
      </w:pPr>
      <w:rPr>
        <w:b w:val="0"/>
        <w:bCs w:val="0"/>
      </w:rPr>
    </w:lvl>
    <w:lvl w:ilvl="1" w:tplc="1C090019" w:tentative="1">
      <w:start w:val="1"/>
      <w:numFmt w:val="lowerLetter"/>
      <w:lvlText w:val="%2."/>
      <w:lvlJc w:val="left"/>
      <w:pPr>
        <w:ind w:left="3368" w:hanging="360"/>
      </w:pPr>
    </w:lvl>
    <w:lvl w:ilvl="2" w:tplc="1C09001B" w:tentative="1">
      <w:start w:val="1"/>
      <w:numFmt w:val="lowerRoman"/>
      <w:lvlText w:val="%3."/>
      <w:lvlJc w:val="right"/>
      <w:pPr>
        <w:ind w:left="4088" w:hanging="180"/>
      </w:pPr>
    </w:lvl>
    <w:lvl w:ilvl="3" w:tplc="1C09000F" w:tentative="1">
      <w:start w:val="1"/>
      <w:numFmt w:val="decimal"/>
      <w:lvlText w:val="%4."/>
      <w:lvlJc w:val="left"/>
      <w:pPr>
        <w:ind w:left="4808" w:hanging="360"/>
      </w:pPr>
    </w:lvl>
    <w:lvl w:ilvl="4" w:tplc="1C090019" w:tentative="1">
      <w:start w:val="1"/>
      <w:numFmt w:val="lowerLetter"/>
      <w:lvlText w:val="%5."/>
      <w:lvlJc w:val="left"/>
      <w:pPr>
        <w:ind w:left="5528" w:hanging="360"/>
      </w:pPr>
    </w:lvl>
    <w:lvl w:ilvl="5" w:tplc="1C09001B" w:tentative="1">
      <w:start w:val="1"/>
      <w:numFmt w:val="lowerRoman"/>
      <w:lvlText w:val="%6."/>
      <w:lvlJc w:val="right"/>
      <w:pPr>
        <w:ind w:left="6248" w:hanging="180"/>
      </w:pPr>
    </w:lvl>
    <w:lvl w:ilvl="6" w:tplc="1C09000F" w:tentative="1">
      <w:start w:val="1"/>
      <w:numFmt w:val="decimal"/>
      <w:lvlText w:val="%7."/>
      <w:lvlJc w:val="left"/>
      <w:pPr>
        <w:ind w:left="6968" w:hanging="360"/>
      </w:pPr>
    </w:lvl>
    <w:lvl w:ilvl="7" w:tplc="1C090019" w:tentative="1">
      <w:start w:val="1"/>
      <w:numFmt w:val="lowerLetter"/>
      <w:lvlText w:val="%8."/>
      <w:lvlJc w:val="left"/>
      <w:pPr>
        <w:ind w:left="7688" w:hanging="360"/>
      </w:pPr>
    </w:lvl>
    <w:lvl w:ilvl="8" w:tplc="1C09001B" w:tentative="1">
      <w:start w:val="1"/>
      <w:numFmt w:val="lowerRoman"/>
      <w:lvlText w:val="%9."/>
      <w:lvlJc w:val="right"/>
      <w:pPr>
        <w:ind w:left="8408" w:hanging="180"/>
      </w:pPr>
    </w:lvl>
  </w:abstractNum>
  <w:abstractNum w:abstractNumId="2" w15:restartNumberingAfterBreak="0">
    <w:nsid w:val="0B795E61"/>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103334E5"/>
    <w:multiLevelType w:val="hybridMultilevel"/>
    <w:tmpl w:val="5CA80DE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12269EB"/>
    <w:multiLevelType w:val="hybridMultilevel"/>
    <w:tmpl w:val="1E8E806E"/>
    <w:lvl w:ilvl="0" w:tplc="5C12A97C">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116203F7"/>
    <w:multiLevelType w:val="hybridMultilevel"/>
    <w:tmpl w:val="5CA80DE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27A7D11"/>
    <w:multiLevelType w:val="multilevel"/>
    <w:tmpl w:val="E2B276FA"/>
    <w:lvl w:ilvl="0">
      <w:start w:val="6"/>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b w:val="0"/>
        <w:bCs/>
      </w:rPr>
    </w:lvl>
    <w:lvl w:ilvl="3">
      <w:start w:val="1"/>
      <w:numFmt w:val="lowerLetter"/>
      <w:lvlText w:val="%4)"/>
      <w:lvlJc w:val="left"/>
      <w:pPr>
        <w:ind w:left="900" w:hanging="360"/>
      </w:pPr>
      <w:rPr>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2987F50"/>
    <w:multiLevelType w:val="multilevel"/>
    <w:tmpl w:val="3DF06A5C"/>
    <w:lvl w:ilvl="0">
      <w:start w:val="6"/>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b w:val="0"/>
        <w:bCs/>
      </w:rPr>
    </w:lvl>
    <w:lvl w:ilvl="3">
      <w:start w:val="1"/>
      <w:numFmt w:val="lowerLetter"/>
      <w:lvlText w:val="%4)"/>
      <w:lvlJc w:val="left"/>
      <w:pPr>
        <w:ind w:left="900" w:hanging="360"/>
      </w:pPr>
      <w:rPr>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59410AE"/>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168F24EC"/>
    <w:multiLevelType w:val="hybridMultilevel"/>
    <w:tmpl w:val="28EEB3C4"/>
    <w:lvl w:ilvl="0" w:tplc="FFFFFFFF">
      <w:start w:val="27"/>
      <w:numFmt w:val="lowerLetter"/>
      <w:lvlText w:val="%1)"/>
      <w:lvlJc w:val="left"/>
      <w:pPr>
        <w:ind w:left="1571" w:hanging="360"/>
      </w:pPr>
      <w:rPr>
        <w:rFonts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18505A31"/>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194940D7"/>
    <w:multiLevelType w:val="hybridMultilevel"/>
    <w:tmpl w:val="5CA80DE4"/>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0872179"/>
    <w:multiLevelType w:val="multilevel"/>
    <w:tmpl w:val="14F4182A"/>
    <w:lvl w:ilvl="0">
      <w:start w:val="6"/>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b w:val="0"/>
        <w:bCs/>
      </w:rPr>
    </w:lvl>
    <w:lvl w:ilvl="3">
      <w:start w:val="1"/>
      <w:numFmt w:val="lowerLetter"/>
      <w:lvlText w:val="%4)"/>
      <w:lvlJc w:val="left"/>
      <w:pPr>
        <w:ind w:left="900" w:hanging="360"/>
      </w:p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4E47F89"/>
    <w:multiLevelType w:val="multilevel"/>
    <w:tmpl w:val="8DA2F472"/>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rPr>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62F83"/>
    <w:multiLevelType w:val="hybridMultilevel"/>
    <w:tmpl w:val="D10430F8"/>
    <w:lvl w:ilvl="0" w:tplc="123CE9B4">
      <w:start w:val="1"/>
      <w:numFmt w:val="lowerRoman"/>
      <w:lvlText w:val="%1."/>
      <w:lvlJc w:val="right"/>
      <w:pPr>
        <w:ind w:left="1211" w:hanging="360"/>
      </w:pPr>
      <w:rPr>
        <w:rFonts w:hint="default"/>
        <w:i w:val="0"/>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3620357B"/>
    <w:multiLevelType w:val="multilevel"/>
    <w:tmpl w:val="5AB6572C"/>
    <w:lvl w:ilvl="0">
      <w:start w:val="6"/>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b w:val="0"/>
        <w:bCs/>
      </w:rPr>
    </w:lvl>
    <w:lvl w:ilvl="3">
      <w:start w:val="1"/>
      <w:numFmt w:val="lowerLetter"/>
      <w:lvlText w:val="%4)"/>
      <w:lvlJc w:val="left"/>
      <w:pPr>
        <w:ind w:left="900" w:hanging="360"/>
      </w:pPr>
      <w:rPr>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7A573F4"/>
    <w:multiLevelType w:val="hybridMultilevel"/>
    <w:tmpl w:val="566E3478"/>
    <w:lvl w:ilvl="0" w:tplc="3DA434F8">
      <w:start w:val="1"/>
      <w:numFmt w:val="lowerRoman"/>
      <w:lvlText w:val="%1."/>
      <w:lvlJc w:val="right"/>
      <w:pPr>
        <w:ind w:left="1931" w:hanging="360"/>
      </w:pPr>
      <w:rPr>
        <w:b w:val="0"/>
        <w:bCs/>
      </w:rPr>
    </w:lvl>
    <w:lvl w:ilvl="1" w:tplc="1C090019" w:tentative="1">
      <w:start w:val="1"/>
      <w:numFmt w:val="lowerLetter"/>
      <w:lvlText w:val="%2."/>
      <w:lvlJc w:val="left"/>
      <w:pPr>
        <w:ind w:left="2651" w:hanging="360"/>
      </w:pPr>
    </w:lvl>
    <w:lvl w:ilvl="2" w:tplc="1C09001B" w:tentative="1">
      <w:start w:val="1"/>
      <w:numFmt w:val="lowerRoman"/>
      <w:lvlText w:val="%3."/>
      <w:lvlJc w:val="right"/>
      <w:pPr>
        <w:ind w:left="3371" w:hanging="180"/>
      </w:pPr>
    </w:lvl>
    <w:lvl w:ilvl="3" w:tplc="1C09000F" w:tentative="1">
      <w:start w:val="1"/>
      <w:numFmt w:val="decimal"/>
      <w:lvlText w:val="%4."/>
      <w:lvlJc w:val="left"/>
      <w:pPr>
        <w:ind w:left="4091" w:hanging="360"/>
      </w:pPr>
    </w:lvl>
    <w:lvl w:ilvl="4" w:tplc="1C090019" w:tentative="1">
      <w:start w:val="1"/>
      <w:numFmt w:val="lowerLetter"/>
      <w:lvlText w:val="%5."/>
      <w:lvlJc w:val="left"/>
      <w:pPr>
        <w:ind w:left="4811" w:hanging="360"/>
      </w:pPr>
    </w:lvl>
    <w:lvl w:ilvl="5" w:tplc="1C09001B" w:tentative="1">
      <w:start w:val="1"/>
      <w:numFmt w:val="lowerRoman"/>
      <w:lvlText w:val="%6."/>
      <w:lvlJc w:val="right"/>
      <w:pPr>
        <w:ind w:left="5531" w:hanging="180"/>
      </w:pPr>
    </w:lvl>
    <w:lvl w:ilvl="6" w:tplc="1C09000F" w:tentative="1">
      <w:start w:val="1"/>
      <w:numFmt w:val="decimal"/>
      <w:lvlText w:val="%7."/>
      <w:lvlJc w:val="left"/>
      <w:pPr>
        <w:ind w:left="6251" w:hanging="360"/>
      </w:pPr>
    </w:lvl>
    <w:lvl w:ilvl="7" w:tplc="1C090019" w:tentative="1">
      <w:start w:val="1"/>
      <w:numFmt w:val="lowerLetter"/>
      <w:lvlText w:val="%8."/>
      <w:lvlJc w:val="left"/>
      <w:pPr>
        <w:ind w:left="6971" w:hanging="360"/>
      </w:pPr>
    </w:lvl>
    <w:lvl w:ilvl="8" w:tplc="1C09001B" w:tentative="1">
      <w:start w:val="1"/>
      <w:numFmt w:val="lowerRoman"/>
      <w:lvlText w:val="%9."/>
      <w:lvlJc w:val="right"/>
      <w:pPr>
        <w:ind w:left="7691" w:hanging="180"/>
      </w:pPr>
    </w:lvl>
  </w:abstractNum>
  <w:abstractNum w:abstractNumId="17" w15:restartNumberingAfterBreak="0">
    <w:nsid w:val="39FC43D5"/>
    <w:multiLevelType w:val="hybridMultilevel"/>
    <w:tmpl w:val="F97E08AC"/>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3B0F7906"/>
    <w:multiLevelType w:val="multilevel"/>
    <w:tmpl w:val="B48260DC"/>
    <w:lvl w:ilvl="0">
      <w:start w:val="5"/>
      <w:numFmt w:val="decimal"/>
      <w:lvlText w:val="%1"/>
      <w:lvlJc w:val="left"/>
      <w:pPr>
        <w:ind w:left="530" w:hanging="530"/>
      </w:pPr>
      <w:rPr>
        <w:rFonts w:hint="default"/>
      </w:rPr>
    </w:lvl>
    <w:lvl w:ilvl="1">
      <w:start w:val="1"/>
      <w:numFmt w:val="decimal"/>
      <w:lvlText w:val="%1.%2"/>
      <w:lvlJc w:val="left"/>
      <w:pPr>
        <w:ind w:left="710" w:hanging="530"/>
      </w:pPr>
      <w:rPr>
        <w:rFonts w:hint="default"/>
        <w:i w:val="0"/>
        <w:iCs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40EE368B"/>
    <w:multiLevelType w:val="multilevel"/>
    <w:tmpl w:val="7E3C21E4"/>
    <w:lvl w:ilvl="0">
      <w:start w:val="6"/>
      <w:numFmt w:val="decimal"/>
      <w:lvlText w:val="%1"/>
      <w:lvlJc w:val="left"/>
      <w:pPr>
        <w:ind w:left="530" w:hanging="530"/>
      </w:pPr>
      <w:rPr>
        <w:rFonts w:hint="default"/>
      </w:rPr>
    </w:lvl>
    <w:lvl w:ilvl="1">
      <w:start w:val="2"/>
      <w:numFmt w:val="decimal"/>
      <w:lvlText w:val="%1.%2"/>
      <w:lvlJc w:val="left"/>
      <w:pPr>
        <w:ind w:left="710" w:hanging="530"/>
      </w:pPr>
      <w:rPr>
        <w:rFonts w:hint="default"/>
      </w:rPr>
    </w:lvl>
    <w:lvl w:ilvl="2">
      <w:start w:val="1"/>
      <w:numFmt w:val="decimal"/>
      <w:lvlText w:val="%1.%2.%3"/>
      <w:lvlJc w:val="left"/>
      <w:pPr>
        <w:ind w:left="1080" w:hanging="720"/>
      </w:pPr>
      <w:rPr>
        <w:rFonts w:hint="default"/>
        <w:b w:val="0"/>
        <w:bCs/>
      </w:rPr>
    </w:lvl>
    <w:lvl w:ilvl="3">
      <w:start w:val="1"/>
      <w:numFmt w:val="lowerLetter"/>
      <w:lvlText w:val="%4)"/>
      <w:lvlJc w:val="left"/>
      <w:pPr>
        <w:ind w:left="900" w:hanging="360"/>
      </w:pPr>
      <w:rPr>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5482768"/>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45C90176"/>
    <w:multiLevelType w:val="multilevel"/>
    <w:tmpl w:val="8DA2F472"/>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rPr>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56E6E"/>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4B372EA6"/>
    <w:multiLevelType w:val="hybridMultilevel"/>
    <w:tmpl w:val="B9C4120A"/>
    <w:lvl w:ilvl="0" w:tplc="1C09001B">
      <w:start w:val="1"/>
      <w:numFmt w:val="lowerRoman"/>
      <w:lvlText w:val="%1."/>
      <w:lvlJc w:val="righ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4B815B86"/>
    <w:multiLevelType w:val="multilevel"/>
    <w:tmpl w:val="5008A344"/>
    <w:lvl w:ilvl="0">
      <w:start w:val="7"/>
      <w:numFmt w:val="decimal"/>
      <w:lvlText w:val="%1"/>
      <w:lvlJc w:val="left"/>
      <w:pPr>
        <w:ind w:left="530" w:hanging="530"/>
      </w:pPr>
      <w:rPr>
        <w:rFonts w:hint="default"/>
      </w:rPr>
    </w:lvl>
    <w:lvl w:ilvl="1">
      <w:start w:val="3"/>
      <w:numFmt w:val="decimal"/>
      <w:lvlText w:val="%1.%2"/>
      <w:lvlJc w:val="left"/>
      <w:pPr>
        <w:ind w:left="955" w:hanging="530"/>
      </w:pPr>
      <w:rPr>
        <w:rFonts w:hint="default"/>
      </w:rPr>
    </w:lvl>
    <w:lvl w:ilvl="2">
      <w:start w:val="1"/>
      <w:numFmt w:val="decimal"/>
      <w:lvlText w:val="%1.%2.%3"/>
      <w:lvlJc w:val="left"/>
      <w:pPr>
        <w:ind w:left="1570" w:hanging="720"/>
      </w:pPr>
      <w:rPr>
        <w:rFonts w:hint="default"/>
        <w:b w:val="0"/>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4EEE4756"/>
    <w:multiLevelType w:val="hybridMultilevel"/>
    <w:tmpl w:val="D10430F8"/>
    <w:lvl w:ilvl="0" w:tplc="FFFFFFFF">
      <w:start w:val="1"/>
      <w:numFmt w:val="lowerRoman"/>
      <w:lvlText w:val="%1."/>
      <w:lvlJc w:val="right"/>
      <w:pPr>
        <w:ind w:left="1800" w:hanging="360"/>
      </w:pPr>
      <w:rPr>
        <w:rFonts w:hint="default"/>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0970232"/>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56403025"/>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FB31A15"/>
    <w:multiLevelType w:val="multilevel"/>
    <w:tmpl w:val="8DA2F472"/>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rPr>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8B49B1"/>
    <w:multiLevelType w:val="multilevel"/>
    <w:tmpl w:val="8DA2F472"/>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lowerLetter"/>
      <w:lvlText w:val="%4)"/>
      <w:lvlJc w:val="left"/>
      <w:pPr>
        <w:ind w:left="360" w:hanging="360"/>
      </w:pPr>
      <w:rPr>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7F5D38"/>
    <w:multiLevelType w:val="hybridMultilevel"/>
    <w:tmpl w:val="D10430F8"/>
    <w:lvl w:ilvl="0" w:tplc="FFFFFFFF">
      <w:start w:val="1"/>
      <w:numFmt w:val="lowerRoman"/>
      <w:lvlText w:val="%1."/>
      <w:lvlJc w:val="right"/>
      <w:pPr>
        <w:ind w:left="1800" w:hanging="360"/>
      </w:pPr>
      <w:rPr>
        <w:rFonts w:hint="default"/>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702223FE"/>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71004EB1"/>
    <w:multiLevelType w:val="hybridMultilevel"/>
    <w:tmpl w:val="28EEB3C4"/>
    <w:lvl w:ilvl="0" w:tplc="A984D5FE">
      <w:start w:val="27"/>
      <w:numFmt w:val="lowerLetter"/>
      <w:lvlText w:val="%1)"/>
      <w:lvlJc w:val="left"/>
      <w:pPr>
        <w:ind w:left="1571" w:hanging="360"/>
      </w:pPr>
      <w:rPr>
        <w:rFonts w:cs="Times New Roman"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72AA4053"/>
    <w:multiLevelType w:val="hybridMultilevel"/>
    <w:tmpl w:val="CA907AAE"/>
    <w:lvl w:ilvl="0" w:tplc="E40C4FB6">
      <w:start w:val="27"/>
      <w:numFmt w:val="lowerLetter"/>
      <w:lvlText w:val="%1)"/>
      <w:lvlJc w:val="left"/>
      <w:pPr>
        <w:ind w:left="1571" w:hanging="360"/>
      </w:pPr>
      <w:rPr>
        <w:rFonts w:cs="Times New Roman" w:hint="default"/>
        <w:b w:val="0"/>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78F21B58"/>
    <w:multiLevelType w:val="hybridMultilevel"/>
    <w:tmpl w:val="FC00191A"/>
    <w:lvl w:ilvl="0" w:tplc="4F66874E">
      <w:start w:val="1"/>
      <w:numFmt w:val="lowerRoman"/>
      <w:lvlText w:val="%1."/>
      <w:lvlJc w:val="right"/>
      <w:pPr>
        <w:ind w:left="2160" w:hanging="360"/>
      </w:pPr>
      <w:rPr>
        <w:b w:val="0"/>
        <w:bCs w:val="0"/>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5" w15:restartNumberingAfterBreak="0">
    <w:nsid w:val="7E0557F2"/>
    <w:multiLevelType w:val="hybridMultilevel"/>
    <w:tmpl w:val="1E8E806E"/>
    <w:lvl w:ilvl="0" w:tplc="FFFFFFFF">
      <w:start w:val="27"/>
      <w:numFmt w:val="lowerLetter"/>
      <w:lvlText w:val="%1)"/>
      <w:lvlJc w:val="left"/>
      <w:pPr>
        <w:ind w:left="1571" w:hanging="360"/>
      </w:pPr>
      <w:rPr>
        <w:rFonts w:cs="Times New Roman"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2011104719">
    <w:abstractNumId w:val="0"/>
  </w:num>
  <w:num w:numId="2" w16cid:durableId="2005469976">
    <w:abstractNumId w:val="23"/>
  </w:num>
  <w:num w:numId="3" w16cid:durableId="1273517275">
    <w:abstractNumId w:val="12"/>
  </w:num>
  <w:num w:numId="4" w16cid:durableId="1696154667">
    <w:abstractNumId w:val="34"/>
  </w:num>
  <w:num w:numId="5" w16cid:durableId="2010674575">
    <w:abstractNumId w:val="17"/>
  </w:num>
  <w:num w:numId="6" w16cid:durableId="1706100859">
    <w:abstractNumId w:val="11"/>
  </w:num>
  <w:num w:numId="7" w16cid:durableId="1318613613">
    <w:abstractNumId w:val="1"/>
  </w:num>
  <w:num w:numId="8" w16cid:durableId="797603992">
    <w:abstractNumId w:val="16"/>
  </w:num>
  <w:num w:numId="9" w16cid:durableId="274019511">
    <w:abstractNumId w:val="18"/>
  </w:num>
  <w:num w:numId="10" w16cid:durableId="1896769515">
    <w:abstractNumId w:val="21"/>
  </w:num>
  <w:num w:numId="11" w16cid:durableId="1898738409">
    <w:abstractNumId w:val="14"/>
  </w:num>
  <w:num w:numId="12" w16cid:durableId="432819623">
    <w:abstractNumId w:val="32"/>
  </w:num>
  <w:num w:numId="13" w16cid:durableId="1745569757">
    <w:abstractNumId w:val="30"/>
  </w:num>
  <w:num w:numId="14" w16cid:durableId="1294945060">
    <w:abstractNumId w:val="28"/>
  </w:num>
  <w:num w:numId="15" w16cid:durableId="1885213342">
    <w:abstractNumId w:val="25"/>
  </w:num>
  <w:num w:numId="16" w16cid:durableId="1528640009">
    <w:abstractNumId w:val="24"/>
  </w:num>
  <w:num w:numId="17" w16cid:durableId="2014919239">
    <w:abstractNumId w:val="13"/>
  </w:num>
  <w:num w:numId="18" w16cid:durableId="2100758726">
    <w:abstractNumId w:val="33"/>
  </w:num>
  <w:num w:numId="19" w16cid:durableId="500239589">
    <w:abstractNumId w:val="9"/>
  </w:num>
  <w:num w:numId="20" w16cid:durableId="1252010393">
    <w:abstractNumId w:val="29"/>
  </w:num>
  <w:num w:numId="21" w16cid:durableId="751854009">
    <w:abstractNumId w:val="4"/>
  </w:num>
  <w:num w:numId="22" w16cid:durableId="1855338146">
    <w:abstractNumId w:val="26"/>
  </w:num>
  <w:num w:numId="23" w16cid:durableId="2023971226">
    <w:abstractNumId w:val="2"/>
  </w:num>
  <w:num w:numId="24" w16cid:durableId="470440078">
    <w:abstractNumId w:val="35"/>
  </w:num>
  <w:num w:numId="25" w16cid:durableId="1148668210">
    <w:abstractNumId w:val="10"/>
  </w:num>
  <w:num w:numId="26" w16cid:durableId="1852184229">
    <w:abstractNumId w:val="7"/>
  </w:num>
  <w:num w:numId="27" w16cid:durableId="980425292">
    <w:abstractNumId w:val="27"/>
  </w:num>
  <w:num w:numId="28" w16cid:durableId="1903061761">
    <w:abstractNumId w:val="31"/>
  </w:num>
  <w:num w:numId="29" w16cid:durableId="1869950448">
    <w:abstractNumId w:val="20"/>
  </w:num>
  <w:num w:numId="30" w16cid:durableId="1152598485">
    <w:abstractNumId w:val="6"/>
  </w:num>
  <w:num w:numId="31" w16cid:durableId="2091853277">
    <w:abstractNumId w:val="3"/>
  </w:num>
  <w:num w:numId="32" w16cid:durableId="1150562770">
    <w:abstractNumId w:val="22"/>
  </w:num>
  <w:num w:numId="33" w16cid:durableId="506939529">
    <w:abstractNumId w:val="8"/>
  </w:num>
  <w:num w:numId="34" w16cid:durableId="1310327760">
    <w:abstractNumId w:val="5"/>
  </w:num>
  <w:num w:numId="35" w16cid:durableId="580454384">
    <w:abstractNumId w:val="19"/>
  </w:num>
  <w:num w:numId="36" w16cid:durableId="2007440204">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3A"/>
    <w:rsid w:val="000003CC"/>
    <w:rsid w:val="00000B76"/>
    <w:rsid w:val="000013F8"/>
    <w:rsid w:val="00001C2A"/>
    <w:rsid w:val="00002263"/>
    <w:rsid w:val="0000442C"/>
    <w:rsid w:val="00004DEF"/>
    <w:rsid w:val="00004E6E"/>
    <w:rsid w:val="0000539D"/>
    <w:rsid w:val="00005A7D"/>
    <w:rsid w:val="00007FF8"/>
    <w:rsid w:val="0001036E"/>
    <w:rsid w:val="000117EE"/>
    <w:rsid w:val="00011EED"/>
    <w:rsid w:val="0001246A"/>
    <w:rsid w:val="000128B9"/>
    <w:rsid w:val="00013812"/>
    <w:rsid w:val="00013A63"/>
    <w:rsid w:val="00013BD9"/>
    <w:rsid w:val="0001489B"/>
    <w:rsid w:val="00014AE0"/>
    <w:rsid w:val="00014E00"/>
    <w:rsid w:val="00015828"/>
    <w:rsid w:val="00015BF1"/>
    <w:rsid w:val="00016C39"/>
    <w:rsid w:val="00020397"/>
    <w:rsid w:val="00020720"/>
    <w:rsid w:val="00020BD4"/>
    <w:rsid w:val="00022EA1"/>
    <w:rsid w:val="00022F01"/>
    <w:rsid w:val="000249C6"/>
    <w:rsid w:val="00025723"/>
    <w:rsid w:val="00025E36"/>
    <w:rsid w:val="00026041"/>
    <w:rsid w:val="00027D98"/>
    <w:rsid w:val="00027FC6"/>
    <w:rsid w:val="0003053B"/>
    <w:rsid w:val="00030BA9"/>
    <w:rsid w:val="00031086"/>
    <w:rsid w:val="000315E9"/>
    <w:rsid w:val="000319DD"/>
    <w:rsid w:val="000320DA"/>
    <w:rsid w:val="00032463"/>
    <w:rsid w:val="00032AB9"/>
    <w:rsid w:val="000340F5"/>
    <w:rsid w:val="0003421E"/>
    <w:rsid w:val="0003441D"/>
    <w:rsid w:val="00034C2B"/>
    <w:rsid w:val="0003558D"/>
    <w:rsid w:val="0003584E"/>
    <w:rsid w:val="00035988"/>
    <w:rsid w:val="00035CCB"/>
    <w:rsid w:val="00040B03"/>
    <w:rsid w:val="000417BE"/>
    <w:rsid w:val="000424CE"/>
    <w:rsid w:val="00042E7C"/>
    <w:rsid w:val="000447D1"/>
    <w:rsid w:val="00044F5F"/>
    <w:rsid w:val="00046357"/>
    <w:rsid w:val="0004656B"/>
    <w:rsid w:val="000465CE"/>
    <w:rsid w:val="00047916"/>
    <w:rsid w:val="00050323"/>
    <w:rsid w:val="00050621"/>
    <w:rsid w:val="000529F1"/>
    <w:rsid w:val="00052B3F"/>
    <w:rsid w:val="00053E34"/>
    <w:rsid w:val="00054D1C"/>
    <w:rsid w:val="0005515B"/>
    <w:rsid w:val="00055DC0"/>
    <w:rsid w:val="00056E4A"/>
    <w:rsid w:val="000608AD"/>
    <w:rsid w:val="00060AF3"/>
    <w:rsid w:val="00060B82"/>
    <w:rsid w:val="00060EDA"/>
    <w:rsid w:val="000617C3"/>
    <w:rsid w:val="00064E97"/>
    <w:rsid w:val="000657B6"/>
    <w:rsid w:val="00065F71"/>
    <w:rsid w:val="000663F2"/>
    <w:rsid w:val="000667C6"/>
    <w:rsid w:val="0006773C"/>
    <w:rsid w:val="00067FCD"/>
    <w:rsid w:val="00071BC4"/>
    <w:rsid w:val="00072136"/>
    <w:rsid w:val="000725CF"/>
    <w:rsid w:val="00072B52"/>
    <w:rsid w:val="00072C3F"/>
    <w:rsid w:val="0007388B"/>
    <w:rsid w:val="00074451"/>
    <w:rsid w:val="00074655"/>
    <w:rsid w:val="00074B0A"/>
    <w:rsid w:val="00074BBB"/>
    <w:rsid w:val="0007618C"/>
    <w:rsid w:val="0007670A"/>
    <w:rsid w:val="00077B92"/>
    <w:rsid w:val="00077EA0"/>
    <w:rsid w:val="00077EBA"/>
    <w:rsid w:val="0008081B"/>
    <w:rsid w:val="00080D05"/>
    <w:rsid w:val="00081B47"/>
    <w:rsid w:val="00081DF0"/>
    <w:rsid w:val="00081E51"/>
    <w:rsid w:val="00082E3A"/>
    <w:rsid w:val="00083005"/>
    <w:rsid w:val="0008347C"/>
    <w:rsid w:val="00083A04"/>
    <w:rsid w:val="00083D46"/>
    <w:rsid w:val="00083EA4"/>
    <w:rsid w:val="00084FA0"/>
    <w:rsid w:val="0008550C"/>
    <w:rsid w:val="000858EC"/>
    <w:rsid w:val="000869E4"/>
    <w:rsid w:val="0008760F"/>
    <w:rsid w:val="000876CA"/>
    <w:rsid w:val="000876D7"/>
    <w:rsid w:val="00087D21"/>
    <w:rsid w:val="000903D0"/>
    <w:rsid w:val="00090473"/>
    <w:rsid w:val="00090B77"/>
    <w:rsid w:val="00090FD9"/>
    <w:rsid w:val="0009139C"/>
    <w:rsid w:val="000918E0"/>
    <w:rsid w:val="00091DF1"/>
    <w:rsid w:val="00092117"/>
    <w:rsid w:val="000924EB"/>
    <w:rsid w:val="00092ABF"/>
    <w:rsid w:val="00092C66"/>
    <w:rsid w:val="000942DD"/>
    <w:rsid w:val="00096758"/>
    <w:rsid w:val="0009778C"/>
    <w:rsid w:val="000979F6"/>
    <w:rsid w:val="000A012D"/>
    <w:rsid w:val="000A087A"/>
    <w:rsid w:val="000A14DF"/>
    <w:rsid w:val="000A1B73"/>
    <w:rsid w:val="000A3043"/>
    <w:rsid w:val="000A3D2A"/>
    <w:rsid w:val="000A40E3"/>
    <w:rsid w:val="000A4329"/>
    <w:rsid w:val="000A4BE4"/>
    <w:rsid w:val="000A4F3B"/>
    <w:rsid w:val="000A5E2E"/>
    <w:rsid w:val="000A62C8"/>
    <w:rsid w:val="000A66D8"/>
    <w:rsid w:val="000A6A38"/>
    <w:rsid w:val="000A765D"/>
    <w:rsid w:val="000B0EB8"/>
    <w:rsid w:val="000B1826"/>
    <w:rsid w:val="000B22B0"/>
    <w:rsid w:val="000B2675"/>
    <w:rsid w:val="000B27B3"/>
    <w:rsid w:val="000B2C23"/>
    <w:rsid w:val="000B37D5"/>
    <w:rsid w:val="000B43EC"/>
    <w:rsid w:val="000B515B"/>
    <w:rsid w:val="000B5E9C"/>
    <w:rsid w:val="000B7D2C"/>
    <w:rsid w:val="000C14E0"/>
    <w:rsid w:val="000C2B86"/>
    <w:rsid w:val="000C5003"/>
    <w:rsid w:val="000C5400"/>
    <w:rsid w:val="000C5850"/>
    <w:rsid w:val="000C5D7E"/>
    <w:rsid w:val="000C63FD"/>
    <w:rsid w:val="000C643E"/>
    <w:rsid w:val="000C7264"/>
    <w:rsid w:val="000C7952"/>
    <w:rsid w:val="000C7CEC"/>
    <w:rsid w:val="000D14FE"/>
    <w:rsid w:val="000D1574"/>
    <w:rsid w:val="000D1950"/>
    <w:rsid w:val="000D1CB5"/>
    <w:rsid w:val="000D1DC6"/>
    <w:rsid w:val="000D262B"/>
    <w:rsid w:val="000D2F3E"/>
    <w:rsid w:val="000D317E"/>
    <w:rsid w:val="000D3A53"/>
    <w:rsid w:val="000D4B00"/>
    <w:rsid w:val="000D5FE4"/>
    <w:rsid w:val="000D625F"/>
    <w:rsid w:val="000D70C5"/>
    <w:rsid w:val="000D7240"/>
    <w:rsid w:val="000D733B"/>
    <w:rsid w:val="000E117C"/>
    <w:rsid w:val="000E1733"/>
    <w:rsid w:val="000E18D4"/>
    <w:rsid w:val="000E4115"/>
    <w:rsid w:val="000E477A"/>
    <w:rsid w:val="000E4C00"/>
    <w:rsid w:val="000E4C16"/>
    <w:rsid w:val="000E5436"/>
    <w:rsid w:val="000E7474"/>
    <w:rsid w:val="000E769B"/>
    <w:rsid w:val="000E7FCA"/>
    <w:rsid w:val="000E7FF2"/>
    <w:rsid w:val="000F0381"/>
    <w:rsid w:val="000F29F1"/>
    <w:rsid w:val="000F3806"/>
    <w:rsid w:val="000F51DD"/>
    <w:rsid w:val="000F57B2"/>
    <w:rsid w:val="000F651E"/>
    <w:rsid w:val="000F6BB3"/>
    <w:rsid w:val="000F7A8C"/>
    <w:rsid w:val="000F7B62"/>
    <w:rsid w:val="001009A8"/>
    <w:rsid w:val="00102164"/>
    <w:rsid w:val="00102204"/>
    <w:rsid w:val="001035F1"/>
    <w:rsid w:val="00103ED7"/>
    <w:rsid w:val="001040C4"/>
    <w:rsid w:val="00104857"/>
    <w:rsid w:val="00104C8F"/>
    <w:rsid w:val="00105145"/>
    <w:rsid w:val="00105714"/>
    <w:rsid w:val="00105C85"/>
    <w:rsid w:val="00106203"/>
    <w:rsid w:val="0011051E"/>
    <w:rsid w:val="00110554"/>
    <w:rsid w:val="0011108C"/>
    <w:rsid w:val="00111A1D"/>
    <w:rsid w:val="00111AC1"/>
    <w:rsid w:val="00111B73"/>
    <w:rsid w:val="001121BD"/>
    <w:rsid w:val="00113B3A"/>
    <w:rsid w:val="0011657D"/>
    <w:rsid w:val="00116682"/>
    <w:rsid w:val="001170C5"/>
    <w:rsid w:val="00117971"/>
    <w:rsid w:val="001200F0"/>
    <w:rsid w:val="00120236"/>
    <w:rsid w:val="00121031"/>
    <w:rsid w:val="00121CD3"/>
    <w:rsid w:val="00121D17"/>
    <w:rsid w:val="00122195"/>
    <w:rsid w:val="00122210"/>
    <w:rsid w:val="00122492"/>
    <w:rsid w:val="001228E9"/>
    <w:rsid w:val="00123168"/>
    <w:rsid w:val="001232AF"/>
    <w:rsid w:val="001248A0"/>
    <w:rsid w:val="00124BA7"/>
    <w:rsid w:val="001254F4"/>
    <w:rsid w:val="0012578D"/>
    <w:rsid w:val="001258D4"/>
    <w:rsid w:val="001261E5"/>
    <w:rsid w:val="00126CE4"/>
    <w:rsid w:val="00130666"/>
    <w:rsid w:val="00132D2E"/>
    <w:rsid w:val="00133434"/>
    <w:rsid w:val="00133607"/>
    <w:rsid w:val="001343A1"/>
    <w:rsid w:val="001343E5"/>
    <w:rsid w:val="001364E5"/>
    <w:rsid w:val="00136557"/>
    <w:rsid w:val="0014003B"/>
    <w:rsid w:val="00140269"/>
    <w:rsid w:val="00140463"/>
    <w:rsid w:val="00140659"/>
    <w:rsid w:val="0014088D"/>
    <w:rsid w:val="00141BB2"/>
    <w:rsid w:val="00141E46"/>
    <w:rsid w:val="00142011"/>
    <w:rsid w:val="00143130"/>
    <w:rsid w:val="00143525"/>
    <w:rsid w:val="00143CA9"/>
    <w:rsid w:val="00143FB8"/>
    <w:rsid w:val="00145048"/>
    <w:rsid w:val="00145FDC"/>
    <w:rsid w:val="001462EE"/>
    <w:rsid w:val="00146A40"/>
    <w:rsid w:val="00146DA6"/>
    <w:rsid w:val="00147959"/>
    <w:rsid w:val="001501BF"/>
    <w:rsid w:val="0015103A"/>
    <w:rsid w:val="001538FF"/>
    <w:rsid w:val="001556C8"/>
    <w:rsid w:val="001557BD"/>
    <w:rsid w:val="00155F72"/>
    <w:rsid w:val="0015690B"/>
    <w:rsid w:val="00156A96"/>
    <w:rsid w:val="00160397"/>
    <w:rsid w:val="00160713"/>
    <w:rsid w:val="00160F57"/>
    <w:rsid w:val="0016153C"/>
    <w:rsid w:val="00162247"/>
    <w:rsid w:val="001622BA"/>
    <w:rsid w:val="00162CF7"/>
    <w:rsid w:val="00162E44"/>
    <w:rsid w:val="00163FEE"/>
    <w:rsid w:val="0016402C"/>
    <w:rsid w:val="00164D40"/>
    <w:rsid w:val="00166118"/>
    <w:rsid w:val="00166549"/>
    <w:rsid w:val="001668F5"/>
    <w:rsid w:val="0017007B"/>
    <w:rsid w:val="0017077A"/>
    <w:rsid w:val="00171292"/>
    <w:rsid w:val="00172379"/>
    <w:rsid w:val="001725FB"/>
    <w:rsid w:val="00173046"/>
    <w:rsid w:val="001735E6"/>
    <w:rsid w:val="0017432C"/>
    <w:rsid w:val="00175269"/>
    <w:rsid w:val="001757DA"/>
    <w:rsid w:val="00176B71"/>
    <w:rsid w:val="00176DF0"/>
    <w:rsid w:val="00177CD6"/>
    <w:rsid w:val="00180743"/>
    <w:rsid w:val="00180F13"/>
    <w:rsid w:val="00181433"/>
    <w:rsid w:val="001815DA"/>
    <w:rsid w:val="00181E1A"/>
    <w:rsid w:val="00182B65"/>
    <w:rsid w:val="00183B70"/>
    <w:rsid w:val="00184A2C"/>
    <w:rsid w:val="0018568F"/>
    <w:rsid w:val="001867DB"/>
    <w:rsid w:val="00186ADB"/>
    <w:rsid w:val="001875D7"/>
    <w:rsid w:val="00187DB1"/>
    <w:rsid w:val="00192766"/>
    <w:rsid w:val="0019304D"/>
    <w:rsid w:val="00193DE6"/>
    <w:rsid w:val="0019418F"/>
    <w:rsid w:val="00194363"/>
    <w:rsid w:val="001943A1"/>
    <w:rsid w:val="001945D1"/>
    <w:rsid w:val="0019486E"/>
    <w:rsid w:val="00194E2D"/>
    <w:rsid w:val="001966BF"/>
    <w:rsid w:val="00196D7D"/>
    <w:rsid w:val="00196D94"/>
    <w:rsid w:val="00197C3D"/>
    <w:rsid w:val="001A125D"/>
    <w:rsid w:val="001A306D"/>
    <w:rsid w:val="001A4476"/>
    <w:rsid w:val="001A4810"/>
    <w:rsid w:val="001A48FC"/>
    <w:rsid w:val="001A6C54"/>
    <w:rsid w:val="001A70E7"/>
    <w:rsid w:val="001A7AFA"/>
    <w:rsid w:val="001A7D3A"/>
    <w:rsid w:val="001B1497"/>
    <w:rsid w:val="001B15EB"/>
    <w:rsid w:val="001B1B9A"/>
    <w:rsid w:val="001B207E"/>
    <w:rsid w:val="001B30B1"/>
    <w:rsid w:val="001B3B1A"/>
    <w:rsid w:val="001B3FAD"/>
    <w:rsid w:val="001B464C"/>
    <w:rsid w:val="001B4CE5"/>
    <w:rsid w:val="001B5F7C"/>
    <w:rsid w:val="001C098D"/>
    <w:rsid w:val="001C2ACB"/>
    <w:rsid w:val="001C2E57"/>
    <w:rsid w:val="001C3107"/>
    <w:rsid w:val="001C347B"/>
    <w:rsid w:val="001C37F6"/>
    <w:rsid w:val="001C3863"/>
    <w:rsid w:val="001C4192"/>
    <w:rsid w:val="001C592F"/>
    <w:rsid w:val="001C5F78"/>
    <w:rsid w:val="001C69DB"/>
    <w:rsid w:val="001C72F5"/>
    <w:rsid w:val="001C7738"/>
    <w:rsid w:val="001D073A"/>
    <w:rsid w:val="001D0ADB"/>
    <w:rsid w:val="001D1411"/>
    <w:rsid w:val="001D17AE"/>
    <w:rsid w:val="001D2132"/>
    <w:rsid w:val="001D2406"/>
    <w:rsid w:val="001D3402"/>
    <w:rsid w:val="001D46B7"/>
    <w:rsid w:val="001D5174"/>
    <w:rsid w:val="001D5CAD"/>
    <w:rsid w:val="001D6834"/>
    <w:rsid w:val="001E1604"/>
    <w:rsid w:val="001E19E3"/>
    <w:rsid w:val="001E1E8C"/>
    <w:rsid w:val="001E30CC"/>
    <w:rsid w:val="001E489C"/>
    <w:rsid w:val="001E625C"/>
    <w:rsid w:val="001E6604"/>
    <w:rsid w:val="001E7977"/>
    <w:rsid w:val="001F1309"/>
    <w:rsid w:val="001F1C5A"/>
    <w:rsid w:val="001F1CBC"/>
    <w:rsid w:val="001F2A76"/>
    <w:rsid w:val="001F3108"/>
    <w:rsid w:val="001F35F0"/>
    <w:rsid w:val="001F3874"/>
    <w:rsid w:val="001F41E9"/>
    <w:rsid w:val="001F4F5F"/>
    <w:rsid w:val="001F52DC"/>
    <w:rsid w:val="001F6EB6"/>
    <w:rsid w:val="00201633"/>
    <w:rsid w:val="002017C2"/>
    <w:rsid w:val="002017EE"/>
    <w:rsid w:val="00201CF5"/>
    <w:rsid w:val="00202578"/>
    <w:rsid w:val="00202EA3"/>
    <w:rsid w:val="00204B11"/>
    <w:rsid w:val="00204D09"/>
    <w:rsid w:val="00204E6D"/>
    <w:rsid w:val="002050F0"/>
    <w:rsid w:val="0020512E"/>
    <w:rsid w:val="00205174"/>
    <w:rsid w:val="002061C2"/>
    <w:rsid w:val="002067CD"/>
    <w:rsid w:val="00206EAD"/>
    <w:rsid w:val="00206EAE"/>
    <w:rsid w:val="00210381"/>
    <w:rsid w:val="00210ABA"/>
    <w:rsid w:val="00210DD8"/>
    <w:rsid w:val="00212451"/>
    <w:rsid w:val="00212716"/>
    <w:rsid w:val="00212C12"/>
    <w:rsid w:val="00214401"/>
    <w:rsid w:val="00214839"/>
    <w:rsid w:val="00215107"/>
    <w:rsid w:val="00215B16"/>
    <w:rsid w:val="00216948"/>
    <w:rsid w:val="0021749A"/>
    <w:rsid w:val="00217AE4"/>
    <w:rsid w:val="002221A4"/>
    <w:rsid w:val="00222203"/>
    <w:rsid w:val="0022254E"/>
    <w:rsid w:val="00222D41"/>
    <w:rsid w:val="002248CF"/>
    <w:rsid w:val="00224F0A"/>
    <w:rsid w:val="00225B74"/>
    <w:rsid w:val="00226243"/>
    <w:rsid w:val="002263DD"/>
    <w:rsid w:val="00230F50"/>
    <w:rsid w:val="00231184"/>
    <w:rsid w:val="00232052"/>
    <w:rsid w:val="002325CF"/>
    <w:rsid w:val="00232F1F"/>
    <w:rsid w:val="00234517"/>
    <w:rsid w:val="00234732"/>
    <w:rsid w:val="00234A44"/>
    <w:rsid w:val="00234F59"/>
    <w:rsid w:val="0023526D"/>
    <w:rsid w:val="002353D5"/>
    <w:rsid w:val="0023705A"/>
    <w:rsid w:val="00237C2C"/>
    <w:rsid w:val="00240E0D"/>
    <w:rsid w:val="002412E5"/>
    <w:rsid w:val="002420AE"/>
    <w:rsid w:val="002422B0"/>
    <w:rsid w:val="0024244A"/>
    <w:rsid w:val="00242EEF"/>
    <w:rsid w:val="00242FD6"/>
    <w:rsid w:val="0024370C"/>
    <w:rsid w:val="002439F0"/>
    <w:rsid w:val="00243AA0"/>
    <w:rsid w:val="002440DE"/>
    <w:rsid w:val="002444A3"/>
    <w:rsid w:val="002446E0"/>
    <w:rsid w:val="002452D7"/>
    <w:rsid w:val="002468DB"/>
    <w:rsid w:val="0024734C"/>
    <w:rsid w:val="002473C9"/>
    <w:rsid w:val="0025013F"/>
    <w:rsid w:val="00250C4E"/>
    <w:rsid w:val="00251A9B"/>
    <w:rsid w:val="002538F1"/>
    <w:rsid w:val="00255740"/>
    <w:rsid w:val="002564F2"/>
    <w:rsid w:val="00256927"/>
    <w:rsid w:val="002601CE"/>
    <w:rsid w:val="002603AC"/>
    <w:rsid w:val="002604C9"/>
    <w:rsid w:val="002614AA"/>
    <w:rsid w:val="00261DF7"/>
    <w:rsid w:val="0026220F"/>
    <w:rsid w:val="002629F8"/>
    <w:rsid w:val="00262D6B"/>
    <w:rsid w:val="002641E7"/>
    <w:rsid w:val="0026446D"/>
    <w:rsid w:val="00266109"/>
    <w:rsid w:val="00266B27"/>
    <w:rsid w:val="00266CB1"/>
    <w:rsid w:val="00267135"/>
    <w:rsid w:val="00272A3A"/>
    <w:rsid w:val="00272AC8"/>
    <w:rsid w:val="00274D4E"/>
    <w:rsid w:val="002754C2"/>
    <w:rsid w:val="00275878"/>
    <w:rsid w:val="00276B44"/>
    <w:rsid w:val="00276BBD"/>
    <w:rsid w:val="00277284"/>
    <w:rsid w:val="0027758E"/>
    <w:rsid w:val="002778FC"/>
    <w:rsid w:val="002807BA"/>
    <w:rsid w:val="002812D3"/>
    <w:rsid w:val="00281C74"/>
    <w:rsid w:val="0028225A"/>
    <w:rsid w:val="00282334"/>
    <w:rsid w:val="0028297E"/>
    <w:rsid w:val="00283DC5"/>
    <w:rsid w:val="00283E64"/>
    <w:rsid w:val="002848A3"/>
    <w:rsid w:val="00284DF3"/>
    <w:rsid w:val="002853E3"/>
    <w:rsid w:val="00285545"/>
    <w:rsid w:val="00285556"/>
    <w:rsid w:val="002857BF"/>
    <w:rsid w:val="00286BEA"/>
    <w:rsid w:val="00287734"/>
    <w:rsid w:val="00287C0E"/>
    <w:rsid w:val="002904F2"/>
    <w:rsid w:val="00290A0B"/>
    <w:rsid w:val="00290EE0"/>
    <w:rsid w:val="0029159F"/>
    <w:rsid w:val="002926BA"/>
    <w:rsid w:val="00292B32"/>
    <w:rsid w:val="00293271"/>
    <w:rsid w:val="00293560"/>
    <w:rsid w:val="002936E1"/>
    <w:rsid w:val="002945B3"/>
    <w:rsid w:val="00295D39"/>
    <w:rsid w:val="00296A98"/>
    <w:rsid w:val="002978F8"/>
    <w:rsid w:val="0029794C"/>
    <w:rsid w:val="002A063B"/>
    <w:rsid w:val="002A0E17"/>
    <w:rsid w:val="002A1776"/>
    <w:rsid w:val="002A1810"/>
    <w:rsid w:val="002A1EC6"/>
    <w:rsid w:val="002A249E"/>
    <w:rsid w:val="002A260E"/>
    <w:rsid w:val="002A3492"/>
    <w:rsid w:val="002A3DBD"/>
    <w:rsid w:val="002A4619"/>
    <w:rsid w:val="002A466F"/>
    <w:rsid w:val="002A4913"/>
    <w:rsid w:val="002A4EC7"/>
    <w:rsid w:val="002A5A21"/>
    <w:rsid w:val="002A5E75"/>
    <w:rsid w:val="002A6935"/>
    <w:rsid w:val="002A6B06"/>
    <w:rsid w:val="002A7C79"/>
    <w:rsid w:val="002B171A"/>
    <w:rsid w:val="002B3313"/>
    <w:rsid w:val="002B3634"/>
    <w:rsid w:val="002B3A8F"/>
    <w:rsid w:val="002B471B"/>
    <w:rsid w:val="002B4F0F"/>
    <w:rsid w:val="002B568A"/>
    <w:rsid w:val="002B5714"/>
    <w:rsid w:val="002B61F7"/>
    <w:rsid w:val="002B6DDD"/>
    <w:rsid w:val="002B7667"/>
    <w:rsid w:val="002B7746"/>
    <w:rsid w:val="002B7E09"/>
    <w:rsid w:val="002C0151"/>
    <w:rsid w:val="002C0AD8"/>
    <w:rsid w:val="002C1028"/>
    <w:rsid w:val="002C122F"/>
    <w:rsid w:val="002C1B57"/>
    <w:rsid w:val="002C1CDF"/>
    <w:rsid w:val="002C1E27"/>
    <w:rsid w:val="002C202E"/>
    <w:rsid w:val="002C2144"/>
    <w:rsid w:val="002C295F"/>
    <w:rsid w:val="002C3DAD"/>
    <w:rsid w:val="002C4CD7"/>
    <w:rsid w:val="002C67A9"/>
    <w:rsid w:val="002C6EF6"/>
    <w:rsid w:val="002C716D"/>
    <w:rsid w:val="002C7341"/>
    <w:rsid w:val="002C7393"/>
    <w:rsid w:val="002C7B8E"/>
    <w:rsid w:val="002D08BC"/>
    <w:rsid w:val="002D0FAF"/>
    <w:rsid w:val="002D3490"/>
    <w:rsid w:val="002D3C91"/>
    <w:rsid w:val="002D5952"/>
    <w:rsid w:val="002D59FF"/>
    <w:rsid w:val="002D5E08"/>
    <w:rsid w:val="002D6190"/>
    <w:rsid w:val="002D6624"/>
    <w:rsid w:val="002D66F8"/>
    <w:rsid w:val="002D6AAD"/>
    <w:rsid w:val="002E0272"/>
    <w:rsid w:val="002E0564"/>
    <w:rsid w:val="002E057D"/>
    <w:rsid w:val="002E0A25"/>
    <w:rsid w:val="002E1A2C"/>
    <w:rsid w:val="002E3F4F"/>
    <w:rsid w:val="002E4A72"/>
    <w:rsid w:val="002E580B"/>
    <w:rsid w:val="002E5AD9"/>
    <w:rsid w:val="002E6E28"/>
    <w:rsid w:val="002E872D"/>
    <w:rsid w:val="002F0485"/>
    <w:rsid w:val="002F0CAC"/>
    <w:rsid w:val="002F1ECD"/>
    <w:rsid w:val="002F2620"/>
    <w:rsid w:val="002F2E91"/>
    <w:rsid w:val="002F3537"/>
    <w:rsid w:val="002F3592"/>
    <w:rsid w:val="002F3DB8"/>
    <w:rsid w:val="002F58B2"/>
    <w:rsid w:val="002F59AC"/>
    <w:rsid w:val="002F63D8"/>
    <w:rsid w:val="002F760C"/>
    <w:rsid w:val="0030007D"/>
    <w:rsid w:val="00300397"/>
    <w:rsid w:val="003014F0"/>
    <w:rsid w:val="00301DA7"/>
    <w:rsid w:val="00302287"/>
    <w:rsid w:val="00302F84"/>
    <w:rsid w:val="00303E7A"/>
    <w:rsid w:val="00303FAE"/>
    <w:rsid w:val="0030673B"/>
    <w:rsid w:val="00307D96"/>
    <w:rsid w:val="00311DBE"/>
    <w:rsid w:val="00312571"/>
    <w:rsid w:val="00312C88"/>
    <w:rsid w:val="00315D6C"/>
    <w:rsid w:val="00315FBC"/>
    <w:rsid w:val="003178CB"/>
    <w:rsid w:val="00317F6A"/>
    <w:rsid w:val="00317FB3"/>
    <w:rsid w:val="003208A4"/>
    <w:rsid w:val="00323DD0"/>
    <w:rsid w:val="00324699"/>
    <w:rsid w:val="00324949"/>
    <w:rsid w:val="00324E2B"/>
    <w:rsid w:val="00325574"/>
    <w:rsid w:val="003256E6"/>
    <w:rsid w:val="00325721"/>
    <w:rsid w:val="00325C8B"/>
    <w:rsid w:val="00327B1D"/>
    <w:rsid w:val="00327D7D"/>
    <w:rsid w:val="00327E05"/>
    <w:rsid w:val="003308DE"/>
    <w:rsid w:val="00331F7B"/>
    <w:rsid w:val="00332018"/>
    <w:rsid w:val="003342BB"/>
    <w:rsid w:val="003352FF"/>
    <w:rsid w:val="00335488"/>
    <w:rsid w:val="00335915"/>
    <w:rsid w:val="00337C6B"/>
    <w:rsid w:val="00340B90"/>
    <w:rsid w:val="00340BB9"/>
    <w:rsid w:val="00340C1C"/>
    <w:rsid w:val="00342709"/>
    <w:rsid w:val="00345903"/>
    <w:rsid w:val="003459CD"/>
    <w:rsid w:val="0034651E"/>
    <w:rsid w:val="0034672F"/>
    <w:rsid w:val="00347A4D"/>
    <w:rsid w:val="00351078"/>
    <w:rsid w:val="0035224D"/>
    <w:rsid w:val="00353EE8"/>
    <w:rsid w:val="00356BD0"/>
    <w:rsid w:val="00356E05"/>
    <w:rsid w:val="00357FA4"/>
    <w:rsid w:val="00360751"/>
    <w:rsid w:val="00362E82"/>
    <w:rsid w:val="003631C1"/>
    <w:rsid w:val="00363351"/>
    <w:rsid w:val="00363481"/>
    <w:rsid w:val="00363FBB"/>
    <w:rsid w:val="00364996"/>
    <w:rsid w:val="00364EB7"/>
    <w:rsid w:val="003659DD"/>
    <w:rsid w:val="00365EC9"/>
    <w:rsid w:val="00366913"/>
    <w:rsid w:val="003669E2"/>
    <w:rsid w:val="00366E3D"/>
    <w:rsid w:val="003678AF"/>
    <w:rsid w:val="003678D4"/>
    <w:rsid w:val="0037141C"/>
    <w:rsid w:val="00371A27"/>
    <w:rsid w:val="00371E69"/>
    <w:rsid w:val="00372D34"/>
    <w:rsid w:val="00375A12"/>
    <w:rsid w:val="00375DB1"/>
    <w:rsid w:val="0037673E"/>
    <w:rsid w:val="00376EF4"/>
    <w:rsid w:val="00377029"/>
    <w:rsid w:val="00377343"/>
    <w:rsid w:val="00380DA5"/>
    <w:rsid w:val="0038334B"/>
    <w:rsid w:val="003837CB"/>
    <w:rsid w:val="00383F42"/>
    <w:rsid w:val="00384750"/>
    <w:rsid w:val="0038485D"/>
    <w:rsid w:val="003850E0"/>
    <w:rsid w:val="00385379"/>
    <w:rsid w:val="00385F93"/>
    <w:rsid w:val="003869A3"/>
    <w:rsid w:val="00386C18"/>
    <w:rsid w:val="003900CE"/>
    <w:rsid w:val="003906EF"/>
    <w:rsid w:val="00390FE7"/>
    <w:rsid w:val="00391BD0"/>
    <w:rsid w:val="00391CFF"/>
    <w:rsid w:val="00392E17"/>
    <w:rsid w:val="00393BAE"/>
    <w:rsid w:val="00393DFE"/>
    <w:rsid w:val="00393FF2"/>
    <w:rsid w:val="0039489D"/>
    <w:rsid w:val="00395274"/>
    <w:rsid w:val="003956F4"/>
    <w:rsid w:val="00395E71"/>
    <w:rsid w:val="003960BA"/>
    <w:rsid w:val="003960EB"/>
    <w:rsid w:val="00396D55"/>
    <w:rsid w:val="003971A0"/>
    <w:rsid w:val="00397CF5"/>
    <w:rsid w:val="003A043C"/>
    <w:rsid w:val="003A081F"/>
    <w:rsid w:val="003A0DF1"/>
    <w:rsid w:val="003A133A"/>
    <w:rsid w:val="003A2233"/>
    <w:rsid w:val="003A2D3C"/>
    <w:rsid w:val="003A2DB6"/>
    <w:rsid w:val="003A4050"/>
    <w:rsid w:val="003A41F8"/>
    <w:rsid w:val="003A4BEF"/>
    <w:rsid w:val="003A56F8"/>
    <w:rsid w:val="003A5B15"/>
    <w:rsid w:val="003A5FE3"/>
    <w:rsid w:val="003A6676"/>
    <w:rsid w:val="003A711B"/>
    <w:rsid w:val="003B0DC7"/>
    <w:rsid w:val="003B18DF"/>
    <w:rsid w:val="003B22F3"/>
    <w:rsid w:val="003B2A1B"/>
    <w:rsid w:val="003B2C11"/>
    <w:rsid w:val="003B317F"/>
    <w:rsid w:val="003B31EA"/>
    <w:rsid w:val="003B394C"/>
    <w:rsid w:val="003B3D71"/>
    <w:rsid w:val="003B4544"/>
    <w:rsid w:val="003B4927"/>
    <w:rsid w:val="003B547A"/>
    <w:rsid w:val="003B5953"/>
    <w:rsid w:val="003B6AB9"/>
    <w:rsid w:val="003B79C5"/>
    <w:rsid w:val="003B7CA4"/>
    <w:rsid w:val="003C0915"/>
    <w:rsid w:val="003C0B92"/>
    <w:rsid w:val="003C2555"/>
    <w:rsid w:val="003C48B9"/>
    <w:rsid w:val="003C57D8"/>
    <w:rsid w:val="003C5C45"/>
    <w:rsid w:val="003C65C8"/>
    <w:rsid w:val="003C6FB3"/>
    <w:rsid w:val="003C742A"/>
    <w:rsid w:val="003C755F"/>
    <w:rsid w:val="003C7A1F"/>
    <w:rsid w:val="003D148D"/>
    <w:rsid w:val="003D1551"/>
    <w:rsid w:val="003D243D"/>
    <w:rsid w:val="003D29C9"/>
    <w:rsid w:val="003D42E9"/>
    <w:rsid w:val="003D52A6"/>
    <w:rsid w:val="003D556D"/>
    <w:rsid w:val="003D5620"/>
    <w:rsid w:val="003D5CE3"/>
    <w:rsid w:val="003D63CE"/>
    <w:rsid w:val="003D6EC7"/>
    <w:rsid w:val="003E0B16"/>
    <w:rsid w:val="003E2C77"/>
    <w:rsid w:val="003E4098"/>
    <w:rsid w:val="003E4258"/>
    <w:rsid w:val="003E48B6"/>
    <w:rsid w:val="003E495C"/>
    <w:rsid w:val="003E49BC"/>
    <w:rsid w:val="003E631A"/>
    <w:rsid w:val="003E6967"/>
    <w:rsid w:val="003E6F89"/>
    <w:rsid w:val="003E7317"/>
    <w:rsid w:val="003E74B0"/>
    <w:rsid w:val="003E7A9F"/>
    <w:rsid w:val="003F1419"/>
    <w:rsid w:val="003F2694"/>
    <w:rsid w:val="003F3A4A"/>
    <w:rsid w:val="003F542A"/>
    <w:rsid w:val="003F5685"/>
    <w:rsid w:val="003F5B4E"/>
    <w:rsid w:val="003F6C4F"/>
    <w:rsid w:val="003F70FA"/>
    <w:rsid w:val="003F78BC"/>
    <w:rsid w:val="003F7D64"/>
    <w:rsid w:val="00401978"/>
    <w:rsid w:val="00401E13"/>
    <w:rsid w:val="00402F82"/>
    <w:rsid w:val="0040576E"/>
    <w:rsid w:val="004060F2"/>
    <w:rsid w:val="004062CE"/>
    <w:rsid w:val="0040663B"/>
    <w:rsid w:val="00406B98"/>
    <w:rsid w:val="00407203"/>
    <w:rsid w:val="004073AA"/>
    <w:rsid w:val="004105BA"/>
    <w:rsid w:val="004106A9"/>
    <w:rsid w:val="00410CA6"/>
    <w:rsid w:val="0041114C"/>
    <w:rsid w:val="0041220C"/>
    <w:rsid w:val="00413153"/>
    <w:rsid w:val="00414168"/>
    <w:rsid w:val="00414A85"/>
    <w:rsid w:val="0041510C"/>
    <w:rsid w:val="004152A6"/>
    <w:rsid w:val="0041586F"/>
    <w:rsid w:val="00416449"/>
    <w:rsid w:val="00417665"/>
    <w:rsid w:val="00420572"/>
    <w:rsid w:val="0042079A"/>
    <w:rsid w:val="004209B8"/>
    <w:rsid w:val="004212DC"/>
    <w:rsid w:val="00421586"/>
    <w:rsid w:val="0042302A"/>
    <w:rsid w:val="004239DE"/>
    <w:rsid w:val="00424A59"/>
    <w:rsid w:val="00425FA2"/>
    <w:rsid w:val="004272A7"/>
    <w:rsid w:val="00427B11"/>
    <w:rsid w:val="00430F5E"/>
    <w:rsid w:val="00431394"/>
    <w:rsid w:val="00431770"/>
    <w:rsid w:val="00431BE9"/>
    <w:rsid w:val="004343C9"/>
    <w:rsid w:val="004343E7"/>
    <w:rsid w:val="00435B37"/>
    <w:rsid w:val="00436465"/>
    <w:rsid w:val="004367F6"/>
    <w:rsid w:val="00436D1A"/>
    <w:rsid w:val="00437301"/>
    <w:rsid w:val="00437776"/>
    <w:rsid w:val="00437D00"/>
    <w:rsid w:val="00440809"/>
    <w:rsid w:val="00440EC2"/>
    <w:rsid w:val="00441072"/>
    <w:rsid w:val="00441677"/>
    <w:rsid w:val="0044209C"/>
    <w:rsid w:val="00442112"/>
    <w:rsid w:val="004426DA"/>
    <w:rsid w:val="00442EFA"/>
    <w:rsid w:val="004435F8"/>
    <w:rsid w:val="00443B8E"/>
    <w:rsid w:val="00443F84"/>
    <w:rsid w:val="0044433E"/>
    <w:rsid w:val="00445005"/>
    <w:rsid w:val="0044546B"/>
    <w:rsid w:val="00446234"/>
    <w:rsid w:val="0044663F"/>
    <w:rsid w:val="004472B3"/>
    <w:rsid w:val="0044736E"/>
    <w:rsid w:val="004503C2"/>
    <w:rsid w:val="00450708"/>
    <w:rsid w:val="0045075C"/>
    <w:rsid w:val="00451488"/>
    <w:rsid w:val="00451574"/>
    <w:rsid w:val="00451D43"/>
    <w:rsid w:val="00452092"/>
    <w:rsid w:val="0045244C"/>
    <w:rsid w:val="00452CCD"/>
    <w:rsid w:val="0045407B"/>
    <w:rsid w:val="004540AF"/>
    <w:rsid w:val="0045446A"/>
    <w:rsid w:val="00456029"/>
    <w:rsid w:val="004566EC"/>
    <w:rsid w:val="00456F95"/>
    <w:rsid w:val="0045726B"/>
    <w:rsid w:val="0045728E"/>
    <w:rsid w:val="004574F9"/>
    <w:rsid w:val="00457779"/>
    <w:rsid w:val="00461B84"/>
    <w:rsid w:val="00461D08"/>
    <w:rsid w:val="00464C6A"/>
    <w:rsid w:val="00465839"/>
    <w:rsid w:val="004664C0"/>
    <w:rsid w:val="00466977"/>
    <w:rsid w:val="00466F87"/>
    <w:rsid w:val="00466FD6"/>
    <w:rsid w:val="00467C28"/>
    <w:rsid w:val="00470460"/>
    <w:rsid w:val="00473047"/>
    <w:rsid w:val="00473213"/>
    <w:rsid w:val="00473278"/>
    <w:rsid w:val="0047335B"/>
    <w:rsid w:val="004735D2"/>
    <w:rsid w:val="0047360E"/>
    <w:rsid w:val="004743AD"/>
    <w:rsid w:val="00474D62"/>
    <w:rsid w:val="004750BF"/>
    <w:rsid w:val="00475259"/>
    <w:rsid w:val="00476106"/>
    <w:rsid w:val="0047673E"/>
    <w:rsid w:val="00476C95"/>
    <w:rsid w:val="004771E4"/>
    <w:rsid w:val="00477538"/>
    <w:rsid w:val="004777F8"/>
    <w:rsid w:val="00477906"/>
    <w:rsid w:val="004801AD"/>
    <w:rsid w:val="0048166F"/>
    <w:rsid w:val="00481839"/>
    <w:rsid w:val="00482A42"/>
    <w:rsid w:val="00482D93"/>
    <w:rsid w:val="004842DD"/>
    <w:rsid w:val="0048434A"/>
    <w:rsid w:val="00484433"/>
    <w:rsid w:val="004849C2"/>
    <w:rsid w:val="00485EC2"/>
    <w:rsid w:val="00486264"/>
    <w:rsid w:val="00486B66"/>
    <w:rsid w:val="00486D6D"/>
    <w:rsid w:val="00487794"/>
    <w:rsid w:val="00487EE4"/>
    <w:rsid w:val="0049052E"/>
    <w:rsid w:val="0049064E"/>
    <w:rsid w:val="00490D98"/>
    <w:rsid w:val="0049180B"/>
    <w:rsid w:val="00491FCB"/>
    <w:rsid w:val="00492374"/>
    <w:rsid w:val="004928B0"/>
    <w:rsid w:val="004930AF"/>
    <w:rsid w:val="00493993"/>
    <w:rsid w:val="00493D9D"/>
    <w:rsid w:val="00493DF0"/>
    <w:rsid w:val="00493E06"/>
    <w:rsid w:val="00494F75"/>
    <w:rsid w:val="0049533C"/>
    <w:rsid w:val="004954FB"/>
    <w:rsid w:val="00495BD0"/>
    <w:rsid w:val="00495FC6"/>
    <w:rsid w:val="00497517"/>
    <w:rsid w:val="0049751D"/>
    <w:rsid w:val="00497E44"/>
    <w:rsid w:val="004A1D4A"/>
    <w:rsid w:val="004A2200"/>
    <w:rsid w:val="004A2554"/>
    <w:rsid w:val="004A3284"/>
    <w:rsid w:val="004A371F"/>
    <w:rsid w:val="004A3B01"/>
    <w:rsid w:val="004A415C"/>
    <w:rsid w:val="004A5221"/>
    <w:rsid w:val="004A547D"/>
    <w:rsid w:val="004A5E15"/>
    <w:rsid w:val="004B0239"/>
    <w:rsid w:val="004B0322"/>
    <w:rsid w:val="004B0754"/>
    <w:rsid w:val="004B165B"/>
    <w:rsid w:val="004B19D2"/>
    <w:rsid w:val="004B4990"/>
    <w:rsid w:val="004B4A71"/>
    <w:rsid w:val="004B5141"/>
    <w:rsid w:val="004B545E"/>
    <w:rsid w:val="004B5984"/>
    <w:rsid w:val="004B7023"/>
    <w:rsid w:val="004B7561"/>
    <w:rsid w:val="004C04DF"/>
    <w:rsid w:val="004C090A"/>
    <w:rsid w:val="004C0B2D"/>
    <w:rsid w:val="004C0E8E"/>
    <w:rsid w:val="004C16FF"/>
    <w:rsid w:val="004C2366"/>
    <w:rsid w:val="004C23AE"/>
    <w:rsid w:val="004C2467"/>
    <w:rsid w:val="004C427E"/>
    <w:rsid w:val="004C4F59"/>
    <w:rsid w:val="004C64B2"/>
    <w:rsid w:val="004D05C1"/>
    <w:rsid w:val="004D0ACB"/>
    <w:rsid w:val="004D2F6C"/>
    <w:rsid w:val="004D4A39"/>
    <w:rsid w:val="004D4DA9"/>
    <w:rsid w:val="004D5A1B"/>
    <w:rsid w:val="004D5AC8"/>
    <w:rsid w:val="004D5B05"/>
    <w:rsid w:val="004D739E"/>
    <w:rsid w:val="004E05F2"/>
    <w:rsid w:val="004E116D"/>
    <w:rsid w:val="004E222D"/>
    <w:rsid w:val="004E3151"/>
    <w:rsid w:val="004E31AC"/>
    <w:rsid w:val="004E43FE"/>
    <w:rsid w:val="004E48DA"/>
    <w:rsid w:val="004E6956"/>
    <w:rsid w:val="004E6DA6"/>
    <w:rsid w:val="004F0B6F"/>
    <w:rsid w:val="004F15B3"/>
    <w:rsid w:val="004F1FD4"/>
    <w:rsid w:val="004F2655"/>
    <w:rsid w:val="004F2A3A"/>
    <w:rsid w:val="004F2FA7"/>
    <w:rsid w:val="004F386D"/>
    <w:rsid w:val="004F47EC"/>
    <w:rsid w:val="004F5D8F"/>
    <w:rsid w:val="004F6A91"/>
    <w:rsid w:val="004F72A9"/>
    <w:rsid w:val="004F79E9"/>
    <w:rsid w:val="004F7E6A"/>
    <w:rsid w:val="005001A8"/>
    <w:rsid w:val="005006FD"/>
    <w:rsid w:val="00500AFE"/>
    <w:rsid w:val="005022B4"/>
    <w:rsid w:val="0050255C"/>
    <w:rsid w:val="00502D4C"/>
    <w:rsid w:val="005032C2"/>
    <w:rsid w:val="00504E25"/>
    <w:rsid w:val="005050D3"/>
    <w:rsid w:val="005064A3"/>
    <w:rsid w:val="0050723C"/>
    <w:rsid w:val="005072C6"/>
    <w:rsid w:val="005076A3"/>
    <w:rsid w:val="00507C80"/>
    <w:rsid w:val="00511DD4"/>
    <w:rsid w:val="005126B8"/>
    <w:rsid w:val="00512B8D"/>
    <w:rsid w:val="0051396E"/>
    <w:rsid w:val="00513B5D"/>
    <w:rsid w:val="00513D7B"/>
    <w:rsid w:val="00514871"/>
    <w:rsid w:val="00514A5D"/>
    <w:rsid w:val="0051524E"/>
    <w:rsid w:val="00515DB3"/>
    <w:rsid w:val="0051692D"/>
    <w:rsid w:val="0051776C"/>
    <w:rsid w:val="00517D14"/>
    <w:rsid w:val="00520C8F"/>
    <w:rsid w:val="0052131F"/>
    <w:rsid w:val="00521D9C"/>
    <w:rsid w:val="0052231A"/>
    <w:rsid w:val="00522E26"/>
    <w:rsid w:val="00523FF6"/>
    <w:rsid w:val="005240F7"/>
    <w:rsid w:val="00525151"/>
    <w:rsid w:val="00526E21"/>
    <w:rsid w:val="00527E4E"/>
    <w:rsid w:val="00527F3F"/>
    <w:rsid w:val="00527FA8"/>
    <w:rsid w:val="00530E73"/>
    <w:rsid w:val="00530F33"/>
    <w:rsid w:val="00530F58"/>
    <w:rsid w:val="005327ED"/>
    <w:rsid w:val="00532834"/>
    <w:rsid w:val="00533923"/>
    <w:rsid w:val="00533A5E"/>
    <w:rsid w:val="00533E47"/>
    <w:rsid w:val="00534615"/>
    <w:rsid w:val="00534759"/>
    <w:rsid w:val="00534F9F"/>
    <w:rsid w:val="00535AB0"/>
    <w:rsid w:val="00535DEB"/>
    <w:rsid w:val="00536414"/>
    <w:rsid w:val="00536F66"/>
    <w:rsid w:val="0054000F"/>
    <w:rsid w:val="00540F95"/>
    <w:rsid w:val="005422A1"/>
    <w:rsid w:val="0054242C"/>
    <w:rsid w:val="005424DE"/>
    <w:rsid w:val="0054311D"/>
    <w:rsid w:val="00543AFC"/>
    <w:rsid w:val="005449CD"/>
    <w:rsid w:val="0054515F"/>
    <w:rsid w:val="00546417"/>
    <w:rsid w:val="00546D8C"/>
    <w:rsid w:val="00546E18"/>
    <w:rsid w:val="00547572"/>
    <w:rsid w:val="00552802"/>
    <w:rsid w:val="00552B70"/>
    <w:rsid w:val="005547FC"/>
    <w:rsid w:val="005549BF"/>
    <w:rsid w:val="00554EA8"/>
    <w:rsid w:val="0055525E"/>
    <w:rsid w:val="00555C90"/>
    <w:rsid w:val="005607EF"/>
    <w:rsid w:val="0056252D"/>
    <w:rsid w:val="00563109"/>
    <w:rsid w:val="00563D87"/>
    <w:rsid w:val="00564D34"/>
    <w:rsid w:val="0056510A"/>
    <w:rsid w:val="005665C2"/>
    <w:rsid w:val="0056720A"/>
    <w:rsid w:val="005672C7"/>
    <w:rsid w:val="0056730E"/>
    <w:rsid w:val="00567886"/>
    <w:rsid w:val="00570686"/>
    <w:rsid w:val="00571047"/>
    <w:rsid w:val="00571808"/>
    <w:rsid w:val="00571DD3"/>
    <w:rsid w:val="00571E0D"/>
    <w:rsid w:val="005722A9"/>
    <w:rsid w:val="00572380"/>
    <w:rsid w:val="005737A8"/>
    <w:rsid w:val="00573C5D"/>
    <w:rsid w:val="005740D1"/>
    <w:rsid w:val="005750AD"/>
    <w:rsid w:val="00575E0C"/>
    <w:rsid w:val="00576DDD"/>
    <w:rsid w:val="0057705D"/>
    <w:rsid w:val="00577208"/>
    <w:rsid w:val="00577503"/>
    <w:rsid w:val="00577F1A"/>
    <w:rsid w:val="00577FC8"/>
    <w:rsid w:val="00580885"/>
    <w:rsid w:val="00581560"/>
    <w:rsid w:val="005816F9"/>
    <w:rsid w:val="00581CB8"/>
    <w:rsid w:val="00582CE9"/>
    <w:rsid w:val="00584CE1"/>
    <w:rsid w:val="005855E5"/>
    <w:rsid w:val="005902F6"/>
    <w:rsid w:val="00590C70"/>
    <w:rsid w:val="005913FD"/>
    <w:rsid w:val="005918DC"/>
    <w:rsid w:val="00592217"/>
    <w:rsid w:val="00592404"/>
    <w:rsid w:val="005927E0"/>
    <w:rsid w:val="00592808"/>
    <w:rsid w:val="00592E88"/>
    <w:rsid w:val="00593990"/>
    <w:rsid w:val="00593D91"/>
    <w:rsid w:val="0059414E"/>
    <w:rsid w:val="005942AE"/>
    <w:rsid w:val="005947E0"/>
    <w:rsid w:val="005949F8"/>
    <w:rsid w:val="00594D37"/>
    <w:rsid w:val="0059619C"/>
    <w:rsid w:val="00597F6C"/>
    <w:rsid w:val="005A05C4"/>
    <w:rsid w:val="005A0958"/>
    <w:rsid w:val="005A1177"/>
    <w:rsid w:val="005A1361"/>
    <w:rsid w:val="005A14A0"/>
    <w:rsid w:val="005A1CE1"/>
    <w:rsid w:val="005A33E4"/>
    <w:rsid w:val="005A515A"/>
    <w:rsid w:val="005A5997"/>
    <w:rsid w:val="005A63A7"/>
    <w:rsid w:val="005A6A6A"/>
    <w:rsid w:val="005A6A6F"/>
    <w:rsid w:val="005A6B20"/>
    <w:rsid w:val="005A6DD0"/>
    <w:rsid w:val="005A6F24"/>
    <w:rsid w:val="005A70A8"/>
    <w:rsid w:val="005A79AC"/>
    <w:rsid w:val="005A7E72"/>
    <w:rsid w:val="005B0DD5"/>
    <w:rsid w:val="005B14F6"/>
    <w:rsid w:val="005B196C"/>
    <w:rsid w:val="005B1DAA"/>
    <w:rsid w:val="005B1FEF"/>
    <w:rsid w:val="005B30FB"/>
    <w:rsid w:val="005B3B40"/>
    <w:rsid w:val="005B3DC7"/>
    <w:rsid w:val="005B466C"/>
    <w:rsid w:val="005B5DD8"/>
    <w:rsid w:val="005B6E0F"/>
    <w:rsid w:val="005B7B63"/>
    <w:rsid w:val="005C0292"/>
    <w:rsid w:val="005C2DB0"/>
    <w:rsid w:val="005C310B"/>
    <w:rsid w:val="005C3843"/>
    <w:rsid w:val="005C4547"/>
    <w:rsid w:val="005C4B5C"/>
    <w:rsid w:val="005C4C41"/>
    <w:rsid w:val="005C5E5B"/>
    <w:rsid w:val="005C7086"/>
    <w:rsid w:val="005C727F"/>
    <w:rsid w:val="005C75FA"/>
    <w:rsid w:val="005D06F6"/>
    <w:rsid w:val="005D11D3"/>
    <w:rsid w:val="005D1E49"/>
    <w:rsid w:val="005D2804"/>
    <w:rsid w:val="005D4602"/>
    <w:rsid w:val="005D46FA"/>
    <w:rsid w:val="005D49EB"/>
    <w:rsid w:val="005D7AFC"/>
    <w:rsid w:val="005E013D"/>
    <w:rsid w:val="005E0774"/>
    <w:rsid w:val="005E0D4B"/>
    <w:rsid w:val="005E37D1"/>
    <w:rsid w:val="005E3C1F"/>
    <w:rsid w:val="005E47D3"/>
    <w:rsid w:val="005E481E"/>
    <w:rsid w:val="005E4824"/>
    <w:rsid w:val="005E4A34"/>
    <w:rsid w:val="005E5306"/>
    <w:rsid w:val="005E5B7F"/>
    <w:rsid w:val="005E77E0"/>
    <w:rsid w:val="005E7A4F"/>
    <w:rsid w:val="005E7AB3"/>
    <w:rsid w:val="005F1450"/>
    <w:rsid w:val="005F18F8"/>
    <w:rsid w:val="005F2527"/>
    <w:rsid w:val="005F3867"/>
    <w:rsid w:val="005F41B9"/>
    <w:rsid w:val="005F6029"/>
    <w:rsid w:val="005F66B1"/>
    <w:rsid w:val="005F6E06"/>
    <w:rsid w:val="005F702B"/>
    <w:rsid w:val="005F76B1"/>
    <w:rsid w:val="005F79FB"/>
    <w:rsid w:val="00601C22"/>
    <w:rsid w:val="006026D6"/>
    <w:rsid w:val="006029A8"/>
    <w:rsid w:val="0060356C"/>
    <w:rsid w:val="00604320"/>
    <w:rsid w:val="00606020"/>
    <w:rsid w:val="006069F3"/>
    <w:rsid w:val="00610748"/>
    <w:rsid w:val="00610D1C"/>
    <w:rsid w:val="006113DC"/>
    <w:rsid w:val="00612F4D"/>
    <w:rsid w:val="00613235"/>
    <w:rsid w:val="006133D8"/>
    <w:rsid w:val="00613669"/>
    <w:rsid w:val="0061386A"/>
    <w:rsid w:val="006142E2"/>
    <w:rsid w:val="0061529A"/>
    <w:rsid w:val="00616495"/>
    <w:rsid w:val="00616FE5"/>
    <w:rsid w:val="0062041C"/>
    <w:rsid w:val="006217B2"/>
    <w:rsid w:val="00621E94"/>
    <w:rsid w:val="00622828"/>
    <w:rsid w:val="006229B9"/>
    <w:rsid w:val="00622A29"/>
    <w:rsid w:val="0062386A"/>
    <w:rsid w:val="006240FE"/>
    <w:rsid w:val="006249E9"/>
    <w:rsid w:val="00624E57"/>
    <w:rsid w:val="00625530"/>
    <w:rsid w:val="006266AA"/>
    <w:rsid w:val="0062707F"/>
    <w:rsid w:val="00627087"/>
    <w:rsid w:val="00627773"/>
    <w:rsid w:val="006277F7"/>
    <w:rsid w:val="00627E00"/>
    <w:rsid w:val="006310A0"/>
    <w:rsid w:val="00631381"/>
    <w:rsid w:val="00631D9E"/>
    <w:rsid w:val="00631FED"/>
    <w:rsid w:val="0063337D"/>
    <w:rsid w:val="0063350C"/>
    <w:rsid w:val="006379F3"/>
    <w:rsid w:val="00640499"/>
    <w:rsid w:val="00642539"/>
    <w:rsid w:val="006426F4"/>
    <w:rsid w:val="00642FAF"/>
    <w:rsid w:val="00645035"/>
    <w:rsid w:val="006451E6"/>
    <w:rsid w:val="00646C3D"/>
    <w:rsid w:val="006505A0"/>
    <w:rsid w:val="00650A86"/>
    <w:rsid w:val="0065155A"/>
    <w:rsid w:val="00651AB8"/>
    <w:rsid w:val="00651D31"/>
    <w:rsid w:val="00651E9A"/>
    <w:rsid w:val="006542C6"/>
    <w:rsid w:val="00655903"/>
    <w:rsid w:val="00655AB9"/>
    <w:rsid w:val="00656076"/>
    <w:rsid w:val="00656463"/>
    <w:rsid w:val="006572B4"/>
    <w:rsid w:val="0065761C"/>
    <w:rsid w:val="006577E3"/>
    <w:rsid w:val="00657ED5"/>
    <w:rsid w:val="006602A8"/>
    <w:rsid w:val="00660656"/>
    <w:rsid w:val="00660746"/>
    <w:rsid w:val="00661279"/>
    <w:rsid w:val="006614A5"/>
    <w:rsid w:val="00661BB7"/>
    <w:rsid w:val="00661CEF"/>
    <w:rsid w:val="006621C7"/>
    <w:rsid w:val="0066223C"/>
    <w:rsid w:val="00662667"/>
    <w:rsid w:val="006627B3"/>
    <w:rsid w:val="00662BD6"/>
    <w:rsid w:val="006641EB"/>
    <w:rsid w:val="006658B2"/>
    <w:rsid w:val="00666B63"/>
    <w:rsid w:val="00666C8E"/>
    <w:rsid w:val="00666D99"/>
    <w:rsid w:val="00667848"/>
    <w:rsid w:val="0066787E"/>
    <w:rsid w:val="0067094F"/>
    <w:rsid w:val="00670DAF"/>
    <w:rsid w:val="0067143C"/>
    <w:rsid w:val="00673F2B"/>
    <w:rsid w:val="006750A7"/>
    <w:rsid w:val="0067709F"/>
    <w:rsid w:val="00677397"/>
    <w:rsid w:val="006802F3"/>
    <w:rsid w:val="00680986"/>
    <w:rsid w:val="00681BD0"/>
    <w:rsid w:val="00681CBE"/>
    <w:rsid w:val="0068228F"/>
    <w:rsid w:val="00683306"/>
    <w:rsid w:val="006836F2"/>
    <w:rsid w:val="006837BE"/>
    <w:rsid w:val="00683C77"/>
    <w:rsid w:val="006847F9"/>
    <w:rsid w:val="00684F4D"/>
    <w:rsid w:val="0068555E"/>
    <w:rsid w:val="00685A19"/>
    <w:rsid w:val="00685A6A"/>
    <w:rsid w:val="006863E4"/>
    <w:rsid w:val="00686593"/>
    <w:rsid w:val="00687278"/>
    <w:rsid w:val="00687A44"/>
    <w:rsid w:val="00687CB8"/>
    <w:rsid w:val="0069206C"/>
    <w:rsid w:val="006922E3"/>
    <w:rsid w:val="0069326A"/>
    <w:rsid w:val="006944F5"/>
    <w:rsid w:val="00695DD9"/>
    <w:rsid w:val="00697266"/>
    <w:rsid w:val="006A0670"/>
    <w:rsid w:val="006A128A"/>
    <w:rsid w:val="006A2237"/>
    <w:rsid w:val="006A2410"/>
    <w:rsid w:val="006A25C7"/>
    <w:rsid w:val="006A34EA"/>
    <w:rsid w:val="006A4154"/>
    <w:rsid w:val="006A4CF7"/>
    <w:rsid w:val="006A4D27"/>
    <w:rsid w:val="006A4F9D"/>
    <w:rsid w:val="006A52ED"/>
    <w:rsid w:val="006A5FD4"/>
    <w:rsid w:val="006A666D"/>
    <w:rsid w:val="006A687A"/>
    <w:rsid w:val="006A6B75"/>
    <w:rsid w:val="006A7A75"/>
    <w:rsid w:val="006B00CA"/>
    <w:rsid w:val="006B139D"/>
    <w:rsid w:val="006B211B"/>
    <w:rsid w:val="006B2478"/>
    <w:rsid w:val="006B2CB6"/>
    <w:rsid w:val="006B3FCC"/>
    <w:rsid w:val="006B4DD3"/>
    <w:rsid w:val="006B6910"/>
    <w:rsid w:val="006B74B5"/>
    <w:rsid w:val="006B7A94"/>
    <w:rsid w:val="006C05F3"/>
    <w:rsid w:val="006C078C"/>
    <w:rsid w:val="006C0944"/>
    <w:rsid w:val="006C22D4"/>
    <w:rsid w:val="006C22DD"/>
    <w:rsid w:val="006C2D8F"/>
    <w:rsid w:val="006C3A23"/>
    <w:rsid w:val="006C6435"/>
    <w:rsid w:val="006C71A4"/>
    <w:rsid w:val="006D2AB0"/>
    <w:rsid w:val="006D5758"/>
    <w:rsid w:val="006D5B1F"/>
    <w:rsid w:val="006D6BD0"/>
    <w:rsid w:val="006D70BD"/>
    <w:rsid w:val="006E0460"/>
    <w:rsid w:val="006E05E2"/>
    <w:rsid w:val="006E09AE"/>
    <w:rsid w:val="006E21B4"/>
    <w:rsid w:val="006E2E2C"/>
    <w:rsid w:val="006E3A38"/>
    <w:rsid w:val="006E3D77"/>
    <w:rsid w:val="006E4ED6"/>
    <w:rsid w:val="006E5DC4"/>
    <w:rsid w:val="006E5E40"/>
    <w:rsid w:val="006E5ED9"/>
    <w:rsid w:val="006F0479"/>
    <w:rsid w:val="006F243A"/>
    <w:rsid w:val="006F27A5"/>
    <w:rsid w:val="006F3CE2"/>
    <w:rsid w:val="006F3D23"/>
    <w:rsid w:val="006F4107"/>
    <w:rsid w:val="006F4411"/>
    <w:rsid w:val="006F4769"/>
    <w:rsid w:val="006F541C"/>
    <w:rsid w:val="006F611D"/>
    <w:rsid w:val="006F67BD"/>
    <w:rsid w:val="006F752C"/>
    <w:rsid w:val="00700021"/>
    <w:rsid w:val="00702445"/>
    <w:rsid w:val="0070340A"/>
    <w:rsid w:val="00703746"/>
    <w:rsid w:val="0070381F"/>
    <w:rsid w:val="00703E49"/>
    <w:rsid w:val="00704C0B"/>
    <w:rsid w:val="007053EC"/>
    <w:rsid w:val="00705F71"/>
    <w:rsid w:val="007100D0"/>
    <w:rsid w:val="00710F1B"/>
    <w:rsid w:val="00712537"/>
    <w:rsid w:val="00712A2D"/>
    <w:rsid w:val="00712FEF"/>
    <w:rsid w:val="00713FCA"/>
    <w:rsid w:val="00714D95"/>
    <w:rsid w:val="007152F9"/>
    <w:rsid w:val="00715BB2"/>
    <w:rsid w:val="00716770"/>
    <w:rsid w:val="00717049"/>
    <w:rsid w:val="00717AEC"/>
    <w:rsid w:val="007200AE"/>
    <w:rsid w:val="00720EDB"/>
    <w:rsid w:val="0072266F"/>
    <w:rsid w:val="007227EC"/>
    <w:rsid w:val="00722A4D"/>
    <w:rsid w:val="007232B3"/>
    <w:rsid w:val="007233BC"/>
    <w:rsid w:val="00724237"/>
    <w:rsid w:val="007251BE"/>
    <w:rsid w:val="007259DF"/>
    <w:rsid w:val="00725DC5"/>
    <w:rsid w:val="00725F3E"/>
    <w:rsid w:val="00726072"/>
    <w:rsid w:val="0072619E"/>
    <w:rsid w:val="007264D8"/>
    <w:rsid w:val="00730831"/>
    <w:rsid w:val="00731066"/>
    <w:rsid w:val="00731148"/>
    <w:rsid w:val="00731180"/>
    <w:rsid w:val="0073237C"/>
    <w:rsid w:val="00732741"/>
    <w:rsid w:val="00732A35"/>
    <w:rsid w:val="007341FD"/>
    <w:rsid w:val="00734543"/>
    <w:rsid w:val="00736EE8"/>
    <w:rsid w:val="00737BE1"/>
    <w:rsid w:val="00737C1C"/>
    <w:rsid w:val="00737E5F"/>
    <w:rsid w:val="007404CD"/>
    <w:rsid w:val="007405A5"/>
    <w:rsid w:val="00740952"/>
    <w:rsid w:val="00740D30"/>
    <w:rsid w:val="00741B45"/>
    <w:rsid w:val="00741EB6"/>
    <w:rsid w:val="00743968"/>
    <w:rsid w:val="007439BD"/>
    <w:rsid w:val="007442A1"/>
    <w:rsid w:val="00744D44"/>
    <w:rsid w:val="007452B6"/>
    <w:rsid w:val="007465B5"/>
    <w:rsid w:val="007471B4"/>
    <w:rsid w:val="00747A7C"/>
    <w:rsid w:val="00750E3E"/>
    <w:rsid w:val="0075218C"/>
    <w:rsid w:val="0075236D"/>
    <w:rsid w:val="00752628"/>
    <w:rsid w:val="0075403A"/>
    <w:rsid w:val="00754141"/>
    <w:rsid w:val="00754C3E"/>
    <w:rsid w:val="007566A9"/>
    <w:rsid w:val="00756C33"/>
    <w:rsid w:val="007607B4"/>
    <w:rsid w:val="00760EA9"/>
    <w:rsid w:val="007617AF"/>
    <w:rsid w:val="007622E0"/>
    <w:rsid w:val="00763B6F"/>
    <w:rsid w:val="007641BD"/>
    <w:rsid w:val="00764507"/>
    <w:rsid w:val="00764992"/>
    <w:rsid w:val="007652B5"/>
    <w:rsid w:val="00765C37"/>
    <w:rsid w:val="007671B0"/>
    <w:rsid w:val="00767F05"/>
    <w:rsid w:val="0077066B"/>
    <w:rsid w:val="007717FA"/>
    <w:rsid w:val="00771973"/>
    <w:rsid w:val="00771995"/>
    <w:rsid w:val="00773A19"/>
    <w:rsid w:val="007744C8"/>
    <w:rsid w:val="0077482E"/>
    <w:rsid w:val="00775C8F"/>
    <w:rsid w:val="00775E77"/>
    <w:rsid w:val="00776054"/>
    <w:rsid w:val="00776923"/>
    <w:rsid w:val="0077710A"/>
    <w:rsid w:val="00777A92"/>
    <w:rsid w:val="007809F3"/>
    <w:rsid w:val="0078106C"/>
    <w:rsid w:val="007814B1"/>
    <w:rsid w:val="00781646"/>
    <w:rsid w:val="00781DC3"/>
    <w:rsid w:val="00782811"/>
    <w:rsid w:val="00784212"/>
    <w:rsid w:val="00784516"/>
    <w:rsid w:val="0078477C"/>
    <w:rsid w:val="0078482C"/>
    <w:rsid w:val="00784B91"/>
    <w:rsid w:val="007855C4"/>
    <w:rsid w:val="007875F4"/>
    <w:rsid w:val="00787F55"/>
    <w:rsid w:val="007917B9"/>
    <w:rsid w:val="00792155"/>
    <w:rsid w:val="00792237"/>
    <w:rsid w:val="007922F9"/>
    <w:rsid w:val="0079241A"/>
    <w:rsid w:val="007926F7"/>
    <w:rsid w:val="0079377E"/>
    <w:rsid w:val="007944C2"/>
    <w:rsid w:val="007945F2"/>
    <w:rsid w:val="0079502E"/>
    <w:rsid w:val="00795C05"/>
    <w:rsid w:val="00796788"/>
    <w:rsid w:val="00796810"/>
    <w:rsid w:val="0079695A"/>
    <w:rsid w:val="00796DDC"/>
    <w:rsid w:val="00797988"/>
    <w:rsid w:val="00797A60"/>
    <w:rsid w:val="00797CB4"/>
    <w:rsid w:val="00797FEF"/>
    <w:rsid w:val="007A0500"/>
    <w:rsid w:val="007A1469"/>
    <w:rsid w:val="007A1E20"/>
    <w:rsid w:val="007A3BFB"/>
    <w:rsid w:val="007A3CD9"/>
    <w:rsid w:val="007A6095"/>
    <w:rsid w:val="007A6BA6"/>
    <w:rsid w:val="007A6F13"/>
    <w:rsid w:val="007A75C4"/>
    <w:rsid w:val="007A764F"/>
    <w:rsid w:val="007A7E07"/>
    <w:rsid w:val="007B0EC3"/>
    <w:rsid w:val="007B1804"/>
    <w:rsid w:val="007B34DB"/>
    <w:rsid w:val="007B3C19"/>
    <w:rsid w:val="007B4BDC"/>
    <w:rsid w:val="007B4F52"/>
    <w:rsid w:val="007B4F56"/>
    <w:rsid w:val="007B55F5"/>
    <w:rsid w:val="007B61FA"/>
    <w:rsid w:val="007B6C78"/>
    <w:rsid w:val="007B6FCE"/>
    <w:rsid w:val="007C10AD"/>
    <w:rsid w:val="007C2A2B"/>
    <w:rsid w:val="007C2B0F"/>
    <w:rsid w:val="007C3063"/>
    <w:rsid w:val="007C3C3C"/>
    <w:rsid w:val="007C3E87"/>
    <w:rsid w:val="007C416A"/>
    <w:rsid w:val="007C41B8"/>
    <w:rsid w:val="007C4E35"/>
    <w:rsid w:val="007C69E0"/>
    <w:rsid w:val="007C6ADF"/>
    <w:rsid w:val="007D0233"/>
    <w:rsid w:val="007D1BB2"/>
    <w:rsid w:val="007D1F61"/>
    <w:rsid w:val="007D2514"/>
    <w:rsid w:val="007D26EC"/>
    <w:rsid w:val="007D2819"/>
    <w:rsid w:val="007D2B47"/>
    <w:rsid w:val="007D2BC7"/>
    <w:rsid w:val="007D399A"/>
    <w:rsid w:val="007D39DF"/>
    <w:rsid w:val="007D608F"/>
    <w:rsid w:val="007D60B5"/>
    <w:rsid w:val="007D6108"/>
    <w:rsid w:val="007D6EE9"/>
    <w:rsid w:val="007D713A"/>
    <w:rsid w:val="007E08F0"/>
    <w:rsid w:val="007E1588"/>
    <w:rsid w:val="007E2842"/>
    <w:rsid w:val="007E30C9"/>
    <w:rsid w:val="007E323D"/>
    <w:rsid w:val="007E3306"/>
    <w:rsid w:val="007E3E70"/>
    <w:rsid w:val="007E41FE"/>
    <w:rsid w:val="007E4204"/>
    <w:rsid w:val="007E4B0E"/>
    <w:rsid w:val="007E4E42"/>
    <w:rsid w:val="007E55FF"/>
    <w:rsid w:val="007E5889"/>
    <w:rsid w:val="007E5D4A"/>
    <w:rsid w:val="007E6391"/>
    <w:rsid w:val="007E6714"/>
    <w:rsid w:val="007E6A03"/>
    <w:rsid w:val="007E7172"/>
    <w:rsid w:val="007E75E0"/>
    <w:rsid w:val="007E762A"/>
    <w:rsid w:val="007E79FE"/>
    <w:rsid w:val="007F0816"/>
    <w:rsid w:val="007F1179"/>
    <w:rsid w:val="007F4A77"/>
    <w:rsid w:val="007F6759"/>
    <w:rsid w:val="007F6F56"/>
    <w:rsid w:val="007F7699"/>
    <w:rsid w:val="007F795B"/>
    <w:rsid w:val="008001CC"/>
    <w:rsid w:val="00800C53"/>
    <w:rsid w:val="00800D4D"/>
    <w:rsid w:val="0080107B"/>
    <w:rsid w:val="008014B0"/>
    <w:rsid w:val="0080168B"/>
    <w:rsid w:val="008018EE"/>
    <w:rsid w:val="00801EFD"/>
    <w:rsid w:val="0080353B"/>
    <w:rsid w:val="008037D4"/>
    <w:rsid w:val="00804C80"/>
    <w:rsid w:val="008050A1"/>
    <w:rsid w:val="008057FE"/>
    <w:rsid w:val="00805F20"/>
    <w:rsid w:val="00806599"/>
    <w:rsid w:val="00807441"/>
    <w:rsid w:val="008108D9"/>
    <w:rsid w:val="00810EDE"/>
    <w:rsid w:val="00811891"/>
    <w:rsid w:val="00811B9B"/>
    <w:rsid w:val="00812E87"/>
    <w:rsid w:val="00812FA1"/>
    <w:rsid w:val="00814CBD"/>
    <w:rsid w:val="00814DD4"/>
    <w:rsid w:val="0081557F"/>
    <w:rsid w:val="0081564E"/>
    <w:rsid w:val="00815932"/>
    <w:rsid w:val="00816741"/>
    <w:rsid w:val="0081678F"/>
    <w:rsid w:val="00816E64"/>
    <w:rsid w:val="00817A4F"/>
    <w:rsid w:val="00820B20"/>
    <w:rsid w:val="00820F2C"/>
    <w:rsid w:val="008227B0"/>
    <w:rsid w:val="00823C0C"/>
    <w:rsid w:val="00824893"/>
    <w:rsid w:val="00825196"/>
    <w:rsid w:val="008269B3"/>
    <w:rsid w:val="00826DC3"/>
    <w:rsid w:val="00826E9B"/>
    <w:rsid w:val="00827124"/>
    <w:rsid w:val="00827A85"/>
    <w:rsid w:val="00830331"/>
    <w:rsid w:val="0083088F"/>
    <w:rsid w:val="00830936"/>
    <w:rsid w:val="00832363"/>
    <w:rsid w:val="00832981"/>
    <w:rsid w:val="00833883"/>
    <w:rsid w:val="00833A55"/>
    <w:rsid w:val="00833D2D"/>
    <w:rsid w:val="00833FBB"/>
    <w:rsid w:val="008357AF"/>
    <w:rsid w:val="0083700A"/>
    <w:rsid w:val="0084006D"/>
    <w:rsid w:val="00840310"/>
    <w:rsid w:val="008406C1"/>
    <w:rsid w:val="00840CC4"/>
    <w:rsid w:val="00841591"/>
    <w:rsid w:val="00841EC5"/>
    <w:rsid w:val="00842115"/>
    <w:rsid w:val="008421A9"/>
    <w:rsid w:val="008429A7"/>
    <w:rsid w:val="008437CA"/>
    <w:rsid w:val="008441A1"/>
    <w:rsid w:val="00844D45"/>
    <w:rsid w:val="008468AA"/>
    <w:rsid w:val="00847BB8"/>
    <w:rsid w:val="0085129F"/>
    <w:rsid w:val="00851BF8"/>
    <w:rsid w:val="00852D82"/>
    <w:rsid w:val="00853479"/>
    <w:rsid w:val="008540EE"/>
    <w:rsid w:val="00854300"/>
    <w:rsid w:val="00856E9C"/>
    <w:rsid w:val="00860507"/>
    <w:rsid w:val="00862BCD"/>
    <w:rsid w:val="00862D8D"/>
    <w:rsid w:val="00862FBA"/>
    <w:rsid w:val="008633FA"/>
    <w:rsid w:val="00863930"/>
    <w:rsid w:val="00863D11"/>
    <w:rsid w:val="008640E0"/>
    <w:rsid w:val="00864499"/>
    <w:rsid w:val="00865E49"/>
    <w:rsid w:val="008675A7"/>
    <w:rsid w:val="00870BB2"/>
    <w:rsid w:val="00871235"/>
    <w:rsid w:val="00872AC7"/>
    <w:rsid w:val="00872EC1"/>
    <w:rsid w:val="00873948"/>
    <w:rsid w:val="00874649"/>
    <w:rsid w:val="00874C8A"/>
    <w:rsid w:val="00875784"/>
    <w:rsid w:val="00875D11"/>
    <w:rsid w:val="00877657"/>
    <w:rsid w:val="00881E06"/>
    <w:rsid w:val="0088253B"/>
    <w:rsid w:val="00882E30"/>
    <w:rsid w:val="00883A58"/>
    <w:rsid w:val="008842D1"/>
    <w:rsid w:val="00884603"/>
    <w:rsid w:val="008848B7"/>
    <w:rsid w:val="00884B6B"/>
    <w:rsid w:val="00885198"/>
    <w:rsid w:val="00886AAC"/>
    <w:rsid w:val="00886D44"/>
    <w:rsid w:val="00887FEC"/>
    <w:rsid w:val="00891994"/>
    <w:rsid w:val="00891E43"/>
    <w:rsid w:val="0089227D"/>
    <w:rsid w:val="00892356"/>
    <w:rsid w:val="00892675"/>
    <w:rsid w:val="008929EB"/>
    <w:rsid w:val="00892DEF"/>
    <w:rsid w:val="0089305E"/>
    <w:rsid w:val="00893FB9"/>
    <w:rsid w:val="008941D3"/>
    <w:rsid w:val="00894C12"/>
    <w:rsid w:val="008950DC"/>
    <w:rsid w:val="0089579E"/>
    <w:rsid w:val="008957AF"/>
    <w:rsid w:val="00895F11"/>
    <w:rsid w:val="00897446"/>
    <w:rsid w:val="008A01BF"/>
    <w:rsid w:val="008A0828"/>
    <w:rsid w:val="008A0BA6"/>
    <w:rsid w:val="008A0ED9"/>
    <w:rsid w:val="008A1592"/>
    <w:rsid w:val="008A2580"/>
    <w:rsid w:val="008A5E51"/>
    <w:rsid w:val="008A6998"/>
    <w:rsid w:val="008A6E7B"/>
    <w:rsid w:val="008A7116"/>
    <w:rsid w:val="008A7FD8"/>
    <w:rsid w:val="008B063D"/>
    <w:rsid w:val="008B0F69"/>
    <w:rsid w:val="008B2602"/>
    <w:rsid w:val="008B3048"/>
    <w:rsid w:val="008B3368"/>
    <w:rsid w:val="008B378B"/>
    <w:rsid w:val="008B39CA"/>
    <w:rsid w:val="008B3C47"/>
    <w:rsid w:val="008B424F"/>
    <w:rsid w:val="008B45C3"/>
    <w:rsid w:val="008B5366"/>
    <w:rsid w:val="008B5B88"/>
    <w:rsid w:val="008B6423"/>
    <w:rsid w:val="008B6C34"/>
    <w:rsid w:val="008B7657"/>
    <w:rsid w:val="008C035B"/>
    <w:rsid w:val="008C07B8"/>
    <w:rsid w:val="008C2389"/>
    <w:rsid w:val="008C2531"/>
    <w:rsid w:val="008C2986"/>
    <w:rsid w:val="008C3A83"/>
    <w:rsid w:val="008C4A55"/>
    <w:rsid w:val="008C4EEC"/>
    <w:rsid w:val="008C56A0"/>
    <w:rsid w:val="008C5851"/>
    <w:rsid w:val="008C62D2"/>
    <w:rsid w:val="008C6E05"/>
    <w:rsid w:val="008C71E7"/>
    <w:rsid w:val="008C7E83"/>
    <w:rsid w:val="008D0AD9"/>
    <w:rsid w:val="008D213B"/>
    <w:rsid w:val="008D2360"/>
    <w:rsid w:val="008D2B0A"/>
    <w:rsid w:val="008D3FD1"/>
    <w:rsid w:val="008D6267"/>
    <w:rsid w:val="008D6E2F"/>
    <w:rsid w:val="008D7163"/>
    <w:rsid w:val="008D72F8"/>
    <w:rsid w:val="008D759A"/>
    <w:rsid w:val="008D77E7"/>
    <w:rsid w:val="008D78C4"/>
    <w:rsid w:val="008E1D0F"/>
    <w:rsid w:val="008E2E33"/>
    <w:rsid w:val="008E32E4"/>
    <w:rsid w:val="008E3EFF"/>
    <w:rsid w:val="008E46E0"/>
    <w:rsid w:val="008E4BD6"/>
    <w:rsid w:val="008F0DE6"/>
    <w:rsid w:val="008F1A13"/>
    <w:rsid w:val="008F2A94"/>
    <w:rsid w:val="008F2F7D"/>
    <w:rsid w:val="008F33A2"/>
    <w:rsid w:val="008F3612"/>
    <w:rsid w:val="008F504B"/>
    <w:rsid w:val="008F5C53"/>
    <w:rsid w:val="008F629B"/>
    <w:rsid w:val="008F6C7D"/>
    <w:rsid w:val="008F7FE4"/>
    <w:rsid w:val="00900CC6"/>
    <w:rsid w:val="00900E94"/>
    <w:rsid w:val="00901E16"/>
    <w:rsid w:val="00902183"/>
    <w:rsid w:val="00902B70"/>
    <w:rsid w:val="00902EB3"/>
    <w:rsid w:val="00902EE6"/>
    <w:rsid w:val="009030D5"/>
    <w:rsid w:val="0090334B"/>
    <w:rsid w:val="00903F51"/>
    <w:rsid w:val="00905042"/>
    <w:rsid w:val="009051E8"/>
    <w:rsid w:val="009059E4"/>
    <w:rsid w:val="00905B50"/>
    <w:rsid w:val="009061EB"/>
    <w:rsid w:val="0090778F"/>
    <w:rsid w:val="0090782E"/>
    <w:rsid w:val="0090793C"/>
    <w:rsid w:val="00907BE7"/>
    <w:rsid w:val="00907E2D"/>
    <w:rsid w:val="00907FBB"/>
    <w:rsid w:val="00912535"/>
    <w:rsid w:val="00912B74"/>
    <w:rsid w:val="0091427E"/>
    <w:rsid w:val="00914E54"/>
    <w:rsid w:val="009174DC"/>
    <w:rsid w:val="009204F9"/>
    <w:rsid w:val="00920F42"/>
    <w:rsid w:val="0092105F"/>
    <w:rsid w:val="009217D5"/>
    <w:rsid w:val="00921B27"/>
    <w:rsid w:val="00922092"/>
    <w:rsid w:val="009223F6"/>
    <w:rsid w:val="0092284C"/>
    <w:rsid w:val="00923423"/>
    <w:rsid w:val="00923B0C"/>
    <w:rsid w:val="00924106"/>
    <w:rsid w:val="00924A1C"/>
    <w:rsid w:val="00925703"/>
    <w:rsid w:val="00925846"/>
    <w:rsid w:val="00925CA8"/>
    <w:rsid w:val="0092624A"/>
    <w:rsid w:val="009263E9"/>
    <w:rsid w:val="00926E15"/>
    <w:rsid w:val="00927361"/>
    <w:rsid w:val="0092738E"/>
    <w:rsid w:val="00927DE7"/>
    <w:rsid w:val="009300A5"/>
    <w:rsid w:val="0093014A"/>
    <w:rsid w:val="009305A6"/>
    <w:rsid w:val="00930D35"/>
    <w:rsid w:val="00932472"/>
    <w:rsid w:val="00932C12"/>
    <w:rsid w:val="00932EB1"/>
    <w:rsid w:val="00933CB9"/>
    <w:rsid w:val="009349AC"/>
    <w:rsid w:val="00934BAA"/>
    <w:rsid w:val="00934CAA"/>
    <w:rsid w:val="009368C9"/>
    <w:rsid w:val="00937808"/>
    <w:rsid w:val="00937A64"/>
    <w:rsid w:val="00940C72"/>
    <w:rsid w:val="009410AF"/>
    <w:rsid w:val="009412FF"/>
    <w:rsid w:val="00941A1B"/>
    <w:rsid w:val="00941FBF"/>
    <w:rsid w:val="009422AC"/>
    <w:rsid w:val="00942F08"/>
    <w:rsid w:val="00943669"/>
    <w:rsid w:val="009437A6"/>
    <w:rsid w:val="00943A9B"/>
    <w:rsid w:val="00944E46"/>
    <w:rsid w:val="00945C0A"/>
    <w:rsid w:val="009467BA"/>
    <w:rsid w:val="00946BEE"/>
    <w:rsid w:val="00946C01"/>
    <w:rsid w:val="009478B9"/>
    <w:rsid w:val="00947A1B"/>
    <w:rsid w:val="00947BD2"/>
    <w:rsid w:val="009500E5"/>
    <w:rsid w:val="009509F3"/>
    <w:rsid w:val="00951576"/>
    <w:rsid w:val="00951E49"/>
    <w:rsid w:val="00951FB5"/>
    <w:rsid w:val="00952007"/>
    <w:rsid w:val="0095202D"/>
    <w:rsid w:val="00952833"/>
    <w:rsid w:val="009545B2"/>
    <w:rsid w:val="00956238"/>
    <w:rsid w:val="00960495"/>
    <w:rsid w:val="009620B9"/>
    <w:rsid w:val="00962E45"/>
    <w:rsid w:val="00962FC4"/>
    <w:rsid w:val="009648B6"/>
    <w:rsid w:val="00964D8F"/>
    <w:rsid w:val="00965253"/>
    <w:rsid w:val="0096588A"/>
    <w:rsid w:val="00966303"/>
    <w:rsid w:val="00966C9D"/>
    <w:rsid w:val="009670C8"/>
    <w:rsid w:val="009702E8"/>
    <w:rsid w:val="00971006"/>
    <w:rsid w:val="00971E68"/>
    <w:rsid w:val="009731EB"/>
    <w:rsid w:val="00973892"/>
    <w:rsid w:val="00974E7D"/>
    <w:rsid w:val="00975DD7"/>
    <w:rsid w:val="009768F7"/>
    <w:rsid w:val="00976E82"/>
    <w:rsid w:val="00977469"/>
    <w:rsid w:val="00977B50"/>
    <w:rsid w:val="00980098"/>
    <w:rsid w:val="0098089F"/>
    <w:rsid w:val="00980E7A"/>
    <w:rsid w:val="00980F4E"/>
    <w:rsid w:val="00981516"/>
    <w:rsid w:val="0098210B"/>
    <w:rsid w:val="00982F0E"/>
    <w:rsid w:val="0098387C"/>
    <w:rsid w:val="0098395A"/>
    <w:rsid w:val="0098400B"/>
    <w:rsid w:val="009840EB"/>
    <w:rsid w:val="00984787"/>
    <w:rsid w:val="00986C54"/>
    <w:rsid w:val="00990406"/>
    <w:rsid w:val="0099044A"/>
    <w:rsid w:val="00991596"/>
    <w:rsid w:val="0099248B"/>
    <w:rsid w:val="00992670"/>
    <w:rsid w:val="009932C8"/>
    <w:rsid w:val="00993AE8"/>
    <w:rsid w:val="00994300"/>
    <w:rsid w:val="00995FB4"/>
    <w:rsid w:val="00996EE0"/>
    <w:rsid w:val="009A02E4"/>
    <w:rsid w:val="009A1336"/>
    <w:rsid w:val="009A2C54"/>
    <w:rsid w:val="009A390E"/>
    <w:rsid w:val="009A39E6"/>
    <w:rsid w:val="009A4A90"/>
    <w:rsid w:val="009A4D3A"/>
    <w:rsid w:val="009A53AA"/>
    <w:rsid w:val="009A54A1"/>
    <w:rsid w:val="009A6C38"/>
    <w:rsid w:val="009A6D91"/>
    <w:rsid w:val="009A6F6E"/>
    <w:rsid w:val="009A71C8"/>
    <w:rsid w:val="009B0B1E"/>
    <w:rsid w:val="009B0D7E"/>
    <w:rsid w:val="009B0DB1"/>
    <w:rsid w:val="009B1884"/>
    <w:rsid w:val="009B1B83"/>
    <w:rsid w:val="009B1C10"/>
    <w:rsid w:val="009B29CC"/>
    <w:rsid w:val="009B2CCA"/>
    <w:rsid w:val="009B5E05"/>
    <w:rsid w:val="009B5E3F"/>
    <w:rsid w:val="009B6B0E"/>
    <w:rsid w:val="009B7786"/>
    <w:rsid w:val="009C0249"/>
    <w:rsid w:val="009C047E"/>
    <w:rsid w:val="009C0D9A"/>
    <w:rsid w:val="009C1D3D"/>
    <w:rsid w:val="009C27CB"/>
    <w:rsid w:val="009C2C7A"/>
    <w:rsid w:val="009C3316"/>
    <w:rsid w:val="009C34C9"/>
    <w:rsid w:val="009C4B2D"/>
    <w:rsid w:val="009C4D79"/>
    <w:rsid w:val="009C5789"/>
    <w:rsid w:val="009C5858"/>
    <w:rsid w:val="009C5D03"/>
    <w:rsid w:val="009C636C"/>
    <w:rsid w:val="009C6C37"/>
    <w:rsid w:val="009D05AC"/>
    <w:rsid w:val="009D1147"/>
    <w:rsid w:val="009D13EE"/>
    <w:rsid w:val="009D26BE"/>
    <w:rsid w:val="009D26E4"/>
    <w:rsid w:val="009D2B65"/>
    <w:rsid w:val="009D308B"/>
    <w:rsid w:val="009D32B5"/>
    <w:rsid w:val="009D48E5"/>
    <w:rsid w:val="009D4BDE"/>
    <w:rsid w:val="009D5604"/>
    <w:rsid w:val="009D5964"/>
    <w:rsid w:val="009D5BAE"/>
    <w:rsid w:val="009D6E99"/>
    <w:rsid w:val="009E0382"/>
    <w:rsid w:val="009E09ED"/>
    <w:rsid w:val="009E0AFB"/>
    <w:rsid w:val="009E11DC"/>
    <w:rsid w:val="009E197F"/>
    <w:rsid w:val="009E2763"/>
    <w:rsid w:val="009E31A5"/>
    <w:rsid w:val="009E3CF1"/>
    <w:rsid w:val="009E3D76"/>
    <w:rsid w:val="009E3FFF"/>
    <w:rsid w:val="009E6605"/>
    <w:rsid w:val="009E69D0"/>
    <w:rsid w:val="009E6FF8"/>
    <w:rsid w:val="009E7368"/>
    <w:rsid w:val="009E7548"/>
    <w:rsid w:val="009E7C92"/>
    <w:rsid w:val="009F0567"/>
    <w:rsid w:val="009F0913"/>
    <w:rsid w:val="009F0958"/>
    <w:rsid w:val="009F0A34"/>
    <w:rsid w:val="009F0B5E"/>
    <w:rsid w:val="009F0F19"/>
    <w:rsid w:val="009F1950"/>
    <w:rsid w:val="009F1B05"/>
    <w:rsid w:val="009F1C36"/>
    <w:rsid w:val="009F2325"/>
    <w:rsid w:val="009F2571"/>
    <w:rsid w:val="009F2D66"/>
    <w:rsid w:val="009F4160"/>
    <w:rsid w:val="009F4D2C"/>
    <w:rsid w:val="009F4E23"/>
    <w:rsid w:val="009F5157"/>
    <w:rsid w:val="009F5C1E"/>
    <w:rsid w:val="009F5FC2"/>
    <w:rsid w:val="009F6203"/>
    <w:rsid w:val="009F65C8"/>
    <w:rsid w:val="009F69C9"/>
    <w:rsid w:val="009F6BE0"/>
    <w:rsid w:val="009F700C"/>
    <w:rsid w:val="009F7041"/>
    <w:rsid w:val="009F73FC"/>
    <w:rsid w:val="009F7402"/>
    <w:rsid w:val="009F7DC6"/>
    <w:rsid w:val="00A00764"/>
    <w:rsid w:val="00A00A8B"/>
    <w:rsid w:val="00A022FB"/>
    <w:rsid w:val="00A030D0"/>
    <w:rsid w:val="00A04F44"/>
    <w:rsid w:val="00A0558B"/>
    <w:rsid w:val="00A05C69"/>
    <w:rsid w:val="00A05D46"/>
    <w:rsid w:val="00A077B0"/>
    <w:rsid w:val="00A078A0"/>
    <w:rsid w:val="00A07FF9"/>
    <w:rsid w:val="00A101BC"/>
    <w:rsid w:val="00A1198D"/>
    <w:rsid w:val="00A12ADD"/>
    <w:rsid w:val="00A1386D"/>
    <w:rsid w:val="00A13E71"/>
    <w:rsid w:val="00A13FA9"/>
    <w:rsid w:val="00A145CF"/>
    <w:rsid w:val="00A1494E"/>
    <w:rsid w:val="00A15D86"/>
    <w:rsid w:val="00A15ED4"/>
    <w:rsid w:val="00A1695A"/>
    <w:rsid w:val="00A16A49"/>
    <w:rsid w:val="00A20039"/>
    <w:rsid w:val="00A210F4"/>
    <w:rsid w:val="00A21267"/>
    <w:rsid w:val="00A21384"/>
    <w:rsid w:val="00A21D63"/>
    <w:rsid w:val="00A230EC"/>
    <w:rsid w:val="00A2370D"/>
    <w:rsid w:val="00A26034"/>
    <w:rsid w:val="00A26FB8"/>
    <w:rsid w:val="00A27A13"/>
    <w:rsid w:val="00A310C6"/>
    <w:rsid w:val="00A31AE9"/>
    <w:rsid w:val="00A334E0"/>
    <w:rsid w:val="00A33A06"/>
    <w:rsid w:val="00A3413F"/>
    <w:rsid w:val="00A35FA9"/>
    <w:rsid w:val="00A37401"/>
    <w:rsid w:val="00A40366"/>
    <w:rsid w:val="00A41000"/>
    <w:rsid w:val="00A415B6"/>
    <w:rsid w:val="00A428FF"/>
    <w:rsid w:val="00A43B4B"/>
    <w:rsid w:val="00A4527C"/>
    <w:rsid w:val="00A46BF3"/>
    <w:rsid w:val="00A46E46"/>
    <w:rsid w:val="00A47836"/>
    <w:rsid w:val="00A478D4"/>
    <w:rsid w:val="00A479AA"/>
    <w:rsid w:val="00A50ABC"/>
    <w:rsid w:val="00A5179A"/>
    <w:rsid w:val="00A51980"/>
    <w:rsid w:val="00A51CB3"/>
    <w:rsid w:val="00A51D6F"/>
    <w:rsid w:val="00A527CA"/>
    <w:rsid w:val="00A54226"/>
    <w:rsid w:val="00A545B8"/>
    <w:rsid w:val="00A54854"/>
    <w:rsid w:val="00A54900"/>
    <w:rsid w:val="00A553A3"/>
    <w:rsid w:val="00A55582"/>
    <w:rsid w:val="00A55D16"/>
    <w:rsid w:val="00A5623A"/>
    <w:rsid w:val="00A5637C"/>
    <w:rsid w:val="00A56BF5"/>
    <w:rsid w:val="00A56D47"/>
    <w:rsid w:val="00A60C16"/>
    <w:rsid w:val="00A613C4"/>
    <w:rsid w:val="00A61E75"/>
    <w:rsid w:val="00A62014"/>
    <w:rsid w:val="00A62B56"/>
    <w:rsid w:val="00A6320E"/>
    <w:rsid w:val="00A63BB3"/>
    <w:rsid w:val="00A646BE"/>
    <w:rsid w:val="00A64899"/>
    <w:rsid w:val="00A65561"/>
    <w:rsid w:val="00A65D16"/>
    <w:rsid w:val="00A66028"/>
    <w:rsid w:val="00A67A28"/>
    <w:rsid w:val="00A67EE7"/>
    <w:rsid w:val="00A7023A"/>
    <w:rsid w:val="00A71123"/>
    <w:rsid w:val="00A748FE"/>
    <w:rsid w:val="00A74FC6"/>
    <w:rsid w:val="00A752FA"/>
    <w:rsid w:val="00A767A6"/>
    <w:rsid w:val="00A76F5E"/>
    <w:rsid w:val="00A771FC"/>
    <w:rsid w:val="00A7721C"/>
    <w:rsid w:val="00A7746B"/>
    <w:rsid w:val="00A774D4"/>
    <w:rsid w:val="00A804D1"/>
    <w:rsid w:val="00A809AB"/>
    <w:rsid w:val="00A80DB2"/>
    <w:rsid w:val="00A821BB"/>
    <w:rsid w:val="00A82273"/>
    <w:rsid w:val="00A823C6"/>
    <w:rsid w:val="00A82C89"/>
    <w:rsid w:val="00A84287"/>
    <w:rsid w:val="00A85007"/>
    <w:rsid w:val="00A8576F"/>
    <w:rsid w:val="00A9022B"/>
    <w:rsid w:val="00A919B3"/>
    <w:rsid w:val="00A91DBE"/>
    <w:rsid w:val="00A927C0"/>
    <w:rsid w:val="00A93BD2"/>
    <w:rsid w:val="00A93CF2"/>
    <w:rsid w:val="00A93EC2"/>
    <w:rsid w:val="00A9639F"/>
    <w:rsid w:val="00A9667F"/>
    <w:rsid w:val="00A97110"/>
    <w:rsid w:val="00A9789A"/>
    <w:rsid w:val="00A97D93"/>
    <w:rsid w:val="00A97EF9"/>
    <w:rsid w:val="00AA130B"/>
    <w:rsid w:val="00AA39A7"/>
    <w:rsid w:val="00AA3D80"/>
    <w:rsid w:val="00AA4DAF"/>
    <w:rsid w:val="00AA575D"/>
    <w:rsid w:val="00AA594F"/>
    <w:rsid w:val="00AA64A5"/>
    <w:rsid w:val="00AB073F"/>
    <w:rsid w:val="00AB19CA"/>
    <w:rsid w:val="00AB2B54"/>
    <w:rsid w:val="00AB4507"/>
    <w:rsid w:val="00AB5677"/>
    <w:rsid w:val="00AB56F4"/>
    <w:rsid w:val="00AB5E4F"/>
    <w:rsid w:val="00AB61F0"/>
    <w:rsid w:val="00AB6FC1"/>
    <w:rsid w:val="00AB7BD7"/>
    <w:rsid w:val="00AB7DAE"/>
    <w:rsid w:val="00AC1FA8"/>
    <w:rsid w:val="00AC2FE3"/>
    <w:rsid w:val="00AC336F"/>
    <w:rsid w:val="00AC442A"/>
    <w:rsid w:val="00AC480E"/>
    <w:rsid w:val="00AC4C9E"/>
    <w:rsid w:val="00AC5152"/>
    <w:rsid w:val="00AC56D1"/>
    <w:rsid w:val="00AC6487"/>
    <w:rsid w:val="00AC66A3"/>
    <w:rsid w:val="00AC6BAF"/>
    <w:rsid w:val="00AC6D03"/>
    <w:rsid w:val="00AC72B6"/>
    <w:rsid w:val="00AC732D"/>
    <w:rsid w:val="00AC7952"/>
    <w:rsid w:val="00AD04C0"/>
    <w:rsid w:val="00AD1FDE"/>
    <w:rsid w:val="00AD2C21"/>
    <w:rsid w:val="00AD364D"/>
    <w:rsid w:val="00AD3819"/>
    <w:rsid w:val="00AD3CD4"/>
    <w:rsid w:val="00AD61FC"/>
    <w:rsid w:val="00AD7B7A"/>
    <w:rsid w:val="00AE0CD5"/>
    <w:rsid w:val="00AE1858"/>
    <w:rsid w:val="00AE22CF"/>
    <w:rsid w:val="00AE26A9"/>
    <w:rsid w:val="00AE32C2"/>
    <w:rsid w:val="00AE51F9"/>
    <w:rsid w:val="00AE52C2"/>
    <w:rsid w:val="00AE54F8"/>
    <w:rsid w:val="00AE630C"/>
    <w:rsid w:val="00AE6415"/>
    <w:rsid w:val="00AE7027"/>
    <w:rsid w:val="00AE7097"/>
    <w:rsid w:val="00AE72C0"/>
    <w:rsid w:val="00AF3449"/>
    <w:rsid w:val="00AF58F6"/>
    <w:rsid w:val="00AF5DB1"/>
    <w:rsid w:val="00AF7032"/>
    <w:rsid w:val="00AF77EF"/>
    <w:rsid w:val="00B00690"/>
    <w:rsid w:val="00B019DA"/>
    <w:rsid w:val="00B021E9"/>
    <w:rsid w:val="00B02CDA"/>
    <w:rsid w:val="00B02EE6"/>
    <w:rsid w:val="00B03EEB"/>
    <w:rsid w:val="00B04429"/>
    <w:rsid w:val="00B07AC3"/>
    <w:rsid w:val="00B1052D"/>
    <w:rsid w:val="00B10D45"/>
    <w:rsid w:val="00B1208C"/>
    <w:rsid w:val="00B12528"/>
    <w:rsid w:val="00B138FC"/>
    <w:rsid w:val="00B14805"/>
    <w:rsid w:val="00B14DFB"/>
    <w:rsid w:val="00B167C1"/>
    <w:rsid w:val="00B16FCD"/>
    <w:rsid w:val="00B20A00"/>
    <w:rsid w:val="00B20F14"/>
    <w:rsid w:val="00B22A23"/>
    <w:rsid w:val="00B22D00"/>
    <w:rsid w:val="00B238B0"/>
    <w:rsid w:val="00B25567"/>
    <w:rsid w:val="00B255A2"/>
    <w:rsid w:val="00B26AC8"/>
    <w:rsid w:val="00B26BE5"/>
    <w:rsid w:val="00B26C95"/>
    <w:rsid w:val="00B273DC"/>
    <w:rsid w:val="00B310C0"/>
    <w:rsid w:val="00B33868"/>
    <w:rsid w:val="00B34108"/>
    <w:rsid w:val="00B34DA3"/>
    <w:rsid w:val="00B35B7D"/>
    <w:rsid w:val="00B36903"/>
    <w:rsid w:val="00B36F77"/>
    <w:rsid w:val="00B37939"/>
    <w:rsid w:val="00B37CF4"/>
    <w:rsid w:val="00B40EE7"/>
    <w:rsid w:val="00B41333"/>
    <w:rsid w:val="00B43A53"/>
    <w:rsid w:val="00B44206"/>
    <w:rsid w:val="00B44624"/>
    <w:rsid w:val="00B4490E"/>
    <w:rsid w:val="00B45696"/>
    <w:rsid w:val="00B45FE6"/>
    <w:rsid w:val="00B46648"/>
    <w:rsid w:val="00B47DD8"/>
    <w:rsid w:val="00B50132"/>
    <w:rsid w:val="00B52C6B"/>
    <w:rsid w:val="00B5302E"/>
    <w:rsid w:val="00B53CBA"/>
    <w:rsid w:val="00B556AB"/>
    <w:rsid w:val="00B55716"/>
    <w:rsid w:val="00B56135"/>
    <w:rsid w:val="00B5633E"/>
    <w:rsid w:val="00B566B7"/>
    <w:rsid w:val="00B56B0F"/>
    <w:rsid w:val="00B571B9"/>
    <w:rsid w:val="00B60315"/>
    <w:rsid w:val="00B61685"/>
    <w:rsid w:val="00B61DDB"/>
    <w:rsid w:val="00B621FF"/>
    <w:rsid w:val="00B62485"/>
    <w:rsid w:val="00B62535"/>
    <w:rsid w:val="00B62607"/>
    <w:rsid w:val="00B62D9D"/>
    <w:rsid w:val="00B633D2"/>
    <w:rsid w:val="00B638B4"/>
    <w:rsid w:val="00B64276"/>
    <w:rsid w:val="00B643AE"/>
    <w:rsid w:val="00B64E13"/>
    <w:rsid w:val="00B65A3B"/>
    <w:rsid w:val="00B65B9F"/>
    <w:rsid w:val="00B65CA3"/>
    <w:rsid w:val="00B65E73"/>
    <w:rsid w:val="00B676BC"/>
    <w:rsid w:val="00B708AD"/>
    <w:rsid w:val="00B71352"/>
    <w:rsid w:val="00B73ADB"/>
    <w:rsid w:val="00B73DF0"/>
    <w:rsid w:val="00B73FD8"/>
    <w:rsid w:val="00B76035"/>
    <w:rsid w:val="00B7744E"/>
    <w:rsid w:val="00B8019E"/>
    <w:rsid w:val="00B81450"/>
    <w:rsid w:val="00B81C75"/>
    <w:rsid w:val="00B826DF"/>
    <w:rsid w:val="00B838E4"/>
    <w:rsid w:val="00B84B59"/>
    <w:rsid w:val="00B85779"/>
    <w:rsid w:val="00B85BC3"/>
    <w:rsid w:val="00B86505"/>
    <w:rsid w:val="00B8657E"/>
    <w:rsid w:val="00B8731A"/>
    <w:rsid w:val="00B87B95"/>
    <w:rsid w:val="00B87CE1"/>
    <w:rsid w:val="00B90194"/>
    <w:rsid w:val="00B90467"/>
    <w:rsid w:val="00B91E71"/>
    <w:rsid w:val="00B9210C"/>
    <w:rsid w:val="00B92FFA"/>
    <w:rsid w:val="00B956B3"/>
    <w:rsid w:val="00B96287"/>
    <w:rsid w:val="00B96CE5"/>
    <w:rsid w:val="00BA055B"/>
    <w:rsid w:val="00BA4F6F"/>
    <w:rsid w:val="00BA531C"/>
    <w:rsid w:val="00BA58AB"/>
    <w:rsid w:val="00BA69D1"/>
    <w:rsid w:val="00BA6E57"/>
    <w:rsid w:val="00BA6ECF"/>
    <w:rsid w:val="00BA7066"/>
    <w:rsid w:val="00BA7299"/>
    <w:rsid w:val="00BA799B"/>
    <w:rsid w:val="00BA7DCC"/>
    <w:rsid w:val="00BB0D30"/>
    <w:rsid w:val="00BB1EDF"/>
    <w:rsid w:val="00BB29DB"/>
    <w:rsid w:val="00BB2DBB"/>
    <w:rsid w:val="00BB2E75"/>
    <w:rsid w:val="00BB2F8F"/>
    <w:rsid w:val="00BB4401"/>
    <w:rsid w:val="00BB5D07"/>
    <w:rsid w:val="00BB6B82"/>
    <w:rsid w:val="00BB7B0F"/>
    <w:rsid w:val="00BC1A48"/>
    <w:rsid w:val="00BC1ABA"/>
    <w:rsid w:val="00BC3343"/>
    <w:rsid w:val="00BC3A42"/>
    <w:rsid w:val="00BC3F77"/>
    <w:rsid w:val="00BC3FA3"/>
    <w:rsid w:val="00BC47D2"/>
    <w:rsid w:val="00BC5FFD"/>
    <w:rsid w:val="00BC69E4"/>
    <w:rsid w:val="00BC7232"/>
    <w:rsid w:val="00BD0E36"/>
    <w:rsid w:val="00BD14D1"/>
    <w:rsid w:val="00BD1C23"/>
    <w:rsid w:val="00BD3E1B"/>
    <w:rsid w:val="00BD4230"/>
    <w:rsid w:val="00BD4C0D"/>
    <w:rsid w:val="00BD4E7A"/>
    <w:rsid w:val="00BD6722"/>
    <w:rsid w:val="00BD6B0C"/>
    <w:rsid w:val="00BE062A"/>
    <w:rsid w:val="00BE115C"/>
    <w:rsid w:val="00BE16A9"/>
    <w:rsid w:val="00BE1CC8"/>
    <w:rsid w:val="00BE1D56"/>
    <w:rsid w:val="00BE1D5C"/>
    <w:rsid w:val="00BE2628"/>
    <w:rsid w:val="00BE2B79"/>
    <w:rsid w:val="00BE2E45"/>
    <w:rsid w:val="00BE3089"/>
    <w:rsid w:val="00BE3D40"/>
    <w:rsid w:val="00BE4321"/>
    <w:rsid w:val="00BE46D5"/>
    <w:rsid w:val="00BE4A56"/>
    <w:rsid w:val="00BE5ADD"/>
    <w:rsid w:val="00BE5B41"/>
    <w:rsid w:val="00BF0AB3"/>
    <w:rsid w:val="00BF10A3"/>
    <w:rsid w:val="00BF11D4"/>
    <w:rsid w:val="00BF19AD"/>
    <w:rsid w:val="00BF1FE6"/>
    <w:rsid w:val="00BF22CB"/>
    <w:rsid w:val="00BF271D"/>
    <w:rsid w:val="00BF463B"/>
    <w:rsid w:val="00BF46F7"/>
    <w:rsid w:val="00BF47F5"/>
    <w:rsid w:val="00BF484C"/>
    <w:rsid w:val="00BF4D96"/>
    <w:rsid w:val="00BF5C9E"/>
    <w:rsid w:val="00BF763E"/>
    <w:rsid w:val="00BF7D95"/>
    <w:rsid w:val="00C0075B"/>
    <w:rsid w:val="00C01881"/>
    <w:rsid w:val="00C018E7"/>
    <w:rsid w:val="00C02C37"/>
    <w:rsid w:val="00C0326B"/>
    <w:rsid w:val="00C042C7"/>
    <w:rsid w:val="00C04E20"/>
    <w:rsid w:val="00C05E6C"/>
    <w:rsid w:val="00C06825"/>
    <w:rsid w:val="00C06BDC"/>
    <w:rsid w:val="00C1030A"/>
    <w:rsid w:val="00C103FD"/>
    <w:rsid w:val="00C1122C"/>
    <w:rsid w:val="00C12E17"/>
    <w:rsid w:val="00C13C93"/>
    <w:rsid w:val="00C149CC"/>
    <w:rsid w:val="00C15061"/>
    <w:rsid w:val="00C15310"/>
    <w:rsid w:val="00C15585"/>
    <w:rsid w:val="00C15ABC"/>
    <w:rsid w:val="00C16D55"/>
    <w:rsid w:val="00C16DE4"/>
    <w:rsid w:val="00C20D3C"/>
    <w:rsid w:val="00C214E0"/>
    <w:rsid w:val="00C21DB8"/>
    <w:rsid w:val="00C21DBB"/>
    <w:rsid w:val="00C22305"/>
    <w:rsid w:val="00C22DD1"/>
    <w:rsid w:val="00C2332B"/>
    <w:rsid w:val="00C2352A"/>
    <w:rsid w:val="00C237E4"/>
    <w:rsid w:val="00C238CB"/>
    <w:rsid w:val="00C24121"/>
    <w:rsid w:val="00C27043"/>
    <w:rsid w:val="00C27EE3"/>
    <w:rsid w:val="00C3039F"/>
    <w:rsid w:val="00C3066D"/>
    <w:rsid w:val="00C306BF"/>
    <w:rsid w:val="00C30F81"/>
    <w:rsid w:val="00C31983"/>
    <w:rsid w:val="00C32F52"/>
    <w:rsid w:val="00C33625"/>
    <w:rsid w:val="00C337ED"/>
    <w:rsid w:val="00C33D31"/>
    <w:rsid w:val="00C33D9D"/>
    <w:rsid w:val="00C343C3"/>
    <w:rsid w:val="00C35183"/>
    <w:rsid w:val="00C3548C"/>
    <w:rsid w:val="00C354EF"/>
    <w:rsid w:val="00C35AFC"/>
    <w:rsid w:val="00C35C8D"/>
    <w:rsid w:val="00C36F9E"/>
    <w:rsid w:val="00C3797B"/>
    <w:rsid w:val="00C4026C"/>
    <w:rsid w:val="00C40B19"/>
    <w:rsid w:val="00C40BFE"/>
    <w:rsid w:val="00C41F2D"/>
    <w:rsid w:val="00C41F45"/>
    <w:rsid w:val="00C42764"/>
    <w:rsid w:val="00C42A77"/>
    <w:rsid w:val="00C4374A"/>
    <w:rsid w:val="00C452B0"/>
    <w:rsid w:val="00C454CF"/>
    <w:rsid w:val="00C46265"/>
    <w:rsid w:val="00C503D0"/>
    <w:rsid w:val="00C5054A"/>
    <w:rsid w:val="00C509F2"/>
    <w:rsid w:val="00C51FDA"/>
    <w:rsid w:val="00C52077"/>
    <w:rsid w:val="00C52867"/>
    <w:rsid w:val="00C542E3"/>
    <w:rsid w:val="00C54935"/>
    <w:rsid w:val="00C558B1"/>
    <w:rsid w:val="00C55B35"/>
    <w:rsid w:val="00C55DBF"/>
    <w:rsid w:val="00C56D6F"/>
    <w:rsid w:val="00C56F20"/>
    <w:rsid w:val="00C60526"/>
    <w:rsid w:val="00C61643"/>
    <w:rsid w:val="00C61E37"/>
    <w:rsid w:val="00C624E0"/>
    <w:rsid w:val="00C62A99"/>
    <w:rsid w:val="00C63BF7"/>
    <w:rsid w:val="00C648D8"/>
    <w:rsid w:val="00C648F5"/>
    <w:rsid w:val="00C649C1"/>
    <w:rsid w:val="00C64AC2"/>
    <w:rsid w:val="00C64B45"/>
    <w:rsid w:val="00C65B4A"/>
    <w:rsid w:val="00C66FE6"/>
    <w:rsid w:val="00C67063"/>
    <w:rsid w:val="00C6747B"/>
    <w:rsid w:val="00C70963"/>
    <w:rsid w:val="00C72BC1"/>
    <w:rsid w:val="00C73872"/>
    <w:rsid w:val="00C73ECE"/>
    <w:rsid w:val="00C7463F"/>
    <w:rsid w:val="00C750E5"/>
    <w:rsid w:val="00C75D04"/>
    <w:rsid w:val="00C7788C"/>
    <w:rsid w:val="00C778EF"/>
    <w:rsid w:val="00C77BC2"/>
    <w:rsid w:val="00C8093B"/>
    <w:rsid w:val="00C80E9E"/>
    <w:rsid w:val="00C80FE0"/>
    <w:rsid w:val="00C81CDA"/>
    <w:rsid w:val="00C81DE4"/>
    <w:rsid w:val="00C82AC9"/>
    <w:rsid w:val="00C82BCF"/>
    <w:rsid w:val="00C8374B"/>
    <w:rsid w:val="00C8388E"/>
    <w:rsid w:val="00C84579"/>
    <w:rsid w:val="00C85B43"/>
    <w:rsid w:val="00C85F4E"/>
    <w:rsid w:val="00C8651C"/>
    <w:rsid w:val="00C86854"/>
    <w:rsid w:val="00C87CE9"/>
    <w:rsid w:val="00C906F4"/>
    <w:rsid w:val="00C9095E"/>
    <w:rsid w:val="00C91C57"/>
    <w:rsid w:val="00C921AE"/>
    <w:rsid w:val="00C934C3"/>
    <w:rsid w:val="00C93570"/>
    <w:rsid w:val="00C9363C"/>
    <w:rsid w:val="00C9365C"/>
    <w:rsid w:val="00C9437F"/>
    <w:rsid w:val="00C949F9"/>
    <w:rsid w:val="00C94CF4"/>
    <w:rsid w:val="00C95F6A"/>
    <w:rsid w:val="00C97A30"/>
    <w:rsid w:val="00CA0040"/>
    <w:rsid w:val="00CA039D"/>
    <w:rsid w:val="00CA1AEB"/>
    <w:rsid w:val="00CA219E"/>
    <w:rsid w:val="00CA2341"/>
    <w:rsid w:val="00CA4836"/>
    <w:rsid w:val="00CA5352"/>
    <w:rsid w:val="00CA7150"/>
    <w:rsid w:val="00CA73FE"/>
    <w:rsid w:val="00CB1A75"/>
    <w:rsid w:val="00CB3FDB"/>
    <w:rsid w:val="00CB52AA"/>
    <w:rsid w:val="00CB5791"/>
    <w:rsid w:val="00CB62F7"/>
    <w:rsid w:val="00CB695B"/>
    <w:rsid w:val="00CB7DF5"/>
    <w:rsid w:val="00CC01AD"/>
    <w:rsid w:val="00CC07CA"/>
    <w:rsid w:val="00CC3508"/>
    <w:rsid w:val="00CC3AC7"/>
    <w:rsid w:val="00CC3DBB"/>
    <w:rsid w:val="00CC5034"/>
    <w:rsid w:val="00CC5721"/>
    <w:rsid w:val="00CC6ECA"/>
    <w:rsid w:val="00CC79C9"/>
    <w:rsid w:val="00CD0A3F"/>
    <w:rsid w:val="00CD2D43"/>
    <w:rsid w:val="00CD2E1B"/>
    <w:rsid w:val="00CD32C9"/>
    <w:rsid w:val="00CD331E"/>
    <w:rsid w:val="00CD4CEE"/>
    <w:rsid w:val="00CD5403"/>
    <w:rsid w:val="00CD5549"/>
    <w:rsid w:val="00CD6813"/>
    <w:rsid w:val="00CD79AA"/>
    <w:rsid w:val="00CD7FDC"/>
    <w:rsid w:val="00CE019D"/>
    <w:rsid w:val="00CE0447"/>
    <w:rsid w:val="00CE1093"/>
    <w:rsid w:val="00CE202A"/>
    <w:rsid w:val="00CE2405"/>
    <w:rsid w:val="00CE27F2"/>
    <w:rsid w:val="00CE28BB"/>
    <w:rsid w:val="00CE2FE2"/>
    <w:rsid w:val="00CE344E"/>
    <w:rsid w:val="00CE492F"/>
    <w:rsid w:val="00CE50B8"/>
    <w:rsid w:val="00CE5AF9"/>
    <w:rsid w:val="00CE5F18"/>
    <w:rsid w:val="00CE6C99"/>
    <w:rsid w:val="00CE6F83"/>
    <w:rsid w:val="00CE7329"/>
    <w:rsid w:val="00CF0B45"/>
    <w:rsid w:val="00CF228A"/>
    <w:rsid w:val="00CF3306"/>
    <w:rsid w:val="00CF36B2"/>
    <w:rsid w:val="00CF492E"/>
    <w:rsid w:val="00CF6B4E"/>
    <w:rsid w:val="00CF6C6C"/>
    <w:rsid w:val="00CF70D3"/>
    <w:rsid w:val="00CF7F2D"/>
    <w:rsid w:val="00D00BE9"/>
    <w:rsid w:val="00D014DA"/>
    <w:rsid w:val="00D01BD1"/>
    <w:rsid w:val="00D01E3E"/>
    <w:rsid w:val="00D02452"/>
    <w:rsid w:val="00D031A5"/>
    <w:rsid w:val="00D039E6"/>
    <w:rsid w:val="00D0422A"/>
    <w:rsid w:val="00D0590B"/>
    <w:rsid w:val="00D068A0"/>
    <w:rsid w:val="00D071BE"/>
    <w:rsid w:val="00D07A79"/>
    <w:rsid w:val="00D07C13"/>
    <w:rsid w:val="00D11F35"/>
    <w:rsid w:val="00D11F49"/>
    <w:rsid w:val="00D12254"/>
    <w:rsid w:val="00D12BE3"/>
    <w:rsid w:val="00D14C08"/>
    <w:rsid w:val="00D14EAF"/>
    <w:rsid w:val="00D15C14"/>
    <w:rsid w:val="00D16F5E"/>
    <w:rsid w:val="00D1789F"/>
    <w:rsid w:val="00D17DFC"/>
    <w:rsid w:val="00D21E13"/>
    <w:rsid w:val="00D223E9"/>
    <w:rsid w:val="00D22551"/>
    <w:rsid w:val="00D22790"/>
    <w:rsid w:val="00D23250"/>
    <w:rsid w:val="00D2326B"/>
    <w:rsid w:val="00D24D07"/>
    <w:rsid w:val="00D2548E"/>
    <w:rsid w:val="00D26A1E"/>
    <w:rsid w:val="00D26D6A"/>
    <w:rsid w:val="00D27093"/>
    <w:rsid w:val="00D3140C"/>
    <w:rsid w:val="00D31557"/>
    <w:rsid w:val="00D31670"/>
    <w:rsid w:val="00D31D5D"/>
    <w:rsid w:val="00D32510"/>
    <w:rsid w:val="00D33898"/>
    <w:rsid w:val="00D34D7F"/>
    <w:rsid w:val="00D354FE"/>
    <w:rsid w:val="00D35A42"/>
    <w:rsid w:val="00D36011"/>
    <w:rsid w:val="00D36379"/>
    <w:rsid w:val="00D36532"/>
    <w:rsid w:val="00D4007D"/>
    <w:rsid w:val="00D40681"/>
    <w:rsid w:val="00D40843"/>
    <w:rsid w:val="00D42887"/>
    <w:rsid w:val="00D44049"/>
    <w:rsid w:val="00D44195"/>
    <w:rsid w:val="00D4461F"/>
    <w:rsid w:val="00D4516C"/>
    <w:rsid w:val="00D45234"/>
    <w:rsid w:val="00D4557A"/>
    <w:rsid w:val="00D45B22"/>
    <w:rsid w:val="00D4662C"/>
    <w:rsid w:val="00D4686D"/>
    <w:rsid w:val="00D471F6"/>
    <w:rsid w:val="00D50FC9"/>
    <w:rsid w:val="00D50FCA"/>
    <w:rsid w:val="00D510F6"/>
    <w:rsid w:val="00D51E1B"/>
    <w:rsid w:val="00D51F03"/>
    <w:rsid w:val="00D526CD"/>
    <w:rsid w:val="00D52BC6"/>
    <w:rsid w:val="00D54944"/>
    <w:rsid w:val="00D54B2F"/>
    <w:rsid w:val="00D558B2"/>
    <w:rsid w:val="00D55EA2"/>
    <w:rsid w:val="00D563FD"/>
    <w:rsid w:val="00D578D0"/>
    <w:rsid w:val="00D60629"/>
    <w:rsid w:val="00D60D06"/>
    <w:rsid w:val="00D61118"/>
    <w:rsid w:val="00D612AE"/>
    <w:rsid w:val="00D61538"/>
    <w:rsid w:val="00D62124"/>
    <w:rsid w:val="00D62640"/>
    <w:rsid w:val="00D62DEA"/>
    <w:rsid w:val="00D63351"/>
    <w:rsid w:val="00D63E33"/>
    <w:rsid w:val="00D644E4"/>
    <w:rsid w:val="00D64832"/>
    <w:rsid w:val="00D65309"/>
    <w:rsid w:val="00D65B00"/>
    <w:rsid w:val="00D66429"/>
    <w:rsid w:val="00D66918"/>
    <w:rsid w:val="00D67854"/>
    <w:rsid w:val="00D67E8D"/>
    <w:rsid w:val="00D702BC"/>
    <w:rsid w:val="00D714DC"/>
    <w:rsid w:val="00D72240"/>
    <w:rsid w:val="00D738D5"/>
    <w:rsid w:val="00D74843"/>
    <w:rsid w:val="00D74BFC"/>
    <w:rsid w:val="00D7523F"/>
    <w:rsid w:val="00D7629C"/>
    <w:rsid w:val="00D76A08"/>
    <w:rsid w:val="00D773F2"/>
    <w:rsid w:val="00D77A6A"/>
    <w:rsid w:val="00D80809"/>
    <w:rsid w:val="00D80F20"/>
    <w:rsid w:val="00D81138"/>
    <w:rsid w:val="00D81E58"/>
    <w:rsid w:val="00D82160"/>
    <w:rsid w:val="00D82C8F"/>
    <w:rsid w:val="00D82D21"/>
    <w:rsid w:val="00D82E33"/>
    <w:rsid w:val="00D830D4"/>
    <w:rsid w:val="00D84197"/>
    <w:rsid w:val="00D8477C"/>
    <w:rsid w:val="00D84CCB"/>
    <w:rsid w:val="00D86A14"/>
    <w:rsid w:val="00D91066"/>
    <w:rsid w:val="00D917FE"/>
    <w:rsid w:val="00D93FE1"/>
    <w:rsid w:val="00D93FED"/>
    <w:rsid w:val="00D94802"/>
    <w:rsid w:val="00D9507A"/>
    <w:rsid w:val="00D95B0C"/>
    <w:rsid w:val="00D96065"/>
    <w:rsid w:val="00D96D13"/>
    <w:rsid w:val="00D97066"/>
    <w:rsid w:val="00D9746F"/>
    <w:rsid w:val="00DA017A"/>
    <w:rsid w:val="00DA0A3C"/>
    <w:rsid w:val="00DA15B3"/>
    <w:rsid w:val="00DA1A65"/>
    <w:rsid w:val="00DA4687"/>
    <w:rsid w:val="00DA5FF9"/>
    <w:rsid w:val="00DA6B7C"/>
    <w:rsid w:val="00DA75E6"/>
    <w:rsid w:val="00DA7B5E"/>
    <w:rsid w:val="00DB049F"/>
    <w:rsid w:val="00DB0FF0"/>
    <w:rsid w:val="00DB1296"/>
    <w:rsid w:val="00DB1744"/>
    <w:rsid w:val="00DB18B4"/>
    <w:rsid w:val="00DB20DA"/>
    <w:rsid w:val="00DB34FC"/>
    <w:rsid w:val="00DB4922"/>
    <w:rsid w:val="00DB59A0"/>
    <w:rsid w:val="00DB5BFA"/>
    <w:rsid w:val="00DB6836"/>
    <w:rsid w:val="00DB6B70"/>
    <w:rsid w:val="00DC09F4"/>
    <w:rsid w:val="00DC0D92"/>
    <w:rsid w:val="00DC10F2"/>
    <w:rsid w:val="00DC1F73"/>
    <w:rsid w:val="00DC1FA0"/>
    <w:rsid w:val="00DC3549"/>
    <w:rsid w:val="00DC3B56"/>
    <w:rsid w:val="00DC44E9"/>
    <w:rsid w:val="00DC5BDC"/>
    <w:rsid w:val="00DC61DE"/>
    <w:rsid w:val="00DC64D8"/>
    <w:rsid w:val="00DC6591"/>
    <w:rsid w:val="00DC661C"/>
    <w:rsid w:val="00DC6D3C"/>
    <w:rsid w:val="00DC76FB"/>
    <w:rsid w:val="00DC776A"/>
    <w:rsid w:val="00DD109A"/>
    <w:rsid w:val="00DD3FBF"/>
    <w:rsid w:val="00DD445D"/>
    <w:rsid w:val="00DD494C"/>
    <w:rsid w:val="00DD572A"/>
    <w:rsid w:val="00DD614F"/>
    <w:rsid w:val="00DD6E68"/>
    <w:rsid w:val="00DD724F"/>
    <w:rsid w:val="00DD72C0"/>
    <w:rsid w:val="00DD7560"/>
    <w:rsid w:val="00DD76DC"/>
    <w:rsid w:val="00DD7E4F"/>
    <w:rsid w:val="00DE0562"/>
    <w:rsid w:val="00DE0FF9"/>
    <w:rsid w:val="00DE29A0"/>
    <w:rsid w:val="00DE393F"/>
    <w:rsid w:val="00DE41F9"/>
    <w:rsid w:val="00DE4CBB"/>
    <w:rsid w:val="00DE51DA"/>
    <w:rsid w:val="00DE571C"/>
    <w:rsid w:val="00DE74DF"/>
    <w:rsid w:val="00DE77E6"/>
    <w:rsid w:val="00DE7A89"/>
    <w:rsid w:val="00DE7CD6"/>
    <w:rsid w:val="00DF0084"/>
    <w:rsid w:val="00DF02CB"/>
    <w:rsid w:val="00DF05AA"/>
    <w:rsid w:val="00DF0A4E"/>
    <w:rsid w:val="00DF1595"/>
    <w:rsid w:val="00DF1963"/>
    <w:rsid w:val="00DF2C2C"/>
    <w:rsid w:val="00DF2F87"/>
    <w:rsid w:val="00DF34C0"/>
    <w:rsid w:val="00DF53B9"/>
    <w:rsid w:val="00DF597C"/>
    <w:rsid w:val="00DF5E20"/>
    <w:rsid w:val="00DF659E"/>
    <w:rsid w:val="00DF6CC1"/>
    <w:rsid w:val="00E01320"/>
    <w:rsid w:val="00E014A5"/>
    <w:rsid w:val="00E01D94"/>
    <w:rsid w:val="00E0249A"/>
    <w:rsid w:val="00E027E3"/>
    <w:rsid w:val="00E028DD"/>
    <w:rsid w:val="00E036B8"/>
    <w:rsid w:val="00E03EA8"/>
    <w:rsid w:val="00E03F99"/>
    <w:rsid w:val="00E056F5"/>
    <w:rsid w:val="00E058AA"/>
    <w:rsid w:val="00E05A52"/>
    <w:rsid w:val="00E05DB0"/>
    <w:rsid w:val="00E05EB0"/>
    <w:rsid w:val="00E06CED"/>
    <w:rsid w:val="00E10115"/>
    <w:rsid w:val="00E111AA"/>
    <w:rsid w:val="00E11727"/>
    <w:rsid w:val="00E136DC"/>
    <w:rsid w:val="00E1452E"/>
    <w:rsid w:val="00E14A2A"/>
    <w:rsid w:val="00E15300"/>
    <w:rsid w:val="00E1626E"/>
    <w:rsid w:val="00E1745B"/>
    <w:rsid w:val="00E177A6"/>
    <w:rsid w:val="00E178C5"/>
    <w:rsid w:val="00E17BE3"/>
    <w:rsid w:val="00E2066A"/>
    <w:rsid w:val="00E20719"/>
    <w:rsid w:val="00E20FEE"/>
    <w:rsid w:val="00E2117D"/>
    <w:rsid w:val="00E21DB0"/>
    <w:rsid w:val="00E24203"/>
    <w:rsid w:val="00E24921"/>
    <w:rsid w:val="00E24D47"/>
    <w:rsid w:val="00E26A1C"/>
    <w:rsid w:val="00E27A8E"/>
    <w:rsid w:val="00E31071"/>
    <w:rsid w:val="00E312CD"/>
    <w:rsid w:val="00E32482"/>
    <w:rsid w:val="00E3312C"/>
    <w:rsid w:val="00E342EF"/>
    <w:rsid w:val="00E346A7"/>
    <w:rsid w:val="00E351D8"/>
    <w:rsid w:val="00E35FB4"/>
    <w:rsid w:val="00E36C61"/>
    <w:rsid w:val="00E36F8B"/>
    <w:rsid w:val="00E37F5B"/>
    <w:rsid w:val="00E4047E"/>
    <w:rsid w:val="00E4064C"/>
    <w:rsid w:val="00E408BE"/>
    <w:rsid w:val="00E40E3A"/>
    <w:rsid w:val="00E40EE8"/>
    <w:rsid w:val="00E4193B"/>
    <w:rsid w:val="00E42A01"/>
    <w:rsid w:val="00E44063"/>
    <w:rsid w:val="00E44102"/>
    <w:rsid w:val="00E44826"/>
    <w:rsid w:val="00E44C74"/>
    <w:rsid w:val="00E4528D"/>
    <w:rsid w:val="00E46FA0"/>
    <w:rsid w:val="00E4713D"/>
    <w:rsid w:val="00E514AC"/>
    <w:rsid w:val="00E52426"/>
    <w:rsid w:val="00E5247F"/>
    <w:rsid w:val="00E5289E"/>
    <w:rsid w:val="00E531AF"/>
    <w:rsid w:val="00E5393E"/>
    <w:rsid w:val="00E53A50"/>
    <w:rsid w:val="00E54FB6"/>
    <w:rsid w:val="00E5548F"/>
    <w:rsid w:val="00E55DF9"/>
    <w:rsid w:val="00E609C4"/>
    <w:rsid w:val="00E6181F"/>
    <w:rsid w:val="00E637F3"/>
    <w:rsid w:val="00E64293"/>
    <w:rsid w:val="00E649C6"/>
    <w:rsid w:val="00E6518F"/>
    <w:rsid w:val="00E65213"/>
    <w:rsid w:val="00E6537C"/>
    <w:rsid w:val="00E6589B"/>
    <w:rsid w:val="00E65A9B"/>
    <w:rsid w:val="00E65CE6"/>
    <w:rsid w:val="00E65DC0"/>
    <w:rsid w:val="00E66148"/>
    <w:rsid w:val="00E663E7"/>
    <w:rsid w:val="00E667B9"/>
    <w:rsid w:val="00E66A42"/>
    <w:rsid w:val="00E67342"/>
    <w:rsid w:val="00E678B3"/>
    <w:rsid w:val="00E70930"/>
    <w:rsid w:val="00E70C71"/>
    <w:rsid w:val="00E7124B"/>
    <w:rsid w:val="00E718EC"/>
    <w:rsid w:val="00E72C3D"/>
    <w:rsid w:val="00E7328B"/>
    <w:rsid w:val="00E73AA1"/>
    <w:rsid w:val="00E73BB1"/>
    <w:rsid w:val="00E74439"/>
    <w:rsid w:val="00E74986"/>
    <w:rsid w:val="00E74FAC"/>
    <w:rsid w:val="00E7539F"/>
    <w:rsid w:val="00E76FE3"/>
    <w:rsid w:val="00E77328"/>
    <w:rsid w:val="00E80175"/>
    <w:rsid w:val="00E8079A"/>
    <w:rsid w:val="00E80EA1"/>
    <w:rsid w:val="00E81381"/>
    <w:rsid w:val="00E81E8A"/>
    <w:rsid w:val="00E82458"/>
    <w:rsid w:val="00E8260F"/>
    <w:rsid w:val="00E827BE"/>
    <w:rsid w:val="00E82D95"/>
    <w:rsid w:val="00E8383C"/>
    <w:rsid w:val="00E86046"/>
    <w:rsid w:val="00E911EA"/>
    <w:rsid w:val="00E9137B"/>
    <w:rsid w:val="00E91C45"/>
    <w:rsid w:val="00E91FE1"/>
    <w:rsid w:val="00E93674"/>
    <w:rsid w:val="00E941BD"/>
    <w:rsid w:val="00E9456C"/>
    <w:rsid w:val="00E94AFB"/>
    <w:rsid w:val="00E965DC"/>
    <w:rsid w:val="00EA057D"/>
    <w:rsid w:val="00EA0674"/>
    <w:rsid w:val="00EA09A1"/>
    <w:rsid w:val="00EA0B65"/>
    <w:rsid w:val="00EA1DBD"/>
    <w:rsid w:val="00EA2370"/>
    <w:rsid w:val="00EA2384"/>
    <w:rsid w:val="00EA2BC6"/>
    <w:rsid w:val="00EA309F"/>
    <w:rsid w:val="00EA3303"/>
    <w:rsid w:val="00EA3387"/>
    <w:rsid w:val="00EA35F8"/>
    <w:rsid w:val="00EA46FB"/>
    <w:rsid w:val="00EA4AF6"/>
    <w:rsid w:val="00EA687A"/>
    <w:rsid w:val="00EA7F51"/>
    <w:rsid w:val="00EB1387"/>
    <w:rsid w:val="00EB1C23"/>
    <w:rsid w:val="00EB2082"/>
    <w:rsid w:val="00EB366C"/>
    <w:rsid w:val="00EB455F"/>
    <w:rsid w:val="00EB46C2"/>
    <w:rsid w:val="00EB47AF"/>
    <w:rsid w:val="00EB4F13"/>
    <w:rsid w:val="00EB5CE3"/>
    <w:rsid w:val="00EB6738"/>
    <w:rsid w:val="00EB7047"/>
    <w:rsid w:val="00EB76DC"/>
    <w:rsid w:val="00EC03EA"/>
    <w:rsid w:val="00EC07E5"/>
    <w:rsid w:val="00EC08D9"/>
    <w:rsid w:val="00EC09CD"/>
    <w:rsid w:val="00EC1CD9"/>
    <w:rsid w:val="00EC29F6"/>
    <w:rsid w:val="00EC2F72"/>
    <w:rsid w:val="00EC35E9"/>
    <w:rsid w:val="00EC375E"/>
    <w:rsid w:val="00EC4801"/>
    <w:rsid w:val="00EC53C2"/>
    <w:rsid w:val="00EC5B9A"/>
    <w:rsid w:val="00EC643B"/>
    <w:rsid w:val="00EC74C1"/>
    <w:rsid w:val="00EC7E06"/>
    <w:rsid w:val="00ED16EF"/>
    <w:rsid w:val="00ED3EB9"/>
    <w:rsid w:val="00ED3F0E"/>
    <w:rsid w:val="00ED43BC"/>
    <w:rsid w:val="00ED475B"/>
    <w:rsid w:val="00ED4ECA"/>
    <w:rsid w:val="00ED4FD1"/>
    <w:rsid w:val="00ED5117"/>
    <w:rsid w:val="00ED52F2"/>
    <w:rsid w:val="00ED58FE"/>
    <w:rsid w:val="00ED6E73"/>
    <w:rsid w:val="00ED72D3"/>
    <w:rsid w:val="00EE009B"/>
    <w:rsid w:val="00EE0105"/>
    <w:rsid w:val="00EE07C2"/>
    <w:rsid w:val="00EE0F2B"/>
    <w:rsid w:val="00EE1329"/>
    <w:rsid w:val="00EE1D4E"/>
    <w:rsid w:val="00EE207E"/>
    <w:rsid w:val="00EE2959"/>
    <w:rsid w:val="00EE30BB"/>
    <w:rsid w:val="00EE30DB"/>
    <w:rsid w:val="00EE4D89"/>
    <w:rsid w:val="00EE534E"/>
    <w:rsid w:val="00EE580B"/>
    <w:rsid w:val="00EE60D9"/>
    <w:rsid w:val="00EE7218"/>
    <w:rsid w:val="00EF0D17"/>
    <w:rsid w:val="00EF0F0F"/>
    <w:rsid w:val="00EF1BB1"/>
    <w:rsid w:val="00EF361B"/>
    <w:rsid w:val="00EF389C"/>
    <w:rsid w:val="00EF3C8C"/>
    <w:rsid w:val="00EF48BB"/>
    <w:rsid w:val="00EF6D18"/>
    <w:rsid w:val="00EF7F98"/>
    <w:rsid w:val="00EF7FA5"/>
    <w:rsid w:val="00F009E9"/>
    <w:rsid w:val="00F01F55"/>
    <w:rsid w:val="00F03035"/>
    <w:rsid w:val="00F03055"/>
    <w:rsid w:val="00F038C8"/>
    <w:rsid w:val="00F054D2"/>
    <w:rsid w:val="00F06231"/>
    <w:rsid w:val="00F0744F"/>
    <w:rsid w:val="00F100BC"/>
    <w:rsid w:val="00F11B0C"/>
    <w:rsid w:val="00F13CEE"/>
    <w:rsid w:val="00F13E9A"/>
    <w:rsid w:val="00F14363"/>
    <w:rsid w:val="00F145A3"/>
    <w:rsid w:val="00F14A79"/>
    <w:rsid w:val="00F14A9E"/>
    <w:rsid w:val="00F153AE"/>
    <w:rsid w:val="00F1602C"/>
    <w:rsid w:val="00F1773A"/>
    <w:rsid w:val="00F1779E"/>
    <w:rsid w:val="00F17CB8"/>
    <w:rsid w:val="00F2064B"/>
    <w:rsid w:val="00F20F9C"/>
    <w:rsid w:val="00F21288"/>
    <w:rsid w:val="00F21919"/>
    <w:rsid w:val="00F21CBD"/>
    <w:rsid w:val="00F21DB9"/>
    <w:rsid w:val="00F23510"/>
    <w:rsid w:val="00F257B7"/>
    <w:rsid w:val="00F265C8"/>
    <w:rsid w:val="00F265D9"/>
    <w:rsid w:val="00F270CD"/>
    <w:rsid w:val="00F306FA"/>
    <w:rsid w:val="00F30808"/>
    <w:rsid w:val="00F30B09"/>
    <w:rsid w:val="00F3166E"/>
    <w:rsid w:val="00F317B3"/>
    <w:rsid w:val="00F32149"/>
    <w:rsid w:val="00F32FCB"/>
    <w:rsid w:val="00F331C7"/>
    <w:rsid w:val="00F34F96"/>
    <w:rsid w:val="00F36161"/>
    <w:rsid w:val="00F37C4F"/>
    <w:rsid w:val="00F407D4"/>
    <w:rsid w:val="00F42397"/>
    <w:rsid w:val="00F43739"/>
    <w:rsid w:val="00F4434F"/>
    <w:rsid w:val="00F45054"/>
    <w:rsid w:val="00F4606C"/>
    <w:rsid w:val="00F463F3"/>
    <w:rsid w:val="00F464D3"/>
    <w:rsid w:val="00F468CA"/>
    <w:rsid w:val="00F46C95"/>
    <w:rsid w:val="00F4753F"/>
    <w:rsid w:val="00F47F2E"/>
    <w:rsid w:val="00F51B8D"/>
    <w:rsid w:val="00F51D46"/>
    <w:rsid w:val="00F51F76"/>
    <w:rsid w:val="00F528F4"/>
    <w:rsid w:val="00F530C2"/>
    <w:rsid w:val="00F54993"/>
    <w:rsid w:val="00F55023"/>
    <w:rsid w:val="00F55104"/>
    <w:rsid w:val="00F55589"/>
    <w:rsid w:val="00F56153"/>
    <w:rsid w:val="00F56FDD"/>
    <w:rsid w:val="00F576AC"/>
    <w:rsid w:val="00F61569"/>
    <w:rsid w:val="00F61B21"/>
    <w:rsid w:val="00F61C92"/>
    <w:rsid w:val="00F61DDC"/>
    <w:rsid w:val="00F6203B"/>
    <w:rsid w:val="00F62D70"/>
    <w:rsid w:val="00F635B1"/>
    <w:rsid w:val="00F64168"/>
    <w:rsid w:val="00F644D7"/>
    <w:rsid w:val="00F645BD"/>
    <w:rsid w:val="00F64A59"/>
    <w:rsid w:val="00F65701"/>
    <w:rsid w:val="00F6760C"/>
    <w:rsid w:val="00F6773F"/>
    <w:rsid w:val="00F70B88"/>
    <w:rsid w:val="00F70D09"/>
    <w:rsid w:val="00F71E37"/>
    <w:rsid w:val="00F71E97"/>
    <w:rsid w:val="00F7298B"/>
    <w:rsid w:val="00F73E26"/>
    <w:rsid w:val="00F7434C"/>
    <w:rsid w:val="00F74E24"/>
    <w:rsid w:val="00F76F32"/>
    <w:rsid w:val="00F802A8"/>
    <w:rsid w:val="00F80B4D"/>
    <w:rsid w:val="00F80C37"/>
    <w:rsid w:val="00F81954"/>
    <w:rsid w:val="00F81ACA"/>
    <w:rsid w:val="00F8286C"/>
    <w:rsid w:val="00F83DE9"/>
    <w:rsid w:val="00F83FE9"/>
    <w:rsid w:val="00F848CF"/>
    <w:rsid w:val="00F8494E"/>
    <w:rsid w:val="00F8569C"/>
    <w:rsid w:val="00F85CA1"/>
    <w:rsid w:val="00F86373"/>
    <w:rsid w:val="00F871B1"/>
    <w:rsid w:val="00F8765F"/>
    <w:rsid w:val="00F87EE7"/>
    <w:rsid w:val="00F9034D"/>
    <w:rsid w:val="00F91716"/>
    <w:rsid w:val="00F919A3"/>
    <w:rsid w:val="00F91DE4"/>
    <w:rsid w:val="00F92B45"/>
    <w:rsid w:val="00F95116"/>
    <w:rsid w:val="00F9561F"/>
    <w:rsid w:val="00F962BF"/>
    <w:rsid w:val="00F974E1"/>
    <w:rsid w:val="00F97686"/>
    <w:rsid w:val="00F979D7"/>
    <w:rsid w:val="00FA09EC"/>
    <w:rsid w:val="00FA12BE"/>
    <w:rsid w:val="00FA1585"/>
    <w:rsid w:val="00FA28F5"/>
    <w:rsid w:val="00FA32B5"/>
    <w:rsid w:val="00FA34B2"/>
    <w:rsid w:val="00FA4266"/>
    <w:rsid w:val="00FA43B5"/>
    <w:rsid w:val="00FA5C06"/>
    <w:rsid w:val="00FA5C81"/>
    <w:rsid w:val="00FA7168"/>
    <w:rsid w:val="00FB0049"/>
    <w:rsid w:val="00FB0510"/>
    <w:rsid w:val="00FB0594"/>
    <w:rsid w:val="00FB0BFC"/>
    <w:rsid w:val="00FB0DCD"/>
    <w:rsid w:val="00FB0FED"/>
    <w:rsid w:val="00FB12EC"/>
    <w:rsid w:val="00FB20C3"/>
    <w:rsid w:val="00FB270E"/>
    <w:rsid w:val="00FB28AB"/>
    <w:rsid w:val="00FB39B9"/>
    <w:rsid w:val="00FB41C9"/>
    <w:rsid w:val="00FB4394"/>
    <w:rsid w:val="00FB5610"/>
    <w:rsid w:val="00FB561B"/>
    <w:rsid w:val="00FC0A89"/>
    <w:rsid w:val="00FC1FC2"/>
    <w:rsid w:val="00FC3D74"/>
    <w:rsid w:val="00FC3E41"/>
    <w:rsid w:val="00FC52BF"/>
    <w:rsid w:val="00FC5A35"/>
    <w:rsid w:val="00FC5EBC"/>
    <w:rsid w:val="00FC62A3"/>
    <w:rsid w:val="00FC69AD"/>
    <w:rsid w:val="00FD0B85"/>
    <w:rsid w:val="00FD0FD2"/>
    <w:rsid w:val="00FD118C"/>
    <w:rsid w:val="00FD3216"/>
    <w:rsid w:val="00FD3AEB"/>
    <w:rsid w:val="00FD4044"/>
    <w:rsid w:val="00FD437C"/>
    <w:rsid w:val="00FD548B"/>
    <w:rsid w:val="00FD57F7"/>
    <w:rsid w:val="00FD5C56"/>
    <w:rsid w:val="00FD6C37"/>
    <w:rsid w:val="00FD6FE2"/>
    <w:rsid w:val="00FE04F5"/>
    <w:rsid w:val="00FE1038"/>
    <w:rsid w:val="00FE175E"/>
    <w:rsid w:val="00FE35B5"/>
    <w:rsid w:val="00FE3B40"/>
    <w:rsid w:val="00FE3C46"/>
    <w:rsid w:val="00FE46C0"/>
    <w:rsid w:val="00FE4750"/>
    <w:rsid w:val="00FE59BC"/>
    <w:rsid w:val="00FE5A9A"/>
    <w:rsid w:val="00FE5D1D"/>
    <w:rsid w:val="00FE6EBA"/>
    <w:rsid w:val="00FE74D9"/>
    <w:rsid w:val="00FE75FC"/>
    <w:rsid w:val="00FE7CDC"/>
    <w:rsid w:val="00FF274A"/>
    <w:rsid w:val="00FF2ADC"/>
    <w:rsid w:val="00FF2B10"/>
    <w:rsid w:val="00FF2B68"/>
    <w:rsid w:val="00FF30C5"/>
    <w:rsid w:val="00FF45E3"/>
    <w:rsid w:val="00FF4DE1"/>
    <w:rsid w:val="00FF5956"/>
    <w:rsid w:val="00FF5C37"/>
    <w:rsid w:val="00FF7FBD"/>
    <w:rsid w:val="010BDDBB"/>
    <w:rsid w:val="0131D4A6"/>
    <w:rsid w:val="02A1AF37"/>
    <w:rsid w:val="02BFCEC7"/>
    <w:rsid w:val="02D55758"/>
    <w:rsid w:val="036D9F30"/>
    <w:rsid w:val="0452962A"/>
    <w:rsid w:val="04697568"/>
    <w:rsid w:val="047E353F"/>
    <w:rsid w:val="04E0138B"/>
    <w:rsid w:val="04ED0282"/>
    <w:rsid w:val="0522A0E7"/>
    <w:rsid w:val="0549A8E7"/>
    <w:rsid w:val="057F4192"/>
    <w:rsid w:val="05B12673"/>
    <w:rsid w:val="060F58AF"/>
    <w:rsid w:val="06F699C5"/>
    <w:rsid w:val="07708503"/>
    <w:rsid w:val="080B7AE7"/>
    <w:rsid w:val="088BC1BF"/>
    <w:rsid w:val="089DCD5A"/>
    <w:rsid w:val="09009EA0"/>
    <w:rsid w:val="091E4F78"/>
    <w:rsid w:val="0939FCC6"/>
    <w:rsid w:val="0A4A74B0"/>
    <w:rsid w:val="0A944BB9"/>
    <w:rsid w:val="0B0631F7"/>
    <w:rsid w:val="0B431BA9"/>
    <w:rsid w:val="0C59DCFA"/>
    <w:rsid w:val="0C719D88"/>
    <w:rsid w:val="0C889751"/>
    <w:rsid w:val="0CD97A2A"/>
    <w:rsid w:val="0CE6D990"/>
    <w:rsid w:val="0D3AEBD9"/>
    <w:rsid w:val="0E0BEF28"/>
    <w:rsid w:val="0E155B6F"/>
    <w:rsid w:val="0E50F0B0"/>
    <w:rsid w:val="0ED4BF3F"/>
    <w:rsid w:val="0F442A85"/>
    <w:rsid w:val="0F45369D"/>
    <w:rsid w:val="0F545A55"/>
    <w:rsid w:val="0FCBB3F8"/>
    <w:rsid w:val="113F2C8F"/>
    <w:rsid w:val="114F4AEC"/>
    <w:rsid w:val="11BA4AB3"/>
    <w:rsid w:val="11FF7378"/>
    <w:rsid w:val="122871A0"/>
    <w:rsid w:val="124FFBF9"/>
    <w:rsid w:val="129EAAA4"/>
    <w:rsid w:val="12A75713"/>
    <w:rsid w:val="1410400A"/>
    <w:rsid w:val="14572DF3"/>
    <w:rsid w:val="148786B8"/>
    <w:rsid w:val="14F3A22B"/>
    <w:rsid w:val="1502C7F2"/>
    <w:rsid w:val="15068DF6"/>
    <w:rsid w:val="151BFC54"/>
    <w:rsid w:val="156C4B5C"/>
    <w:rsid w:val="16638FC4"/>
    <w:rsid w:val="16CDB0E2"/>
    <w:rsid w:val="171ADC2F"/>
    <w:rsid w:val="174E7729"/>
    <w:rsid w:val="17C3EDA4"/>
    <w:rsid w:val="18298C37"/>
    <w:rsid w:val="186EB4FC"/>
    <w:rsid w:val="18DDB1B8"/>
    <w:rsid w:val="18E89CA9"/>
    <w:rsid w:val="19891CEE"/>
    <w:rsid w:val="1A394947"/>
    <w:rsid w:val="1A87AB82"/>
    <w:rsid w:val="1A8C86E3"/>
    <w:rsid w:val="1A9809A8"/>
    <w:rsid w:val="1B5073C9"/>
    <w:rsid w:val="1B7A11D1"/>
    <w:rsid w:val="1BAE5ADE"/>
    <w:rsid w:val="1C163188"/>
    <w:rsid w:val="1C3F5DA2"/>
    <w:rsid w:val="1C65826C"/>
    <w:rsid w:val="1C76867B"/>
    <w:rsid w:val="1CD5147A"/>
    <w:rsid w:val="1CFCE900"/>
    <w:rsid w:val="1D416F1E"/>
    <w:rsid w:val="1DB201E9"/>
    <w:rsid w:val="1E1B30A2"/>
    <w:rsid w:val="1E2A0078"/>
    <w:rsid w:val="1EB5D8A9"/>
    <w:rsid w:val="1EB9626E"/>
    <w:rsid w:val="1F6B7ACB"/>
    <w:rsid w:val="1FC5D0D9"/>
    <w:rsid w:val="20055DAB"/>
    <w:rsid w:val="20098402"/>
    <w:rsid w:val="204D53E9"/>
    <w:rsid w:val="205F3DBE"/>
    <w:rsid w:val="20616103"/>
    <w:rsid w:val="208397CF"/>
    <w:rsid w:val="2149F79E"/>
    <w:rsid w:val="21DA2C08"/>
    <w:rsid w:val="224957FE"/>
    <w:rsid w:val="22E1C155"/>
    <w:rsid w:val="2334E6DE"/>
    <w:rsid w:val="23AFBD70"/>
    <w:rsid w:val="23B92A28"/>
    <w:rsid w:val="23D1EFAB"/>
    <w:rsid w:val="243D562B"/>
    <w:rsid w:val="24980AC1"/>
    <w:rsid w:val="24CE41C2"/>
    <w:rsid w:val="256BEF0C"/>
    <w:rsid w:val="25755B53"/>
    <w:rsid w:val="25992304"/>
    <w:rsid w:val="25DC8B64"/>
    <w:rsid w:val="261C77CE"/>
    <w:rsid w:val="264DCD91"/>
    <w:rsid w:val="26C264C9"/>
    <w:rsid w:val="27361EB0"/>
    <w:rsid w:val="27475B3C"/>
    <w:rsid w:val="27768CB0"/>
    <w:rsid w:val="2862304F"/>
    <w:rsid w:val="28723EAA"/>
    <w:rsid w:val="2891B52C"/>
    <w:rsid w:val="289F3A4A"/>
    <w:rsid w:val="2917A1A1"/>
    <w:rsid w:val="29193B5E"/>
    <w:rsid w:val="299BBB47"/>
    <w:rsid w:val="29E928E9"/>
    <w:rsid w:val="2A18D99C"/>
    <w:rsid w:val="2B37E1FB"/>
    <w:rsid w:val="2CDE767E"/>
    <w:rsid w:val="2CF65357"/>
    <w:rsid w:val="2D28AB30"/>
    <w:rsid w:val="2DC7CE5B"/>
    <w:rsid w:val="2DD7A128"/>
    <w:rsid w:val="2EA000C5"/>
    <w:rsid w:val="2EF9EBF8"/>
    <w:rsid w:val="2F6E9A44"/>
    <w:rsid w:val="2FB6E299"/>
    <w:rsid w:val="30F3AC05"/>
    <w:rsid w:val="3163F8AE"/>
    <w:rsid w:val="31A32FEC"/>
    <w:rsid w:val="3222E02A"/>
    <w:rsid w:val="3248F1E0"/>
    <w:rsid w:val="3253DE5B"/>
    <w:rsid w:val="329991BA"/>
    <w:rsid w:val="329D5B16"/>
    <w:rsid w:val="330655A2"/>
    <w:rsid w:val="33E6BB97"/>
    <w:rsid w:val="33FEB7FF"/>
    <w:rsid w:val="343BB07F"/>
    <w:rsid w:val="348FDD85"/>
    <w:rsid w:val="355390B3"/>
    <w:rsid w:val="35630361"/>
    <w:rsid w:val="36113383"/>
    <w:rsid w:val="369B3844"/>
    <w:rsid w:val="370E2721"/>
    <w:rsid w:val="377B75A3"/>
    <w:rsid w:val="380D10FE"/>
    <w:rsid w:val="3959CCC5"/>
    <w:rsid w:val="3A0F54D7"/>
    <w:rsid w:val="3A441853"/>
    <w:rsid w:val="3BE19844"/>
    <w:rsid w:val="3BF9B471"/>
    <w:rsid w:val="3C199812"/>
    <w:rsid w:val="3C807507"/>
    <w:rsid w:val="3C8603B3"/>
    <w:rsid w:val="3C9479A1"/>
    <w:rsid w:val="3CFA4E33"/>
    <w:rsid w:val="3D545C9A"/>
    <w:rsid w:val="3DEAB727"/>
    <w:rsid w:val="3DFE20EA"/>
    <w:rsid w:val="3E023965"/>
    <w:rsid w:val="40030010"/>
    <w:rsid w:val="406278B7"/>
    <w:rsid w:val="4071E0D0"/>
    <w:rsid w:val="40A62C70"/>
    <w:rsid w:val="40A9C22E"/>
    <w:rsid w:val="40C84B6D"/>
    <w:rsid w:val="4127EFD9"/>
    <w:rsid w:val="41C9825A"/>
    <w:rsid w:val="41D9C8A2"/>
    <w:rsid w:val="41E4B7F4"/>
    <w:rsid w:val="4243FFE2"/>
    <w:rsid w:val="428C76BB"/>
    <w:rsid w:val="428C77D3"/>
    <w:rsid w:val="429A4747"/>
    <w:rsid w:val="42D68E2E"/>
    <w:rsid w:val="4392EE9B"/>
    <w:rsid w:val="43E9E89D"/>
    <w:rsid w:val="43F3D8F9"/>
    <w:rsid w:val="44B0D6B2"/>
    <w:rsid w:val="44CD18EB"/>
    <w:rsid w:val="44EA8892"/>
    <w:rsid w:val="453C9E38"/>
    <w:rsid w:val="458863DF"/>
    <w:rsid w:val="45DCBE82"/>
    <w:rsid w:val="4642DF57"/>
    <w:rsid w:val="465E7D9D"/>
    <w:rsid w:val="4687C4F0"/>
    <w:rsid w:val="47DB9AF2"/>
    <w:rsid w:val="480D2163"/>
    <w:rsid w:val="48147523"/>
    <w:rsid w:val="48CBB9D3"/>
    <w:rsid w:val="4964A1E9"/>
    <w:rsid w:val="4AD996E2"/>
    <w:rsid w:val="4BE9A599"/>
    <w:rsid w:val="4C38AF1E"/>
    <w:rsid w:val="4C4D8487"/>
    <w:rsid w:val="4C9C475E"/>
    <w:rsid w:val="4CA8D28F"/>
    <w:rsid w:val="4CE09286"/>
    <w:rsid w:val="4D9B79F5"/>
    <w:rsid w:val="4E2BAE5F"/>
    <w:rsid w:val="4E5885F6"/>
    <w:rsid w:val="4E7D4D9B"/>
    <w:rsid w:val="4E874F62"/>
    <w:rsid w:val="4F070091"/>
    <w:rsid w:val="4F27D95C"/>
    <w:rsid w:val="4F4DCF43"/>
    <w:rsid w:val="4F6AE035"/>
    <w:rsid w:val="4F7D21AE"/>
    <w:rsid w:val="509CA7AB"/>
    <w:rsid w:val="517A050D"/>
    <w:rsid w:val="51BEF024"/>
    <w:rsid w:val="51FA8E2F"/>
    <w:rsid w:val="522B005C"/>
    <w:rsid w:val="5238780C"/>
    <w:rsid w:val="524A59FC"/>
    <w:rsid w:val="527F2F1B"/>
    <w:rsid w:val="5343B81F"/>
    <w:rsid w:val="53965E90"/>
    <w:rsid w:val="53B54869"/>
    <w:rsid w:val="53FB0145"/>
    <w:rsid w:val="54183170"/>
    <w:rsid w:val="545A4E17"/>
    <w:rsid w:val="549A3DE5"/>
    <w:rsid w:val="5666C93A"/>
    <w:rsid w:val="56771722"/>
    <w:rsid w:val="56CCFAB6"/>
    <w:rsid w:val="576A11EE"/>
    <w:rsid w:val="577DC775"/>
    <w:rsid w:val="57C5E592"/>
    <w:rsid w:val="5825AFAD"/>
    <w:rsid w:val="585B2719"/>
    <w:rsid w:val="588E9133"/>
    <w:rsid w:val="599175A7"/>
    <w:rsid w:val="59E13E7C"/>
    <w:rsid w:val="59EB61C6"/>
    <w:rsid w:val="5A385D42"/>
    <w:rsid w:val="5A3B0F73"/>
    <w:rsid w:val="5A659B62"/>
    <w:rsid w:val="5ADA9B87"/>
    <w:rsid w:val="5AEF3D46"/>
    <w:rsid w:val="5B08CFA6"/>
    <w:rsid w:val="5B1F02AB"/>
    <w:rsid w:val="5B4587CB"/>
    <w:rsid w:val="5B6120FD"/>
    <w:rsid w:val="5BE3825C"/>
    <w:rsid w:val="5BFCC067"/>
    <w:rsid w:val="5C752537"/>
    <w:rsid w:val="5CF609A8"/>
    <w:rsid w:val="5D5DB676"/>
    <w:rsid w:val="5D6C02B0"/>
    <w:rsid w:val="5D912B46"/>
    <w:rsid w:val="5E10A197"/>
    <w:rsid w:val="5E4BBA67"/>
    <w:rsid w:val="5E6C028C"/>
    <w:rsid w:val="5E938BF2"/>
    <w:rsid w:val="5F12C026"/>
    <w:rsid w:val="5F2D42EF"/>
    <w:rsid w:val="5FB9FA29"/>
    <w:rsid w:val="600635AB"/>
    <w:rsid w:val="6009DC2B"/>
    <w:rsid w:val="60DA7FFD"/>
    <w:rsid w:val="60DD43A4"/>
    <w:rsid w:val="6110EA98"/>
    <w:rsid w:val="6281E80E"/>
    <w:rsid w:val="629A23DE"/>
    <w:rsid w:val="62BE3CA5"/>
    <w:rsid w:val="6315878A"/>
    <w:rsid w:val="63F90BC5"/>
    <w:rsid w:val="643A1EB8"/>
    <w:rsid w:val="646352D0"/>
    <w:rsid w:val="648D6B4C"/>
    <w:rsid w:val="65A5223D"/>
    <w:rsid w:val="65ADF120"/>
    <w:rsid w:val="65E7484A"/>
    <w:rsid w:val="66350127"/>
    <w:rsid w:val="664D284C"/>
    <w:rsid w:val="665078FB"/>
    <w:rsid w:val="665AD74E"/>
    <w:rsid w:val="66F414CF"/>
    <w:rsid w:val="670498BC"/>
    <w:rsid w:val="6749C181"/>
    <w:rsid w:val="6778332C"/>
    <w:rsid w:val="67B9399F"/>
    <w:rsid w:val="67BEBDB2"/>
    <w:rsid w:val="67E8F8AD"/>
    <w:rsid w:val="68E3158F"/>
    <w:rsid w:val="692B585E"/>
    <w:rsid w:val="698C3E8A"/>
    <w:rsid w:val="69E9A04A"/>
    <w:rsid w:val="6A9539D6"/>
    <w:rsid w:val="6AC6ABBA"/>
    <w:rsid w:val="6AC707FC"/>
    <w:rsid w:val="6B0B4719"/>
    <w:rsid w:val="6C083B2C"/>
    <w:rsid w:val="6C0CA7BB"/>
    <w:rsid w:val="6C31EF24"/>
    <w:rsid w:val="6D91DF80"/>
    <w:rsid w:val="6E2DFF36"/>
    <w:rsid w:val="6E4CE90F"/>
    <w:rsid w:val="6E8DF7F3"/>
    <w:rsid w:val="6EAD0361"/>
    <w:rsid w:val="6FE8B970"/>
    <w:rsid w:val="700E6C78"/>
    <w:rsid w:val="7113F1B9"/>
    <w:rsid w:val="7134072D"/>
    <w:rsid w:val="715A9C69"/>
    <w:rsid w:val="7177BACB"/>
    <w:rsid w:val="718489D1"/>
    <w:rsid w:val="71D09571"/>
    <w:rsid w:val="71FC4304"/>
    <w:rsid w:val="72DEE843"/>
    <w:rsid w:val="732A2328"/>
    <w:rsid w:val="7486CB0E"/>
    <w:rsid w:val="75987929"/>
    <w:rsid w:val="75B98CF5"/>
    <w:rsid w:val="765A1C48"/>
    <w:rsid w:val="766B399C"/>
    <w:rsid w:val="76EC4B24"/>
    <w:rsid w:val="7840A22D"/>
    <w:rsid w:val="78850676"/>
    <w:rsid w:val="796E4195"/>
    <w:rsid w:val="797AEFF1"/>
    <w:rsid w:val="79ECB83A"/>
    <w:rsid w:val="7A07DBCB"/>
    <w:rsid w:val="7AA69F71"/>
    <w:rsid w:val="7AED6172"/>
    <w:rsid w:val="7B2CF7DE"/>
    <w:rsid w:val="7B6273EC"/>
    <w:rsid w:val="7B7BB69C"/>
    <w:rsid w:val="7B9DF262"/>
    <w:rsid w:val="7BB14D9B"/>
    <w:rsid w:val="7CA26329"/>
    <w:rsid w:val="7D55DD4B"/>
    <w:rsid w:val="7DFFC0F2"/>
    <w:rsid w:val="7E03213E"/>
    <w:rsid w:val="7E373305"/>
    <w:rsid w:val="7EBE2EFD"/>
    <w:rsid w:val="7EFB3E0A"/>
    <w:rsid w:val="7F5BF9D0"/>
    <w:rsid w:val="7F9DD069"/>
    <w:rsid w:val="7FDCA3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5FAC"/>
  <w15:docId w15:val="{F689373B-B510-4D11-ABB6-A04C9998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6C"/>
    <w:rPr>
      <w:rFonts w:ascii="Arial" w:hAnsi="Arial"/>
      <w:sz w:val="24"/>
      <w:lang w:eastAsia="en-US"/>
    </w:rPr>
  </w:style>
  <w:style w:type="paragraph" w:styleId="Heading1">
    <w:name w:val="heading 1"/>
    <w:basedOn w:val="Normal"/>
    <w:next w:val="Normal"/>
    <w:link w:val="Heading1Char"/>
    <w:qFormat/>
    <w:rsid w:val="00D738D5"/>
    <w:pPr>
      <w:numPr>
        <w:numId w:val="1"/>
      </w:numPr>
      <w:jc w:val="both"/>
      <w:outlineLvl w:val="0"/>
    </w:pPr>
    <w:rPr>
      <w:b/>
    </w:rPr>
  </w:style>
  <w:style w:type="paragraph" w:styleId="Heading2">
    <w:name w:val="heading 2"/>
    <w:basedOn w:val="Normal"/>
    <w:next w:val="Normal"/>
    <w:link w:val="Heading2Char"/>
    <w:qFormat/>
    <w:rsid w:val="00D738D5"/>
    <w:pPr>
      <w:numPr>
        <w:ilvl w:val="1"/>
        <w:numId w:val="1"/>
      </w:numPr>
      <w:jc w:val="both"/>
      <w:outlineLvl w:val="1"/>
    </w:pPr>
  </w:style>
  <w:style w:type="paragraph" w:styleId="Heading3">
    <w:name w:val="heading 3"/>
    <w:basedOn w:val="Normal"/>
    <w:next w:val="Normal"/>
    <w:link w:val="Heading3Char"/>
    <w:uiPriority w:val="9"/>
    <w:unhideWhenUsed/>
    <w:qFormat/>
    <w:rsid w:val="00EA09A1"/>
    <w:pPr>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A09A1"/>
    <w:pPr>
      <w:keepLines/>
      <w:numPr>
        <w:ilvl w:val="3"/>
        <w:numId w:val="1"/>
      </w:numPr>
      <w:outlineLvl w:val="3"/>
    </w:pPr>
    <w:rPr>
      <w:rFonts w:eastAsiaTheme="majorEastAsia" w:cstheme="majorBidi"/>
      <w:iCs/>
    </w:rPr>
  </w:style>
  <w:style w:type="paragraph" w:styleId="Heading5">
    <w:name w:val="heading 5"/>
    <w:basedOn w:val="Normal"/>
    <w:next w:val="Normal"/>
    <w:link w:val="Heading5Char"/>
    <w:uiPriority w:val="9"/>
    <w:unhideWhenUsed/>
    <w:qFormat/>
    <w:rsid w:val="004777F8"/>
    <w:pPr>
      <w:numPr>
        <w:ilvl w:val="4"/>
        <w:numId w:val="1"/>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534759"/>
    <w:pPr>
      <w:numPr>
        <w:ilvl w:val="5"/>
        <w:numId w:val="1"/>
      </w:numPr>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D738D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738D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738D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sz w:val="16"/>
    </w:rPr>
  </w:style>
  <w:style w:type="character" w:styleId="Hyperlink">
    <w:name w:val="Hyperlink"/>
    <w:uiPriority w:val="99"/>
    <w:rPr>
      <w:color w:val="0044B6"/>
      <w:u w:val="single"/>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color w:val="000000"/>
      <w:sz w:val="22"/>
      <w:szCs w:val="22"/>
      <w:lang w:val="en-US"/>
    </w:rPr>
  </w:style>
  <w:style w:type="character" w:customStyle="1" w:styleId="bluecbold181">
    <w:name w:val="bluecbold181"/>
    <w:rPr>
      <w:rFonts w:ascii="Verdana" w:hAnsi="Verdana" w:hint="default"/>
      <w:b/>
      <w:bCs/>
      <w:strike w:val="0"/>
      <w:dstrike w:val="0"/>
      <w:color w:val="0044B6"/>
      <w:sz w:val="30"/>
      <w:szCs w:val="30"/>
      <w:u w:val="none"/>
      <w:effect w:val="none"/>
    </w:rPr>
  </w:style>
  <w:style w:type="character" w:customStyle="1" w:styleId="black13lh151">
    <w:name w:val="black13lh151"/>
    <w:rPr>
      <w:rFonts w:ascii="Verdana" w:hAnsi="Verdana" w:hint="default"/>
      <w:color w:val="000000"/>
      <w:sz w:val="22"/>
      <w:szCs w:val="22"/>
    </w:rPr>
  </w:style>
  <w:style w:type="character" w:customStyle="1" w:styleId="FooterChar">
    <w:name w:val="Footer Char"/>
    <w:link w:val="Footer"/>
    <w:uiPriority w:val="99"/>
    <w:rsid w:val="0070340A"/>
    <w:rPr>
      <w:rFonts w:ascii="Arial" w:hAnsi="Arial"/>
      <w:sz w:val="24"/>
      <w:lang w:val="en-ZA" w:eastAsia="en-US"/>
    </w:rPr>
  </w:style>
  <w:style w:type="paragraph" w:styleId="BalloonText">
    <w:name w:val="Balloon Text"/>
    <w:basedOn w:val="Normal"/>
    <w:link w:val="BalloonTextChar"/>
    <w:uiPriority w:val="99"/>
    <w:semiHidden/>
    <w:unhideWhenUsed/>
    <w:rsid w:val="00A7023A"/>
    <w:rPr>
      <w:rFonts w:ascii="Tahoma" w:hAnsi="Tahoma" w:cs="Tahoma"/>
      <w:sz w:val="16"/>
      <w:szCs w:val="16"/>
    </w:rPr>
  </w:style>
  <w:style w:type="character" w:customStyle="1" w:styleId="BalloonTextChar">
    <w:name w:val="Balloon Text Char"/>
    <w:link w:val="BalloonText"/>
    <w:uiPriority w:val="99"/>
    <w:semiHidden/>
    <w:rsid w:val="00A7023A"/>
    <w:rPr>
      <w:rFonts w:ascii="Tahoma" w:hAnsi="Tahoma" w:cs="Tahoma"/>
      <w:sz w:val="16"/>
      <w:szCs w:val="16"/>
      <w:lang w:eastAsia="en-US"/>
    </w:rPr>
  </w:style>
  <w:style w:type="character" w:customStyle="1" w:styleId="HeaderChar">
    <w:name w:val="Header Char"/>
    <w:link w:val="Header"/>
    <w:uiPriority w:val="99"/>
    <w:rsid w:val="00B86505"/>
    <w:rPr>
      <w:rFonts w:ascii="Arial" w:hAnsi="Arial"/>
      <w:sz w:val="24"/>
      <w:lang w:eastAsia="en-US"/>
    </w:rPr>
  </w:style>
  <w:style w:type="paragraph" w:customStyle="1" w:styleId="StyleTitle">
    <w:name w:val="StyleTitle"/>
    <w:basedOn w:val="Normal"/>
    <w:next w:val="Normal"/>
    <w:rsid w:val="00B86505"/>
    <w:pPr>
      <w:tabs>
        <w:tab w:val="left" w:pos="1134"/>
      </w:tabs>
      <w:spacing w:line="360" w:lineRule="auto"/>
      <w:jc w:val="both"/>
    </w:pPr>
    <w:rPr>
      <w:b/>
    </w:rPr>
  </w:style>
  <w:style w:type="table" w:styleId="TableGrid">
    <w:name w:val="Table Grid"/>
    <w:basedOn w:val="TableNormal"/>
    <w:uiPriority w:val="39"/>
    <w:rsid w:val="00D40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25151"/>
    <w:pPr>
      <w:ind w:left="720"/>
      <w:contextualSpacing/>
    </w:pPr>
  </w:style>
  <w:style w:type="paragraph" w:styleId="DocumentMap">
    <w:name w:val="Document Map"/>
    <w:basedOn w:val="Normal"/>
    <w:link w:val="DocumentMapChar"/>
    <w:uiPriority w:val="99"/>
    <w:semiHidden/>
    <w:unhideWhenUsed/>
    <w:rsid w:val="007E323D"/>
    <w:rPr>
      <w:rFonts w:ascii="Times New Roman" w:hAnsi="Times New Roman"/>
      <w:szCs w:val="24"/>
    </w:rPr>
  </w:style>
  <w:style w:type="character" w:customStyle="1" w:styleId="DocumentMapChar">
    <w:name w:val="Document Map Char"/>
    <w:basedOn w:val="DefaultParagraphFont"/>
    <w:link w:val="DocumentMap"/>
    <w:uiPriority w:val="99"/>
    <w:semiHidden/>
    <w:rsid w:val="007E323D"/>
    <w:rPr>
      <w:sz w:val="24"/>
      <w:szCs w:val="24"/>
      <w:lang w:eastAsia="en-US"/>
    </w:rPr>
  </w:style>
  <w:style w:type="character" w:styleId="CommentReference">
    <w:name w:val="annotation reference"/>
    <w:basedOn w:val="DefaultParagraphFont"/>
    <w:uiPriority w:val="99"/>
    <w:semiHidden/>
    <w:unhideWhenUsed/>
    <w:rsid w:val="00B26BE5"/>
    <w:rPr>
      <w:sz w:val="16"/>
      <w:szCs w:val="16"/>
    </w:rPr>
  </w:style>
  <w:style w:type="paragraph" w:styleId="CommentText">
    <w:name w:val="annotation text"/>
    <w:basedOn w:val="Normal"/>
    <w:link w:val="CommentTextChar"/>
    <w:uiPriority w:val="99"/>
    <w:unhideWhenUsed/>
    <w:rsid w:val="00B26BE5"/>
    <w:rPr>
      <w:sz w:val="20"/>
    </w:rPr>
  </w:style>
  <w:style w:type="character" w:customStyle="1" w:styleId="CommentTextChar">
    <w:name w:val="Comment Text Char"/>
    <w:basedOn w:val="DefaultParagraphFont"/>
    <w:link w:val="CommentText"/>
    <w:uiPriority w:val="99"/>
    <w:rsid w:val="00B26BE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26BE5"/>
    <w:rPr>
      <w:b/>
      <w:bCs/>
    </w:rPr>
  </w:style>
  <w:style w:type="character" w:customStyle="1" w:styleId="CommentSubjectChar">
    <w:name w:val="Comment Subject Char"/>
    <w:basedOn w:val="CommentTextChar"/>
    <w:link w:val="CommentSubject"/>
    <w:uiPriority w:val="99"/>
    <w:semiHidden/>
    <w:rsid w:val="00B26BE5"/>
    <w:rPr>
      <w:rFonts w:ascii="Arial" w:hAnsi="Arial"/>
      <w:b/>
      <w:bCs/>
      <w:lang w:eastAsia="en-US"/>
    </w:rPr>
  </w:style>
  <w:style w:type="paragraph" w:styleId="FootnoteText">
    <w:name w:val="footnote text"/>
    <w:basedOn w:val="Normal"/>
    <w:link w:val="FootnoteTextChar"/>
    <w:uiPriority w:val="99"/>
    <w:semiHidden/>
    <w:unhideWhenUsed/>
    <w:rsid w:val="005F1450"/>
    <w:rPr>
      <w:sz w:val="20"/>
    </w:rPr>
  </w:style>
  <w:style w:type="character" w:customStyle="1" w:styleId="FootnoteTextChar">
    <w:name w:val="Footnote Text Char"/>
    <w:basedOn w:val="DefaultParagraphFont"/>
    <w:link w:val="FootnoteText"/>
    <w:uiPriority w:val="99"/>
    <w:semiHidden/>
    <w:rsid w:val="005F1450"/>
    <w:rPr>
      <w:rFonts w:ascii="Arial" w:hAnsi="Arial"/>
      <w:lang w:eastAsia="en-US"/>
    </w:rPr>
  </w:style>
  <w:style w:type="character" w:styleId="FootnoteReference">
    <w:name w:val="footnote reference"/>
    <w:basedOn w:val="DefaultParagraphFont"/>
    <w:uiPriority w:val="99"/>
    <w:semiHidden/>
    <w:unhideWhenUsed/>
    <w:rsid w:val="005F1450"/>
    <w:rPr>
      <w:vertAlign w:val="superscript"/>
    </w:rPr>
  </w:style>
  <w:style w:type="character" w:styleId="FollowedHyperlink">
    <w:name w:val="FollowedHyperlink"/>
    <w:basedOn w:val="DefaultParagraphFont"/>
    <w:uiPriority w:val="99"/>
    <w:semiHidden/>
    <w:unhideWhenUsed/>
    <w:rsid w:val="001C7738"/>
    <w:rPr>
      <w:color w:val="800080" w:themeColor="followedHyperlink"/>
      <w:u w:val="single"/>
    </w:rPr>
  </w:style>
  <w:style w:type="paragraph" w:customStyle="1" w:styleId="Default">
    <w:name w:val="Default"/>
    <w:rsid w:val="00ED3F0E"/>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EA09A1"/>
    <w:rPr>
      <w:rFonts w:ascii="Arial" w:eastAsiaTheme="majorEastAsia" w:hAnsi="Arial" w:cstheme="majorBidi"/>
      <w:sz w:val="24"/>
      <w:szCs w:val="24"/>
      <w:lang w:eastAsia="en-US"/>
    </w:rPr>
  </w:style>
  <w:style w:type="character" w:customStyle="1" w:styleId="Heading4Char">
    <w:name w:val="Heading 4 Char"/>
    <w:basedOn w:val="DefaultParagraphFont"/>
    <w:link w:val="Heading4"/>
    <w:uiPriority w:val="9"/>
    <w:rsid w:val="00EA09A1"/>
    <w:rPr>
      <w:rFonts w:ascii="Arial" w:eastAsiaTheme="majorEastAsia" w:hAnsi="Arial" w:cstheme="majorBidi"/>
      <w:iCs/>
      <w:sz w:val="24"/>
      <w:lang w:eastAsia="en-US"/>
    </w:rPr>
  </w:style>
  <w:style w:type="character" w:customStyle="1" w:styleId="Heading5Char">
    <w:name w:val="Heading 5 Char"/>
    <w:basedOn w:val="DefaultParagraphFont"/>
    <w:link w:val="Heading5"/>
    <w:uiPriority w:val="9"/>
    <w:rsid w:val="004777F8"/>
    <w:rPr>
      <w:rFonts w:ascii="Arial" w:eastAsiaTheme="majorEastAsia" w:hAnsi="Arial" w:cstheme="majorBidi"/>
      <w:sz w:val="24"/>
      <w:lang w:eastAsia="en-US"/>
    </w:rPr>
  </w:style>
  <w:style w:type="character" w:customStyle="1" w:styleId="Heading6Char">
    <w:name w:val="Heading 6 Char"/>
    <w:basedOn w:val="DefaultParagraphFont"/>
    <w:link w:val="Heading6"/>
    <w:uiPriority w:val="9"/>
    <w:rsid w:val="00534759"/>
    <w:rPr>
      <w:rFonts w:ascii="Arial" w:eastAsiaTheme="majorEastAsia" w:hAnsi="Arial" w:cstheme="majorBidi"/>
      <w:sz w:val="24"/>
      <w:lang w:eastAsia="en-US"/>
    </w:rPr>
  </w:style>
  <w:style w:type="character" w:customStyle="1" w:styleId="Heading7Char">
    <w:name w:val="Heading 7 Char"/>
    <w:basedOn w:val="DefaultParagraphFont"/>
    <w:link w:val="Heading7"/>
    <w:uiPriority w:val="9"/>
    <w:rsid w:val="00D738D5"/>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uiPriority w:val="9"/>
    <w:rsid w:val="00D738D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D738D5"/>
    <w:rPr>
      <w:rFonts w:asciiTheme="majorHAnsi" w:eastAsiaTheme="majorEastAsia" w:hAnsiTheme="majorHAnsi" w:cstheme="majorBidi"/>
      <w:i/>
      <w:iCs/>
      <w:color w:val="272727" w:themeColor="text1" w:themeTint="D8"/>
      <w:sz w:val="21"/>
      <w:szCs w:val="21"/>
      <w:lang w:eastAsia="en-US"/>
    </w:rPr>
  </w:style>
  <w:style w:type="paragraph" w:styleId="TOC1">
    <w:name w:val="toc 1"/>
    <w:basedOn w:val="Normal"/>
    <w:next w:val="Normal"/>
    <w:autoRedefine/>
    <w:uiPriority w:val="39"/>
    <w:unhideWhenUsed/>
    <w:rsid w:val="001F4F5F"/>
    <w:pPr>
      <w:tabs>
        <w:tab w:val="left" w:pos="480"/>
        <w:tab w:val="right" w:leader="dot" w:pos="9622"/>
      </w:tabs>
      <w:spacing w:after="100"/>
    </w:pPr>
  </w:style>
  <w:style w:type="paragraph" w:styleId="Revision">
    <w:name w:val="Revision"/>
    <w:hidden/>
    <w:uiPriority w:val="99"/>
    <w:semiHidden/>
    <w:rsid w:val="00DD72C0"/>
    <w:rPr>
      <w:rFonts w:ascii="Arial" w:hAnsi="Arial"/>
      <w:sz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593990"/>
    <w:rPr>
      <w:rFonts w:ascii="Arial" w:hAnsi="Arial"/>
      <w:b/>
      <w:sz w:val="24"/>
      <w:lang w:eastAsia="en-US"/>
    </w:rPr>
  </w:style>
  <w:style w:type="character" w:customStyle="1" w:styleId="Heading2Char">
    <w:name w:val="Heading 2 Char"/>
    <w:basedOn w:val="DefaultParagraphFont"/>
    <w:link w:val="Heading2"/>
    <w:rsid w:val="00F8286C"/>
    <w:rPr>
      <w:rFonts w:ascii="Arial" w:hAnsi="Arial"/>
      <w:sz w:val="24"/>
      <w:lang w:eastAsia="en-US"/>
    </w:rPr>
  </w:style>
  <w:style w:type="paragraph" w:styleId="EndnoteText">
    <w:name w:val="endnote text"/>
    <w:basedOn w:val="Normal"/>
    <w:link w:val="EndnoteTextChar"/>
    <w:uiPriority w:val="99"/>
    <w:semiHidden/>
    <w:unhideWhenUsed/>
    <w:rsid w:val="0023705A"/>
    <w:rPr>
      <w:sz w:val="20"/>
    </w:rPr>
  </w:style>
  <w:style w:type="character" w:customStyle="1" w:styleId="EndnoteTextChar">
    <w:name w:val="Endnote Text Char"/>
    <w:basedOn w:val="DefaultParagraphFont"/>
    <w:link w:val="EndnoteText"/>
    <w:uiPriority w:val="99"/>
    <w:semiHidden/>
    <w:rsid w:val="0023705A"/>
    <w:rPr>
      <w:rFonts w:ascii="Arial" w:hAnsi="Arial"/>
      <w:lang w:eastAsia="en-US"/>
    </w:rPr>
  </w:style>
  <w:style w:type="character" w:styleId="EndnoteReference">
    <w:name w:val="endnote reference"/>
    <w:basedOn w:val="DefaultParagraphFont"/>
    <w:uiPriority w:val="99"/>
    <w:semiHidden/>
    <w:unhideWhenUsed/>
    <w:rsid w:val="00237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5636">
      <w:bodyDiv w:val="1"/>
      <w:marLeft w:val="0"/>
      <w:marRight w:val="0"/>
      <w:marTop w:val="0"/>
      <w:marBottom w:val="0"/>
      <w:divBdr>
        <w:top w:val="none" w:sz="0" w:space="0" w:color="auto"/>
        <w:left w:val="none" w:sz="0" w:space="0" w:color="auto"/>
        <w:bottom w:val="none" w:sz="0" w:space="0" w:color="auto"/>
        <w:right w:val="none" w:sz="0" w:space="0" w:color="auto"/>
      </w:divBdr>
    </w:div>
    <w:div w:id="109594166">
      <w:bodyDiv w:val="1"/>
      <w:marLeft w:val="0"/>
      <w:marRight w:val="0"/>
      <w:marTop w:val="0"/>
      <w:marBottom w:val="0"/>
      <w:divBdr>
        <w:top w:val="none" w:sz="0" w:space="0" w:color="auto"/>
        <w:left w:val="none" w:sz="0" w:space="0" w:color="auto"/>
        <w:bottom w:val="none" w:sz="0" w:space="0" w:color="auto"/>
        <w:right w:val="none" w:sz="0" w:space="0" w:color="auto"/>
      </w:divBdr>
    </w:div>
    <w:div w:id="866723735">
      <w:bodyDiv w:val="1"/>
      <w:marLeft w:val="0"/>
      <w:marRight w:val="0"/>
      <w:marTop w:val="0"/>
      <w:marBottom w:val="0"/>
      <w:divBdr>
        <w:top w:val="none" w:sz="0" w:space="0" w:color="auto"/>
        <w:left w:val="none" w:sz="0" w:space="0" w:color="auto"/>
        <w:bottom w:val="none" w:sz="0" w:space="0" w:color="auto"/>
        <w:right w:val="none" w:sz="0" w:space="0" w:color="auto"/>
      </w:divBdr>
    </w:div>
    <w:div w:id="1472014009">
      <w:bodyDiv w:val="1"/>
      <w:marLeft w:val="0"/>
      <w:marRight w:val="0"/>
      <w:marTop w:val="0"/>
      <w:marBottom w:val="0"/>
      <w:divBdr>
        <w:top w:val="none" w:sz="0" w:space="0" w:color="auto"/>
        <w:left w:val="none" w:sz="0" w:space="0" w:color="auto"/>
        <w:bottom w:val="none" w:sz="0" w:space="0" w:color="auto"/>
        <w:right w:val="none" w:sz="0" w:space="0" w:color="auto"/>
      </w:divBdr>
    </w:div>
    <w:div w:id="1480152154">
      <w:bodyDiv w:val="1"/>
      <w:marLeft w:val="0"/>
      <w:marRight w:val="0"/>
      <w:marTop w:val="0"/>
      <w:marBottom w:val="0"/>
      <w:divBdr>
        <w:top w:val="none" w:sz="0" w:space="0" w:color="auto"/>
        <w:left w:val="none" w:sz="0" w:space="0" w:color="auto"/>
        <w:bottom w:val="none" w:sz="0" w:space="0" w:color="auto"/>
        <w:right w:val="none" w:sz="0" w:space="0" w:color="auto"/>
      </w:divBdr>
    </w:div>
    <w:div w:id="172452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B3AFBFE4021C458D94288F8F639B10" ma:contentTypeVersion="3" ma:contentTypeDescription="Create a new document." ma:contentTypeScope="" ma:versionID="dd4512e175d1088f4b447ee8ca6d5405">
  <xsd:schema xmlns:xsd="http://www.w3.org/2001/XMLSchema" xmlns:xs="http://www.w3.org/2001/XMLSchema" xmlns:p="http://schemas.microsoft.com/office/2006/metadata/properties" xmlns:ns2="e01347ad-d7cb-4fd6-a7a7-ac8ea4922fbd" targetNamespace="http://schemas.microsoft.com/office/2006/metadata/properties" ma:root="true" ma:fieldsID="64265c73f00be6a7e7e75d8d5ae2ffdf" ns2:_="">
    <xsd:import namespace="e01347ad-d7cb-4fd6-a7a7-ac8ea4922f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47ad-d7cb-4fd6-a7a7-ac8ea4922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9087F-DD84-4653-99C7-A0D98DE31CC7}">
  <ds:schemaRefs>
    <ds:schemaRef ds:uri="http://schemas.openxmlformats.org/officeDocument/2006/bibliography"/>
  </ds:schemaRefs>
</ds:datastoreItem>
</file>

<file path=customXml/itemProps2.xml><?xml version="1.0" encoding="utf-8"?>
<ds:datastoreItem xmlns:ds="http://schemas.openxmlformats.org/officeDocument/2006/customXml" ds:itemID="{21DF8B6C-65C4-42C0-887A-A962ADC791A6}">
  <ds:schemaRefs>
    <ds:schemaRef ds:uri="http://schemas.microsoft.com/sharepoint/v3/contenttype/forms"/>
  </ds:schemaRefs>
</ds:datastoreItem>
</file>

<file path=customXml/itemProps3.xml><?xml version="1.0" encoding="utf-8"?>
<ds:datastoreItem xmlns:ds="http://schemas.openxmlformats.org/officeDocument/2006/customXml" ds:itemID="{1562F734-98D9-4609-9F8C-81E431B512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40F6B-1293-440E-8A9C-8AD70211F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47ad-d7cb-4fd6-a7a7-ac8ea4922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1114</TotalTime>
  <Pages>12</Pages>
  <Words>4683</Words>
  <Characters>29535</Characters>
  <Application>Microsoft Office Word</Application>
  <DocSecurity>0</DocSecurity>
  <Lines>609</Lines>
  <Paragraphs>192</Paragraphs>
  <ScaleCrop>false</ScaleCrop>
  <HeadingPairs>
    <vt:vector size="2" baseType="variant">
      <vt:variant>
        <vt:lpstr>Title</vt:lpstr>
      </vt:variant>
      <vt:variant>
        <vt:i4>1</vt:i4>
      </vt:variant>
    </vt:vector>
  </HeadingPairs>
  <TitlesOfParts>
    <vt:vector size="1" baseType="lpstr">
      <vt:lpstr>Letterhead</vt:lpstr>
    </vt:vector>
  </TitlesOfParts>
  <Company>SA Reserve Bank</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Diana Coetzee</dc:creator>
  <cp:keywords/>
  <dc:description/>
  <cp:lastModifiedBy>Phumi Zwane</cp:lastModifiedBy>
  <cp:revision>18</cp:revision>
  <cp:lastPrinted>2025-06-25T08:59:00Z</cp:lastPrinted>
  <dcterms:created xsi:type="dcterms:W3CDTF">2026-03-26T12:35:00Z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RB_x0020_Department">
    <vt:lpwstr/>
  </property>
  <property fmtid="{D5CDD505-2E9C-101B-9397-08002B2CF9AE}" pid="3" name="Approval WF Docs Other">
    <vt:lpwstr>http://sarbhub.resbank.co.za/CIP/_layouts/15/wrkstat.aspx?List=3c7c3f25-8e37-408a-9c08-f552eaac8163&amp;WorkflowInstanceName=b7acf6ea-2c1b-4363-ab5b-6cf1245b6fa1, Prep Workflow</vt:lpwstr>
  </property>
  <property fmtid="{D5CDD505-2E9C-101B-9397-08002B2CF9AE}" pid="4" name="DocumentGrouping">
    <vt:lpwstr>226;#Letters|b8a13742-e327-4e86-85af-43b5bf9fdc89</vt:lpwstr>
  </property>
  <property fmtid="{D5CDD505-2E9C-101B-9397-08002B2CF9AE}" pid="5" name="Document Category">
    <vt:lpwstr>30;#Templates|cc221ca1-0323-494a-9ac9-2aebddb0ce8a</vt:lpwstr>
  </property>
  <property fmtid="{D5CDD505-2E9C-101B-9397-08002B2CF9AE}" pid="6" name="ContentTypeId">
    <vt:lpwstr>0x010100D5B3AFBFE4021C458D94288F8F639B10</vt:lpwstr>
  </property>
  <property fmtid="{D5CDD505-2E9C-101B-9397-08002B2CF9AE}" pid="7" name="SARB_x0020_Branch">
    <vt:lpwstr/>
  </property>
  <property fmtid="{D5CDD505-2E9C-101B-9397-08002B2CF9AE}" pid="8" name="SARB Branch">
    <vt:lpwstr/>
  </property>
  <property fmtid="{D5CDD505-2E9C-101B-9397-08002B2CF9AE}" pid="9" name="SARB Department">
    <vt:lpwstr/>
  </property>
  <property fmtid="{D5CDD505-2E9C-101B-9397-08002B2CF9AE}" pid="10" name="GrammarlyDocumentId">
    <vt:lpwstr>4b313bb784a40582c1e71e4b44a9d0c8ee4093b103a2111bc1ff76d856a271bf</vt:lpwstr>
  </property>
  <property fmtid="{D5CDD505-2E9C-101B-9397-08002B2CF9AE}" pid="11" name="docLang">
    <vt:lpwstr>en</vt:lpwstr>
  </property>
</Properties>
</file>