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F22C3" w14:textId="781747F9" w:rsidR="00097084" w:rsidRDefault="003078CA" w:rsidP="00097084">
      <w:pPr>
        <w:jc w:val="center"/>
        <w:rPr>
          <w:rFonts w:ascii="Arial" w:hAnsi="Arial" w:cs="Arial"/>
          <w:b/>
          <w:sz w:val="24"/>
        </w:rPr>
      </w:pPr>
      <w:r w:rsidRPr="00585DAF">
        <w:rPr>
          <w:rFonts w:ascii="Arial" w:hAnsi="Arial" w:cs="Arial"/>
          <w:noProof/>
          <w:lang w:eastAsia="en-ZA"/>
        </w:rPr>
        <w:drawing>
          <wp:inline distT="0" distB="0" distL="0" distR="0" wp14:anchorId="4A077BDA" wp14:editId="64EF3EEF">
            <wp:extent cx="1189137" cy="934949"/>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3510" cy="946250"/>
                    </a:xfrm>
                    <a:prstGeom prst="rect">
                      <a:avLst/>
                    </a:prstGeom>
                    <a:noFill/>
                    <a:ln>
                      <a:noFill/>
                    </a:ln>
                  </pic:spPr>
                </pic:pic>
              </a:graphicData>
            </a:graphic>
          </wp:inline>
        </w:drawing>
      </w:r>
    </w:p>
    <w:p w14:paraId="088005AC" w14:textId="77777777" w:rsidR="00002BC8" w:rsidRPr="00585DAF" w:rsidRDefault="00002BC8" w:rsidP="00097084">
      <w:pPr>
        <w:jc w:val="center"/>
        <w:rPr>
          <w:rFonts w:ascii="Arial" w:hAnsi="Arial" w:cs="Arial"/>
          <w:b/>
          <w:sz w:val="24"/>
        </w:rPr>
      </w:pPr>
    </w:p>
    <w:tbl>
      <w:tblPr>
        <w:tblStyle w:val="TableGrid"/>
        <w:tblW w:w="0" w:type="auto"/>
        <w:jc w:val="center"/>
        <w:tblBorders>
          <w:top w:val="single" w:sz="4" w:space="0" w:color="A79C65"/>
          <w:left w:val="single" w:sz="4" w:space="0" w:color="A79C65"/>
          <w:bottom w:val="single" w:sz="4" w:space="0" w:color="A79C65"/>
          <w:right w:val="single" w:sz="4" w:space="0" w:color="A79C65"/>
          <w:insideH w:val="none" w:sz="0" w:space="0" w:color="auto"/>
          <w:insideV w:val="none" w:sz="0" w:space="0" w:color="auto"/>
        </w:tblBorders>
        <w:tblLook w:val="04A0" w:firstRow="1" w:lastRow="0" w:firstColumn="1" w:lastColumn="0" w:noHBand="0" w:noVBand="1"/>
      </w:tblPr>
      <w:tblGrid>
        <w:gridCol w:w="8996"/>
      </w:tblGrid>
      <w:tr w:rsidR="00097084" w:rsidRPr="00585DAF" w14:paraId="091007C5" w14:textId="77777777" w:rsidTr="00C86BBB">
        <w:trPr>
          <w:trHeight w:val="3418"/>
          <w:jc w:val="center"/>
        </w:trPr>
        <w:tc>
          <w:tcPr>
            <w:tcW w:w="9242" w:type="dxa"/>
            <w:tcBorders>
              <w:top w:val="single" w:sz="12" w:space="0" w:color="A79C65"/>
              <w:left w:val="single" w:sz="12" w:space="0" w:color="A79C65"/>
              <w:bottom w:val="single" w:sz="12" w:space="0" w:color="A79C65"/>
              <w:right w:val="single" w:sz="12" w:space="0" w:color="A79C65"/>
            </w:tcBorders>
          </w:tcPr>
          <w:p w14:paraId="15158B67" w14:textId="77777777" w:rsidR="00097084" w:rsidRPr="00585DAF" w:rsidRDefault="00097084" w:rsidP="00097084">
            <w:pPr>
              <w:pStyle w:val="NoSpacing"/>
              <w:rPr>
                <w:rFonts w:ascii="Arial" w:hAnsi="Arial" w:cs="Arial"/>
              </w:rPr>
            </w:pPr>
          </w:p>
          <w:p w14:paraId="7691ABEE" w14:textId="3120B874" w:rsidR="00097084" w:rsidRDefault="00097084" w:rsidP="00C86BBB">
            <w:pPr>
              <w:spacing w:line="240" w:lineRule="auto"/>
              <w:ind w:left="161" w:right="114"/>
              <w:jc w:val="both"/>
              <w:rPr>
                <w:rFonts w:ascii="Arial" w:hAnsi="Arial" w:cs="Arial"/>
                <w:b/>
                <w:sz w:val="36"/>
                <w:szCs w:val="33"/>
              </w:rPr>
            </w:pPr>
            <w:r w:rsidRPr="00C86BBB">
              <w:rPr>
                <w:rFonts w:ascii="Arial" w:hAnsi="Arial" w:cs="Arial"/>
                <w:b/>
                <w:sz w:val="36"/>
                <w:szCs w:val="33"/>
              </w:rPr>
              <w:t>Statement of the need</w:t>
            </w:r>
            <w:r w:rsidR="002E428B" w:rsidRPr="00C86BBB">
              <w:rPr>
                <w:rFonts w:ascii="Arial" w:hAnsi="Arial" w:cs="Arial"/>
                <w:b/>
                <w:sz w:val="36"/>
                <w:szCs w:val="33"/>
              </w:rPr>
              <w:t xml:space="preserve"> for</w:t>
            </w:r>
            <w:r w:rsidRPr="00C86BBB">
              <w:rPr>
                <w:rFonts w:ascii="Arial" w:hAnsi="Arial" w:cs="Arial"/>
                <w:b/>
                <w:sz w:val="36"/>
                <w:szCs w:val="33"/>
              </w:rPr>
              <w:t>, expected impact</w:t>
            </w:r>
            <w:r w:rsidR="00D82F36">
              <w:rPr>
                <w:rFonts w:ascii="Arial" w:hAnsi="Arial" w:cs="Arial"/>
                <w:b/>
                <w:sz w:val="36"/>
                <w:szCs w:val="33"/>
              </w:rPr>
              <w:t>,</w:t>
            </w:r>
            <w:r w:rsidR="00C86BBB" w:rsidRPr="00C86BBB">
              <w:rPr>
                <w:rFonts w:ascii="Arial" w:hAnsi="Arial" w:cs="Arial"/>
                <w:b/>
                <w:sz w:val="36"/>
                <w:szCs w:val="33"/>
              </w:rPr>
              <w:t xml:space="preserve"> and intended operation of the proposed </w:t>
            </w:r>
            <w:r w:rsidR="00E2307B" w:rsidRPr="00C86BBB">
              <w:rPr>
                <w:rFonts w:ascii="Arial" w:hAnsi="Arial" w:cs="Arial"/>
                <w:b/>
                <w:sz w:val="36"/>
                <w:szCs w:val="33"/>
              </w:rPr>
              <w:t xml:space="preserve">framework for </w:t>
            </w:r>
            <w:r w:rsidR="0091503F">
              <w:rPr>
                <w:rFonts w:ascii="Arial" w:hAnsi="Arial" w:cs="Arial"/>
                <w:b/>
                <w:sz w:val="36"/>
                <w:szCs w:val="33"/>
              </w:rPr>
              <w:t>liquidity risk management for insurers.</w:t>
            </w:r>
            <w:r w:rsidR="00C86BBB" w:rsidRPr="00C86BBB">
              <w:rPr>
                <w:rFonts w:ascii="Arial" w:hAnsi="Arial" w:cs="Arial"/>
                <w:b/>
                <w:sz w:val="36"/>
                <w:szCs w:val="33"/>
              </w:rPr>
              <w:t xml:space="preserve"> </w:t>
            </w:r>
          </w:p>
          <w:p w14:paraId="21A6A96E" w14:textId="77777777" w:rsidR="003804ED" w:rsidRPr="008A00B7" w:rsidRDefault="003804ED" w:rsidP="00C86BBB">
            <w:pPr>
              <w:spacing w:line="240" w:lineRule="auto"/>
              <w:ind w:left="161" w:right="114"/>
              <w:jc w:val="both"/>
              <w:rPr>
                <w:rFonts w:ascii="Arial" w:hAnsi="Arial" w:cs="Arial"/>
                <w:b/>
                <w:szCs w:val="33"/>
              </w:rPr>
            </w:pPr>
          </w:p>
          <w:p w14:paraId="11BEB376" w14:textId="4B068668" w:rsidR="003804ED" w:rsidRPr="008A00B7" w:rsidRDefault="003804ED" w:rsidP="008A00B7">
            <w:pPr>
              <w:spacing w:line="240" w:lineRule="auto"/>
              <w:ind w:left="303" w:right="398"/>
              <w:jc w:val="both"/>
              <w:rPr>
                <w:rFonts w:ascii="Arial" w:hAnsi="Arial" w:cs="Arial"/>
                <w:b/>
                <w:sz w:val="20"/>
                <w:szCs w:val="33"/>
              </w:rPr>
            </w:pPr>
            <w:r w:rsidRPr="008A00B7">
              <w:rPr>
                <w:rFonts w:ascii="Arial" w:hAnsi="Arial" w:cs="Arial"/>
                <w:b/>
                <w:sz w:val="20"/>
                <w:szCs w:val="33"/>
              </w:rPr>
              <w:t xml:space="preserve">Incorporating the updated </w:t>
            </w:r>
            <w:r w:rsidR="0091503F">
              <w:rPr>
                <w:rFonts w:ascii="Arial" w:hAnsi="Arial" w:cs="Arial"/>
                <w:b/>
                <w:sz w:val="20"/>
                <w:szCs w:val="33"/>
              </w:rPr>
              <w:t>FSI 6 Liquidity Risk Management</w:t>
            </w:r>
            <w:r w:rsidRPr="008A00B7">
              <w:rPr>
                <w:rFonts w:ascii="Arial" w:hAnsi="Arial" w:cs="Arial"/>
                <w:b/>
                <w:sz w:val="20"/>
                <w:szCs w:val="33"/>
              </w:rPr>
              <w:t xml:space="preserve"> </w:t>
            </w:r>
            <w:r w:rsidR="00AA1285">
              <w:rPr>
                <w:rFonts w:ascii="Arial" w:hAnsi="Arial" w:cs="Arial"/>
                <w:b/>
                <w:sz w:val="20"/>
                <w:szCs w:val="33"/>
              </w:rPr>
              <w:t>standard</w:t>
            </w:r>
            <w:r w:rsidRPr="008A00B7">
              <w:rPr>
                <w:rFonts w:ascii="Arial" w:hAnsi="Arial" w:cs="Arial"/>
                <w:b/>
                <w:sz w:val="20"/>
                <w:szCs w:val="33"/>
              </w:rPr>
              <w:t xml:space="preserve"> into the regulatory framework</w:t>
            </w:r>
          </w:p>
          <w:p w14:paraId="5331483E" w14:textId="77777777" w:rsidR="005B5B90" w:rsidRDefault="005B5B90" w:rsidP="002E428B">
            <w:pPr>
              <w:jc w:val="center"/>
              <w:rPr>
                <w:rFonts w:ascii="Arial" w:hAnsi="Arial" w:cs="Arial"/>
                <w:b/>
                <w:shd w:val="clear" w:color="auto" w:fill="FFFFFF" w:themeFill="background1"/>
              </w:rPr>
            </w:pPr>
          </w:p>
          <w:p w14:paraId="5990FA1C" w14:textId="77777777" w:rsidR="00CA6C34" w:rsidRPr="00C86BBB" w:rsidRDefault="00CA6C34" w:rsidP="00C86BBB">
            <w:pPr>
              <w:jc w:val="center"/>
              <w:rPr>
                <w:rFonts w:ascii="Arial" w:hAnsi="Arial" w:cs="Arial"/>
                <w:b/>
                <w:sz w:val="24"/>
                <w:shd w:val="clear" w:color="auto" w:fill="FFFFFF" w:themeFill="background1"/>
              </w:rPr>
            </w:pPr>
          </w:p>
          <w:p w14:paraId="3DD67777" w14:textId="77777777" w:rsidR="00C86BBB" w:rsidRDefault="00C86BBB" w:rsidP="00C86BBB">
            <w:pPr>
              <w:rPr>
                <w:rFonts w:ascii="Arial" w:hAnsi="Arial" w:cs="Arial"/>
                <w:b/>
                <w:shd w:val="clear" w:color="auto" w:fill="FFFFFF" w:themeFill="background1"/>
              </w:rPr>
            </w:pPr>
          </w:p>
          <w:p w14:paraId="3ECAE716" w14:textId="2596D965" w:rsidR="00097084" w:rsidRPr="00742D52" w:rsidRDefault="00C86BBB" w:rsidP="00E22A84">
            <w:pPr>
              <w:jc w:val="center"/>
              <w:rPr>
                <w:rFonts w:ascii="Arial" w:hAnsi="Arial" w:cs="Arial"/>
                <w:b/>
                <w:shd w:val="clear" w:color="auto" w:fill="FFFFFF" w:themeFill="background1"/>
              </w:rPr>
            </w:pPr>
            <w:r w:rsidRPr="00742D52">
              <w:rPr>
                <w:rFonts w:ascii="Arial" w:hAnsi="Arial" w:cs="Arial"/>
                <w:b/>
                <w:shd w:val="clear" w:color="auto" w:fill="FFFFFF" w:themeFill="background1"/>
              </w:rPr>
              <w:t>(DRAFT – FOR CONSULTATION)</w:t>
            </w:r>
          </w:p>
        </w:tc>
      </w:tr>
    </w:tbl>
    <w:p w14:paraId="4706BCB3" w14:textId="77777777" w:rsidR="00277367" w:rsidRPr="00585DAF" w:rsidRDefault="00277367" w:rsidP="00097084">
      <w:pPr>
        <w:pStyle w:val="NoSpacing"/>
        <w:rPr>
          <w:rFonts w:ascii="Arial" w:hAnsi="Arial" w:cs="Arial"/>
          <w:sz w:val="2"/>
        </w:rPr>
      </w:pPr>
    </w:p>
    <w:sdt>
      <w:sdtPr>
        <w:rPr>
          <w:rFonts w:asciiTheme="minorHAnsi" w:hAnsiTheme="minorHAnsi" w:cstheme="minorBidi"/>
          <w:b w:val="0"/>
          <w:bCs w:val="0"/>
          <w:color w:val="auto"/>
          <w:sz w:val="22"/>
          <w:szCs w:val="22"/>
        </w:rPr>
        <w:id w:val="-365912588"/>
        <w:docPartObj>
          <w:docPartGallery w:val="Table of Contents"/>
          <w:docPartUnique/>
        </w:docPartObj>
      </w:sdtPr>
      <w:sdtEndPr>
        <w:rPr>
          <w:noProof/>
        </w:rPr>
      </w:sdtEndPr>
      <w:sdtContent>
        <w:p w14:paraId="04DDF68A" w14:textId="77777777" w:rsidR="00136227" w:rsidRDefault="00136227" w:rsidP="007A5DF7">
          <w:pPr>
            <w:pStyle w:val="Heading1"/>
            <w:numPr>
              <w:ilvl w:val="0"/>
              <w:numId w:val="0"/>
            </w:numPr>
            <w:ind w:left="567"/>
          </w:pPr>
        </w:p>
        <w:p w14:paraId="5D210F39" w14:textId="5247C8D3" w:rsidR="00277367" w:rsidRPr="00061EDF" w:rsidRDefault="00277367" w:rsidP="004B056F">
          <w:pPr>
            <w:rPr>
              <w:rFonts w:ascii="Arial" w:hAnsi="Arial" w:cs="Arial"/>
              <w:b/>
              <w:sz w:val="23"/>
              <w:szCs w:val="23"/>
            </w:rPr>
          </w:pPr>
          <w:r w:rsidRPr="00061EDF">
            <w:rPr>
              <w:rFonts w:ascii="Arial" w:hAnsi="Arial" w:cs="Arial"/>
              <w:b/>
              <w:sz w:val="23"/>
              <w:szCs w:val="23"/>
            </w:rPr>
            <w:t>Table of Contents</w:t>
          </w:r>
        </w:p>
        <w:p w14:paraId="040E9625" w14:textId="26D3483A" w:rsidR="00061EDF" w:rsidRPr="00061EDF" w:rsidRDefault="00277367">
          <w:pPr>
            <w:pStyle w:val="TOC1"/>
            <w:rPr>
              <w:rFonts w:ascii="Arial" w:eastAsiaTheme="minorEastAsia" w:hAnsi="Arial" w:cs="Arial"/>
              <w:noProof/>
              <w:kern w:val="2"/>
              <w:sz w:val="23"/>
              <w:szCs w:val="23"/>
              <w:lang w:eastAsia="en-ZA"/>
              <w14:ligatures w14:val="standardContextual"/>
            </w:rPr>
          </w:pPr>
          <w:r w:rsidRPr="00061EDF">
            <w:rPr>
              <w:rFonts w:ascii="Arial" w:hAnsi="Arial" w:cs="Arial"/>
              <w:b/>
              <w:bCs/>
              <w:noProof/>
              <w:sz w:val="23"/>
              <w:szCs w:val="23"/>
            </w:rPr>
            <w:fldChar w:fldCharType="begin"/>
          </w:r>
          <w:r w:rsidRPr="00061EDF">
            <w:rPr>
              <w:rFonts w:ascii="Arial" w:hAnsi="Arial" w:cs="Arial"/>
              <w:b/>
              <w:bCs/>
              <w:noProof/>
              <w:sz w:val="23"/>
              <w:szCs w:val="23"/>
            </w:rPr>
            <w:instrText xml:space="preserve"> TOC \o "1-3" \h \z \u </w:instrText>
          </w:r>
          <w:r w:rsidRPr="00061EDF">
            <w:rPr>
              <w:rFonts w:ascii="Arial" w:hAnsi="Arial" w:cs="Arial"/>
              <w:b/>
              <w:bCs/>
              <w:noProof/>
              <w:sz w:val="23"/>
              <w:szCs w:val="23"/>
            </w:rPr>
            <w:fldChar w:fldCharType="separate"/>
          </w:r>
          <w:hyperlink w:anchor="_Toc142983743" w:history="1">
            <w:r w:rsidR="00061EDF" w:rsidRPr="00061EDF">
              <w:rPr>
                <w:rStyle w:val="Hyperlink"/>
                <w:rFonts w:ascii="Arial" w:hAnsi="Arial" w:cs="Arial"/>
                <w:noProof/>
                <w:sz w:val="23"/>
                <w:szCs w:val="23"/>
              </w:rPr>
              <w:t>List of acronyms</w:t>
            </w:r>
            <w:r w:rsidR="00061EDF" w:rsidRPr="00061EDF">
              <w:rPr>
                <w:rFonts w:ascii="Arial" w:hAnsi="Arial" w:cs="Arial"/>
                <w:noProof/>
                <w:webHidden/>
                <w:sz w:val="23"/>
                <w:szCs w:val="23"/>
              </w:rPr>
              <w:tab/>
            </w:r>
            <w:r w:rsidR="00061EDF" w:rsidRPr="00061EDF">
              <w:rPr>
                <w:rFonts w:ascii="Arial" w:hAnsi="Arial" w:cs="Arial"/>
                <w:noProof/>
                <w:webHidden/>
                <w:sz w:val="23"/>
                <w:szCs w:val="23"/>
              </w:rPr>
              <w:fldChar w:fldCharType="begin"/>
            </w:r>
            <w:r w:rsidR="00061EDF" w:rsidRPr="00061EDF">
              <w:rPr>
                <w:rFonts w:ascii="Arial" w:hAnsi="Arial" w:cs="Arial"/>
                <w:noProof/>
                <w:webHidden/>
                <w:sz w:val="23"/>
                <w:szCs w:val="23"/>
              </w:rPr>
              <w:instrText xml:space="preserve"> PAGEREF _Toc142983743 \h </w:instrText>
            </w:r>
            <w:r w:rsidR="00061EDF" w:rsidRPr="00061EDF">
              <w:rPr>
                <w:rFonts w:ascii="Arial" w:hAnsi="Arial" w:cs="Arial"/>
                <w:noProof/>
                <w:webHidden/>
                <w:sz w:val="23"/>
                <w:szCs w:val="23"/>
              </w:rPr>
            </w:r>
            <w:r w:rsidR="00061EDF" w:rsidRPr="00061EDF">
              <w:rPr>
                <w:rFonts w:ascii="Arial" w:hAnsi="Arial" w:cs="Arial"/>
                <w:noProof/>
                <w:webHidden/>
                <w:sz w:val="23"/>
                <w:szCs w:val="23"/>
              </w:rPr>
              <w:fldChar w:fldCharType="separate"/>
            </w:r>
            <w:r w:rsidR="00061EDF" w:rsidRPr="00061EDF">
              <w:rPr>
                <w:rFonts w:ascii="Arial" w:hAnsi="Arial" w:cs="Arial"/>
                <w:noProof/>
                <w:webHidden/>
                <w:sz w:val="23"/>
                <w:szCs w:val="23"/>
              </w:rPr>
              <w:t>2</w:t>
            </w:r>
            <w:r w:rsidR="00061EDF" w:rsidRPr="00061EDF">
              <w:rPr>
                <w:rFonts w:ascii="Arial" w:hAnsi="Arial" w:cs="Arial"/>
                <w:noProof/>
                <w:webHidden/>
                <w:sz w:val="23"/>
                <w:szCs w:val="23"/>
              </w:rPr>
              <w:fldChar w:fldCharType="end"/>
            </w:r>
          </w:hyperlink>
        </w:p>
        <w:p w14:paraId="3EA2C1F0" w14:textId="2FCCA47E" w:rsidR="00061EDF" w:rsidRPr="00061EDF" w:rsidRDefault="00000000">
          <w:pPr>
            <w:pStyle w:val="TOC1"/>
            <w:rPr>
              <w:rFonts w:ascii="Arial" w:eastAsiaTheme="minorEastAsia" w:hAnsi="Arial" w:cs="Arial"/>
              <w:noProof/>
              <w:kern w:val="2"/>
              <w:sz w:val="23"/>
              <w:szCs w:val="23"/>
              <w:lang w:eastAsia="en-ZA"/>
              <w14:ligatures w14:val="standardContextual"/>
            </w:rPr>
          </w:pPr>
          <w:hyperlink w:anchor="_Toc142983744" w:history="1">
            <w:r w:rsidR="00061EDF" w:rsidRPr="00061EDF">
              <w:rPr>
                <w:rStyle w:val="Hyperlink"/>
                <w:rFonts w:ascii="Arial" w:hAnsi="Arial" w:cs="Arial"/>
                <w:noProof/>
                <w:sz w:val="23"/>
                <w:szCs w:val="23"/>
              </w:rPr>
              <w:t>1</w:t>
            </w:r>
            <w:r w:rsidR="00061EDF" w:rsidRPr="00061EDF">
              <w:rPr>
                <w:rFonts w:ascii="Arial" w:eastAsiaTheme="minorEastAsia" w:hAnsi="Arial" w:cs="Arial"/>
                <w:noProof/>
                <w:kern w:val="2"/>
                <w:sz w:val="23"/>
                <w:szCs w:val="23"/>
                <w:lang w:eastAsia="en-ZA"/>
                <w14:ligatures w14:val="standardContextual"/>
              </w:rPr>
              <w:tab/>
            </w:r>
            <w:r w:rsidR="00061EDF" w:rsidRPr="00061EDF">
              <w:rPr>
                <w:rStyle w:val="Hyperlink"/>
                <w:rFonts w:ascii="Arial" w:hAnsi="Arial" w:cs="Arial"/>
                <w:noProof/>
                <w:sz w:val="23"/>
                <w:szCs w:val="23"/>
              </w:rPr>
              <w:t>Introduction</w:t>
            </w:r>
            <w:r w:rsidR="00061EDF" w:rsidRPr="00061EDF">
              <w:rPr>
                <w:rFonts w:ascii="Arial" w:hAnsi="Arial" w:cs="Arial"/>
                <w:noProof/>
                <w:webHidden/>
                <w:sz w:val="23"/>
                <w:szCs w:val="23"/>
              </w:rPr>
              <w:tab/>
            </w:r>
            <w:r w:rsidR="00061EDF" w:rsidRPr="00061EDF">
              <w:rPr>
                <w:rFonts w:ascii="Arial" w:hAnsi="Arial" w:cs="Arial"/>
                <w:noProof/>
                <w:webHidden/>
                <w:sz w:val="23"/>
                <w:szCs w:val="23"/>
              </w:rPr>
              <w:fldChar w:fldCharType="begin"/>
            </w:r>
            <w:r w:rsidR="00061EDF" w:rsidRPr="00061EDF">
              <w:rPr>
                <w:rFonts w:ascii="Arial" w:hAnsi="Arial" w:cs="Arial"/>
                <w:noProof/>
                <w:webHidden/>
                <w:sz w:val="23"/>
                <w:szCs w:val="23"/>
              </w:rPr>
              <w:instrText xml:space="preserve"> PAGEREF _Toc142983744 \h </w:instrText>
            </w:r>
            <w:r w:rsidR="00061EDF" w:rsidRPr="00061EDF">
              <w:rPr>
                <w:rFonts w:ascii="Arial" w:hAnsi="Arial" w:cs="Arial"/>
                <w:noProof/>
                <w:webHidden/>
                <w:sz w:val="23"/>
                <w:szCs w:val="23"/>
              </w:rPr>
            </w:r>
            <w:r w:rsidR="00061EDF" w:rsidRPr="00061EDF">
              <w:rPr>
                <w:rFonts w:ascii="Arial" w:hAnsi="Arial" w:cs="Arial"/>
                <w:noProof/>
                <w:webHidden/>
                <w:sz w:val="23"/>
                <w:szCs w:val="23"/>
              </w:rPr>
              <w:fldChar w:fldCharType="separate"/>
            </w:r>
            <w:r w:rsidR="00061EDF" w:rsidRPr="00061EDF">
              <w:rPr>
                <w:rFonts w:ascii="Arial" w:hAnsi="Arial" w:cs="Arial"/>
                <w:noProof/>
                <w:webHidden/>
                <w:sz w:val="23"/>
                <w:szCs w:val="23"/>
              </w:rPr>
              <w:t>3</w:t>
            </w:r>
            <w:r w:rsidR="00061EDF" w:rsidRPr="00061EDF">
              <w:rPr>
                <w:rFonts w:ascii="Arial" w:hAnsi="Arial" w:cs="Arial"/>
                <w:noProof/>
                <w:webHidden/>
                <w:sz w:val="23"/>
                <w:szCs w:val="23"/>
              </w:rPr>
              <w:fldChar w:fldCharType="end"/>
            </w:r>
          </w:hyperlink>
        </w:p>
        <w:p w14:paraId="04F6EC62" w14:textId="17C83388" w:rsidR="00061EDF" w:rsidRPr="00061EDF" w:rsidRDefault="00000000">
          <w:pPr>
            <w:pStyle w:val="TOC1"/>
            <w:rPr>
              <w:rFonts w:ascii="Arial" w:eastAsiaTheme="minorEastAsia" w:hAnsi="Arial" w:cs="Arial"/>
              <w:noProof/>
              <w:kern w:val="2"/>
              <w:sz w:val="23"/>
              <w:szCs w:val="23"/>
              <w:lang w:eastAsia="en-ZA"/>
              <w14:ligatures w14:val="standardContextual"/>
            </w:rPr>
          </w:pPr>
          <w:hyperlink w:anchor="_Toc142983745" w:history="1">
            <w:r w:rsidR="00061EDF" w:rsidRPr="00061EDF">
              <w:rPr>
                <w:rStyle w:val="Hyperlink"/>
                <w:rFonts w:ascii="Arial" w:hAnsi="Arial" w:cs="Arial"/>
                <w:noProof/>
                <w:sz w:val="23"/>
                <w:szCs w:val="23"/>
              </w:rPr>
              <w:t>2</w:t>
            </w:r>
            <w:r w:rsidR="00061EDF" w:rsidRPr="00061EDF">
              <w:rPr>
                <w:rFonts w:ascii="Arial" w:eastAsiaTheme="minorEastAsia" w:hAnsi="Arial" w:cs="Arial"/>
                <w:noProof/>
                <w:kern w:val="2"/>
                <w:sz w:val="23"/>
                <w:szCs w:val="23"/>
                <w:lang w:eastAsia="en-ZA"/>
                <w14:ligatures w14:val="standardContextual"/>
              </w:rPr>
              <w:tab/>
            </w:r>
            <w:r w:rsidR="00061EDF" w:rsidRPr="00061EDF">
              <w:rPr>
                <w:rStyle w:val="Hyperlink"/>
                <w:rFonts w:ascii="Arial" w:hAnsi="Arial" w:cs="Arial"/>
                <w:noProof/>
                <w:sz w:val="23"/>
                <w:szCs w:val="23"/>
              </w:rPr>
              <w:t>Background</w:t>
            </w:r>
            <w:r w:rsidR="00061EDF" w:rsidRPr="00061EDF">
              <w:rPr>
                <w:rFonts w:ascii="Arial" w:hAnsi="Arial" w:cs="Arial"/>
                <w:noProof/>
                <w:webHidden/>
                <w:sz w:val="23"/>
                <w:szCs w:val="23"/>
              </w:rPr>
              <w:tab/>
            </w:r>
            <w:r w:rsidR="00061EDF" w:rsidRPr="00061EDF">
              <w:rPr>
                <w:rFonts w:ascii="Arial" w:hAnsi="Arial" w:cs="Arial"/>
                <w:noProof/>
                <w:webHidden/>
                <w:sz w:val="23"/>
                <w:szCs w:val="23"/>
              </w:rPr>
              <w:fldChar w:fldCharType="begin"/>
            </w:r>
            <w:r w:rsidR="00061EDF" w:rsidRPr="00061EDF">
              <w:rPr>
                <w:rFonts w:ascii="Arial" w:hAnsi="Arial" w:cs="Arial"/>
                <w:noProof/>
                <w:webHidden/>
                <w:sz w:val="23"/>
                <w:szCs w:val="23"/>
              </w:rPr>
              <w:instrText xml:space="preserve"> PAGEREF _Toc142983745 \h </w:instrText>
            </w:r>
            <w:r w:rsidR="00061EDF" w:rsidRPr="00061EDF">
              <w:rPr>
                <w:rFonts w:ascii="Arial" w:hAnsi="Arial" w:cs="Arial"/>
                <w:noProof/>
                <w:webHidden/>
                <w:sz w:val="23"/>
                <w:szCs w:val="23"/>
              </w:rPr>
            </w:r>
            <w:r w:rsidR="00061EDF" w:rsidRPr="00061EDF">
              <w:rPr>
                <w:rFonts w:ascii="Arial" w:hAnsi="Arial" w:cs="Arial"/>
                <w:noProof/>
                <w:webHidden/>
                <w:sz w:val="23"/>
                <w:szCs w:val="23"/>
              </w:rPr>
              <w:fldChar w:fldCharType="separate"/>
            </w:r>
            <w:r w:rsidR="00061EDF" w:rsidRPr="00061EDF">
              <w:rPr>
                <w:rFonts w:ascii="Arial" w:hAnsi="Arial" w:cs="Arial"/>
                <w:noProof/>
                <w:webHidden/>
                <w:sz w:val="23"/>
                <w:szCs w:val="23"/>
              </w:rPr>
              <w:t>4</w:t>
            </w:r>
            <w:r w:rsidR="00061EDF" w:rsidRPr="00061EDF">
              <w:rPr>
                <w:rFonts w:ascii="Arial" w:hAnsi="Arial" w:cs="Arial"/>
                <w:noProof/>
                <w:webHidden/>
                <w:sz w:val="23"/>
                <w:szCs w:val="23"/>
              </w:rPr>
              <w:fldChar w:fldCharType="end"/>
            </w:r>
          </w:hyperlink>
        </w:p>
        <w:p w14:paraId="0FD71710" w14:textId="55F2673A" w:rsidR="00061EDF" w:rsidRPr="00061EDF" w:rsidRDefault="00000000">
          <w:pPr>
            <w:pStyle w:val="TOC1"/>
            <w:rPr>
              <w:rFonts w:ascii="Arial" w:eastAsiaTheme="minorEastAsia" w:hAnsi="Arial" w:cs="Arial"/>
              <w:noProof/>
              <w:kern w:val="2"/>
              <w:sz w:val="23"/>
              <w:szCs w:val="23"/>
              <w:lang w:eastAsia="en-ZA"/>
              <w14:ligatures w14:val="standardContextual"/>
            </w:rPr>
          </w:pPr>
          <w:hyperlink w:anchor="_Toc142983746" w:history="1">
            <w:r w:rsidR="00061EDF" w:rsidRPr="00061EDF">
              <w:rPr>
                <w:rStyle w:val="Hyperlink"/>
                <w:rFonts w:ascii="Arial" w:hAnsi="Arial" w:cs="Arial"/>
                <w:noProof/>
                <w:sz w:val="23"/>
                <w:szCs w:val="23"/>
              </w:rPr>
              <w:t>3</w:t>
            </w:r>
            <w:r w:rsidR="00061EDF" w:rsidRPr="00061EDF">
              <w:rPr>
                <w:rFonts w:ascii="Arial" w:eastAsiaTheme="minorEastAsia" w:hAnsi="Arial" w:cs="Arial"/>
                <w:noProof/>
                <w:kern w:val="2"/>
                <w:sz w:val="23"/>
                <w:szCs w:val="23"/>
                <w:lang w:eastAsia="en-ZA"/>
                <w14:ligatures w14:val="standardContextual"/>
              </w:rPr>
              <w:tab/>
            </w:r>
            <w:r w:rsidR="00061EDF" w:rsidRPr="00061EDF">
              <w:rPr>
                <w:rStyle w:val="Hyperlink"/>
                <w:rFonts w:ascii="Arial" w:hAnsi="Arial" w:cs="Arial"/>
                <w:noProof/>
                <w:sz w:val="23"/>
                <w:szCs w:val="23"/>
              </w:rPr>
              <w:t>Salient features of the liquidity risk management framework</w:t>
            </w:r>
            <w:r w:rsidR="00061EDF" w:rsidRPr="00061EDF">
              <w:rPr>
                <w:rFonts w:ascii="Arial" w:hAnsi="Arial" w:cs="Arial"/>
                <w:noProof/>
                <w:webHidden/>
                <w:sz w:val="23"/>
                <w:szCs w:val="23"/>
              </w:rPr>
              <w:tab/>
            </w:r>
            <w:r w:rsidR="00061EDF" w:rsidRPr="00061EDF">
              <w:rPr>
                <w:rFonts w:ascii="Arial" w:hAnsi="Arial" w:cs="Arial"/>
                <w:noProof/>
                <w:webHidden/>
                <w:sz w:val="23"/>
                <w:szCs w:val="23"/>
              </w:rPr>
              <w:fldChar w:fldCharType="begin"/>
            </w:r>
            <w:r w:rsidR="00061EDF" w:rsidRPr="00061EDF">
              <w:rPr>
                <w:rFonts w:ascii="Arial" w:hAnsi="Arial" w:cs="Arial"/>
                <w:noProof/>
                <w:webHidden/>
                <w:sz w:val="23"/>
                <w:szCs w:val="23"/>
              </w:rPr>
              <w:instrText xml:space="preserve"> PAGEREF _Toc142983746 \h </w:instrText>
            </w:r>
            <w:r w:rsidR="00061EDF" w:rsidRPr="00061EDF">
              <w:rPr>
                <w:rFonts w:ascii="Arial" w:hAnsi="Arial" w:cs="Arial"/>
                <w:noProof/>
                <w:webHidden/>
                <w:sz w:val="23"/>
                <w:szCs w:val="23"/>
              </w:rPr>
            </w:r>
            <w:r w:rsidR="00061EDF" w:rsidRPr="00061EDF">
              <w:rPr>
                <w:rFonts w:ascii="Arial" w:hAnsi="Arial" w:cs="Arial"/>
                <w:noProof/>
                <w:webHidden/>
                <w:sz w:val="23"/>
                <w:szCs w:val="23"/>
              </w:rPr>
              <w:fldChar w:fldCharType="separate"/>
            </w:r>
            <w:r w:rsidR="00061EDF" w:rsidRPr="00061EDF">
              <w:rPr>
                <w:rFonts w:ascii="Arial" w:hAnsi="Arial" w:cs="Arial"/>
                <w:noProof/>
                <w:webHidden/>
                <w:sz w:val="23"/>
                <w:szCs w:val="23"/>
              </w:rPr>
              <w:t>5</w:t>
            </w:r>
            <w:r w:rsidR="00061EDF" w:rsidRPr="00061EDF">
              <w:rPr>
                <w:rFonts w:ascii="Arial" w:hAnsi="Arial" w:cs="Arial"/>
                <w:noProof/>
                <w:webHidden/>
                <w:sz w:val="23"/>
                <w:szCs w:val="23"/>
              </w:rPr>
              <w:fldChar w:fldCharType="end"/>
            </w:r>
          </w:hyperlink>
        </w:p>
        <w:p w14:paraId="499C81C6" w14:textId="2E6B829B" w:rsidR="00061EDF" w:rsidRPr="00061EDF" w:rsidRDefault="00000000">
          <w:pPr>
            <w:pStyle w:val="TOC1"/>
            <w:rPr>
              <w:rFonts w:ascii="Arial" w:eastAsiaTheme="minorEastAsia" w:hAnsi="Arial" w:cs="Arial"/>
              <w:noProof/>
              <w:kern w:val="2"/>
              <w:sz w:val="23"/>
              <w:szCs w:val="23"/>
              <w:lang w:eastAsia="en-ZA"/>
              <w14:ligatures w14:val="standardContextual"/>
            </w:rPr>
          </w:pPr>
          <w:hyperlink w:anchor="_Toc142983747" w:history="1">
            <w:r w:rsidR="00061EDF" w:rsidRPr="00061EDF">
              <w:rPr>
                <w:rStyle w:val="Hyperlink"/>
                <w:rFonts w:ascii="Arial" w:hAnsi="Arial" w:cs="Arial"/>
                <w:noProof/>
                <w:sz w:val="23"/>
                <w:szCs w:val="23"/>
              </w:rPr>
              <w:t>4</w:t>
            </w:r>
            <w:r w:rsidR="00061EDF" w:rsidRPr="00061EDF">
              <w:rPr>
                <w:rFonts w:ascii="Arial" w:eastAsiaTheme="minorEastAsia" w:hAnsi="Arial" w:cs="Arial"/>
                <w:noProof/>
                <w:kern w:val="2"/>
                <w:sz w:val="23"/>
                <w:szCs w:val="23"/>
                <w:lang w:eastAsia="en-ZA"/>
                <w14:ligatures w14:val="standardContextual"/>
              </w:rPr>
              <w:tab/>
            </w:r>
            <w:r w:rsidR="00061EDF" w:rsidRPr="00061EDF">
              <w:rPr>
                <w:rStyle w:val="Hyperlink"/>
                <w:rFonts w:ascii="Arial" w:hAnsi="Arial" w:cs="Arial"/>
                <w:noProof/>
                <w:sz w:val="23"/>
                <w:szCs w:val="23"/>
              </w:rPr>
              <w:t>Statement of the need ― context and definition of the policy problem</w:t>
            </w:r>
            <w:r w:rsidR="00061EDF" w:rsidRPr="00061EDF">
              <w:rPr>
                <w:rFonts w:ascii="Arial" w:hAnsi="Arial" w:cs="Arial"/>
                <w:noProof/>
                <w:webHidden/>
                <w:sz w:val="23"/>
                <w:szCs w:val="23"/>
              </w:rPr>
              <w:tab/>
            </w:r>
            <w:r w:rsidR="00061EDF" w:rsidRPr="00061EDF">
              <w:rPr>
                <w:rFonts w:ascii="Arial" w:hAnsi="Arial" w:cs="Arial"/>
                <w:noProof/>
                <w:webHidden/>
                <w:sz w:val="23"/>
                <w:szCs w:val="23"/>
              </w:rPr>
              <w:fldChar w:fldCharType="begin"/>
            </w:r>
            <w:r w:rsidR="00061EDF" w:rsidRPr="00061EDF">
              <w:rPr>
                <w:rFonts w:ascii="Arial" w:hAnsi="Arial" w:cs="Arial"/>
                <w:noProof/>
                <w:webHidden/>
                <w:sz w:val="23"/>
                <w:szCs w:val="23"/>
              </w:rPr>
              <w:instrText xml:space="preserve"> PAGEREF _Toc142983747 \h </w:instrText>
            </w:r>
            <w:r w:rsidR="00061EDF" w:rsidRPr="00061EDF">
              <w:rPr>
                <w:rFonts w:ascii="Arial" w:hAnsi="Arial" w:cs="Arial"/>
                <w:noProof/>
                <w:webHidden/>
                <w:sz w:val="23"/>
                <w:szCs w:val="23"/>
              </w:rPr>
            </w:r>
            <w:r w:rsidR="00061EDF" w:rsidRPr="00061EDF">
              <w:rPr>
                <w:rFonts w:ascii="Arial" w:hAnsi="Arial" w:cs="Arial"/>
                <w:noProof/>
                <w:webHidden/>
                <w:sz w:val="23"/>
                <w:szCs w:val="23"/>
              </w:rPr>
              <w:fldChar w:fldCharType="separate"/>
            </w:r>
            <w:r w:rsidR="00061EDF" w:rsidRPr="00061EDF">
              <w:rPr>
                <w:rFonts w:ascii="Arial" w:hAnsi="Arial" w:cs="Arial"/>
                <w:noProof/>
                <w:webHidden/>
                <w:sz w:val="23"/>
                <w:szCs w:val="23"/>
              </w:rPr>
              <w:t>7</w:t>
            </w:r>
            <w:r w:rsidR="00061EDF" w:rsidRPr="00061EDF">
              <w:rPr>
                <w:rFonts w:ascii="Arial" w:hAnsi="Arial" w:cs="Arial"/>
                <w:noProof/>
                <w:webHidden/>
                <w:sz w:val="23"/>
                <w:szCs w:val="23"/>
              </w:rPr>
              <w:fldChar w:fldCharType="end"/>
            </w:r>
          </w:hyperlink>
        </w:p>
        <w:p w14:paraId="142B7547" w14:textId="7EECEABE" w:rsidR="00061EDF" w:rsidRPr="00061EDF" w:rsidRDefault="00000000">
          <w:pPr>
            <w:pStyle w:val="TOC1"/>
            <w:rPr>
              <w:rFonts w:ascii="Arial" w:eastAsiaTheme="minorEastAsia" w:hAnsi="Arial" w:cs="Arial"/>
              <w:noProof/>
              <w:kern w:val="2"/>
              <w:sz w:val="23"/>
              <w:szCs w:val="23"/>
              <w:lang w:eastAsia="en-ZA"/>
              <w14:ligatures w14:val="standardContextual"/>
            </w:rPr>
          </w:pPr>
          <w:hyperlink w:anchor="_Toc142983748" w:history="1">
            <w:r w:rsidR="00061EDF" w:rsidRPr="00061EDF">
              <w:rPr>
                <w:rStyle w:val="Hyperlink"/>
                <w:rFonts w:ascii="Arial" w:hAnsi="Arial" w:cs="Arial"/>
                <w:noProof/>
                <w:sz w:val="23"/>
                <w:szCs w:val="23"/>
              </w:rPr>
              <w:t>5</w:t>
            </w:r>
            <w:r w:rsidR="00061EDF" w:rsidRPr="00061EDF">
              <w:rPr>
                <w:rFonts w:ascii="Arial" w:eastAsiaTheme="minorEastAsia" w:hAnsi="Arial" w:cs="Arial"/>
                <w:noProof/>
                <w:kern w:val="2"/>
                <w:sz w:val="23"/>
                <w:szCs w:val="23"/>
                <w:lang w:eastAsia="en-ZA"/>
                <w14:ligatures w14:val="standardContextual"/>
              </w:rPr>
              <w:tab/>
            </w:r>
            <w:r w:rsidR="00061EDF" w:rsidRPr="00061EDF">
              <w:rPr>
                <w:rStyle w:val="Hyperlink"/>
                <w:rFonts w:ascii="Arial" w:hAnsi="Arial" w:cs="Arial"/>
                <w:noProof/>
                <w:sz w:val="23"/>
                <w:szCs w:val="23"/>
              </w:rPr>
              <w:t>Statement of expected impact―Costs &amp; benefits of implementing the framework</w:t>
            </w:r>
            <w:r w:rsidR="00061EDF" w:rsidRPr="00061EDF">
              <w:rPr>
                <w:rFonts w:ascii="Arial" w:hAnsi="Arial" w:cs="Arial"/>
                <w:noProof/>
                <w:webHidden/>
                <w:sz w:val="23"/>
                <w:szCs w:val="23"/>
              </w:rPr>
              <w:tab/>
            </w:r>
            <w:r w:rsidR="00061EDF" w:rsidRPr="00061EDF">
              <w:rPr>
                <w:rFonts w:ascii="Arial" w:hAnsi="Arial" w:cs="Arial"/>
                <w:noProof/>
                <w:webHidden/>
                <w:sz w:val="23"/>
                <w:szCs w:val="23"/>
              </w:rPr>
              <w:fldChar w:fldCharType="begin"/>
            </w:r>
            <w:r w:rsidR="00061EDF" w:rsidRPr="00061EDF">
              <w:rPr>
                <w:rFonts w:ascii="Arial" w:hAnsi="Arial" w:cs="Arial"/>
                <w:noProof/>
                <w:webHidden/>
                <w:sz w:val="23"/>
                <w:szCs w:val="23"/>
              </w:rPr>
              <w:instrText xml:space="preserve"> PAGEREF _Toc142983748 \h </w:instrText>
            </w:r>
            <w:r w:rsidR="00061EDF" w:rsidRPr="00061EDF">
              <w:rPr>
                <w:rFonts w:ascii="Arial" w:hAnsi="Arial" w:cs="Arial"/>
                <w:noProof/>
                <w:webHidden/>
                <w:sz w:val="23"/>
                <w:szCs w:val="23"/>
              </w:rPr>
            </w:r>
            <w:r w:rsidR="00061EDF" w:rsidRPr="00061EDF">
              <w:rPr>
                <w:rFonts w:ascii="Arial" w:hAnsi="Arial" w:cs="Arial"/>
                <w:noProof/>
                <w:webHidden/>
                <w:sz w:val="23"/>
                <w:szCs w:val="23"/>
              </w:rPr>
              <w:fldChar w:fldCharType="separate"/>
            </w:r>
            <w:r w:rsidR="00061EDF" w:rsidRPr="00061EDF">
              <w:rPr>
                <w:rFonts w:ascii="Arial" w:hAnsi="Arial" w:cs="Arial"/>
                <w:noProof/>
                <w:webHidden/>
                <w:sz w:val="23"/>
                <w:szCs w:val="23"/>
              </w:rPr>
              <w:t>9</w:t>
            </w:r>
            <w:r w:rsidR="00061EDF" w:rsidRPr="00061EDF">
              <w:rPr>
                <w:rFonts w:ascii="Arial" w:hAnsi="Arial" w:cs="Arial"/>
                <w:noProof/>
                <w:webHidden/>
                <w:sz w:val="23"/>
                <w:szCs w:val="23"/>
              </w:rPr>
              <w:fldChar w:fldCharType="end"/>
            </w:r>
          </w:hyperlink>
        </w:p>
        <w:p w14:paraId="623EF14B" w14:textId="33F462A4" w:rsidR="00061EDF" w:rsidRPr="00061EDF" w:rsidRDefault="00000000">
          <w:pPr>
            <w:pStyle w:val="TOC2"/>
            <w:tabs>
              <w:tab w:val="right" w:leader="dot" w:pos="9016"/>
            </w:tabs>
            <w:rPr>
              <w:rFonts w:ascii="Arial" w:eastAsiaTheme="minorEastAsia" w:hAnsi="Arial" w:cs="Arial"/>
              <w:noProof/>
              <w:kern w:val="2"/>
              <w:sz w:val="23"/>
              <w:szCs w:val="23"/>
              <w:lang w:eastAsia="en-ZA"/>
              <w14:ligatures w14:val="standardContextual"/>
            </w:rPr>
          </w:pPr>
          <w:hyperlink w:anchor="_Toc142983749" w:history="1">
            <w:r w:rsidR="00061EDF" w:rsidRPr="00061EDF">
              <w:rPr>
                <w:rStyle w:val="Hyperlink"/>
                <w:rFonts w:ascii="Arial" w:hAnsi="Arial" w:cs="Arial"/>
                <w:noProof/>
                <w:sz w:val="23"/>
                <w:szCs w:val="23"/>
              </w:rPr>
              <w:t>Scope and sample of the impact study</w:t>
            </w:r>
            <w:r w:rsidR="00061EDF" w:rsidRPr="00061EDF">
              <w:rPr>
                <w:rFonts w:ascii="Arial" w:hAnsi="Arial" w:cs="Arial"/>
                <w:noProof/>
                <w:webHidden/>
                <w:sz w:val="23"/>
                <w:szCs w:val="23"/>
              </w:rPr>
              <w:tab/>
            </w:r>
            <w:r w:rsidR="00061EDF" w:rsidRPr="00061EDF">
              <w:rPr>
                <w:rFonts w:ascii="Arial" w:hAnsi="Arial" w:cs="Arial"/>
                <w:noProof/>
                <w:webHidden/>
                <w:sz w:val="23"/>
                <w:szCs w:val="23"/>
              </w:rPr>
              <w:fldChar w:fldCharType="begin"/>
            </w:r>
            <w:r w:rsidR="00061EDF" w:rsidRPr="00061EDF">
              <w:rPr>
                <w:rFonts w:ascii="Arial" w:hAnsi="Arial" w:cs="Arial"/>
                <w:noProof/>
                <w:webHidden/>
                <w:sz w:val="23"/>
                <w:szCs w:val="23"/>
              </w:rPr>
              <w:instrText xml:space="preserve"> PAGEREF _Toc142983749 \h </w:instrText>
            </w:r>
            <w:r w:rsidR="00061EDF" w:rsidRPr="00061EDF">
              <w:rPr>
                <w:rFonts w:ascii="Arial" w:hAnsi="Arial" w:cs="Arial"/>
                <w:noProof/>
                <w:webHidden/>
                <w:sz w:val="23"/>
                <w:szCs w:val="23"/>
              </w:rPr>
            </w:r>
            <w:r w:rsidR="00061EDF" w:rsidRPr="00061EDF">
              <w:rPr>
                <w:rFonts w:ascii="Arial" w:hAnsi="Arial" w:cs="Arial"/>
                <w:noProof/>
                <w:webHidden/>
                <w:sz w:val="23"/>
                <w:szCs w:val="23"/>
              </w:rPr>
              <w:fldChar w:fldCharType="separate"/>
            </w:r>
            <w:r w:rsidR="00061EDF" w:rsidRPr="00061EDF">
              <w:rPr>
                <w:rFonts w:ascii="Arial" w:hAnsi="Arial" w:cs="Arial"/>
                <w:noProof/>
                <w:webHidden/>
                <w:sz w:val="23"/>
                <w:szCs w:val="23"/>
              </w:rPr>
              <w:t>9</w:t>
            </w:r>
            <w:r w:rsidR="00061EDF" w:rsidRPr="00061EDF">
              <w:rPr>
                <w:rFonts w:ascii="Arial" w:hAnsi="Arial" w:cs="Arial"/>
                <w:noProof/>
                <w:webHidden/>
                <w:sz w:val="23"/>
                <w:szCs w:val="23"/>
              </w:rPr>
              <w:fldChar w:fldCharType="end"/>
            </w:r>
          </w:hyperlink>
        </w:p>
        <w:p w14:paraId="23BBB58C" w14:textId="1AE8534A" w:rsidR="00061EDF" w:rsidRPr="00061EDF" w:rsidRDefault="00000000">
          <w:pPr>
            <w:pStyle w:val="TOC2"/>
            <w:tabs>
              <w:tab w:val="right" w:leader="dot" w:pos="9016"/>
            </w:tabs>
            <w:rPr>
              <w:rFonts w:ascii="Arial" w:eastAsiaTheme="minorEastAsia" w:hAnsi="Arial" w:cs="Arial"/>
              <w:noProof/>
              <w:kern w:val="2"/>
              <w:sz w:val="23"/>
              <w:szCs w:val="23"/>
              <w:lang w:eastAsia="en-ZA"/>
              <w14:ligatures w14:val="standardContextual"/>
            </w:rPr>
          </w:pPr>
          <w:hyperlink w:anchor="_Toc142983750" w:history="1">
            <w:r w:rsidR="00061EDF" w:rsidRPr="00061EDF">
              <w:rPr>
                <w:rStyle w:val="Hyperlink"/>
                <w:rFonts w:ascii="Arial" w:hAnsi="Arial" w:cs="Arial"/>
                <w:noProof/>
                <w:sz w:val="23"/>
                <w:szCs w:val="23"/>
              </w:rPr>
              <w:t>Methodology</w:t>
            </w:r>
            <w:r w:rsidR="00061EDF" w:rsidRPr="00061EDF">
              <w:rPr>
                <w:rFonts w:ascii="Arial" w:hAnsi="Arial" w:cs="Arial"/>
                <w:noProof/>
                <w:webHidden/>
                <w:sz w:val="23"/>
                <w:szCs w:val="23"/>
              </w:rPr>
              <w:tab/>
            </w:r>
            <w:r w:rsidR="00061EDF" w:rsidRPr="00061EDF">
              <w:rPr>
                <w:rFonts w:ascii="Arial" w:hAnsi="Arial" w:cs="Arial"/>
                <w:noProof/>
                <w:webHidden/>
                <w:sz w:val="23"/>
                <w:szCs w:val="23"/>
              </w:rPr>
              <w:fldChar w:fldCharType="begin"/>
            </w:r>
            <w:r w:rsidR="00061EDF" w:rsidRPr="00061EDF">
              <w:rPr>
                <w:rFonts w:ascii="Arial" w:hAnsi="Arial" w:cs="Arial"/>
                <w:noProof/>
                <w:webHidden/>
                <w:sz w:val="23"/>
                <w:szCs w:val="23"/>
              </w:rPr>
              <w:instrText xml:space="preserve"> PAGEREF _Toc142983750 \h </w:instrText>
            </w:r>
            <w:r w:rsidR="00061EDF" w:rsidRPr="00061EDF">
              <w:rPr>
                <w:rFonts w:ascii="Arial" w:hAnsi="Arial" w:cs="Arial"/>
                <w:noProof/>
                <w:webHidden/>
                <w:sz w:val="23"/>
                <w:szCs w:val="23"/>
              </w:rPr>
            </w:r>
            <w:r w:rsidR="00061EDF" w:rsidRPr="00061EDF">
              <w:rPr>
                <w:rFonts w:ascii="Arial" w:hAnsi="Arial" w:cs="Arial"/>
                <w:noProof/>
                <w:webHidden/>
                <w:sz w:val="23"/>
                <w:szCs w:val="23"/>
              </w:rPr>
              <w:fldChar w:fldCharType="separate"/>
            </w:r>
            <w:r w:rsidR="00061EDF" w:rsidRPr="00061EDF">
              <w:rPr>
                <w:rFonts w:ascii="Arial" w:hAnsi="Arial" w:cs="Arial"/>
                <w:noProof/>
                <w:webHidden/>
                <w:sz w:val="23"/>
                <w:szCs w:val="23"/>
              </w:rPr>
              <w:t>9</w:t>
            </w:r>
            <w:r w:rsidR="00061EDF" w:rsidRPr="00061EDF">
              <w:rPr>
                <w:rFonts w:ascii="Arial" w:hAnsi="Arial" w:cs="Arial"/>
                <w:noProof/>
                <w:webHidden/>
                <w:sz w:val="23"/>
                <w:szCs w:val="23"/>
              </w:rPr>
              <w:fldChar w:fldCharType="end"/>
            </w:r>
          </w:hyperlink>
        </w:p>
        <w:p w14:paraId="73307387" w14:textId="25A93319" w:rsidR="00061EDF" w:rsidRPr="00061EDF" w:rsidRDefault="00000000">
          <w:pPr>
            <w:pStyle w:val="TOC2"/>
            <w:tabs>
              <w:tab w:val="right" w:leader="dot" w:pos="9016"/>
            </w:tabs>
            <w:rPr>
              <w:rFonts w:ascii="Arial" w:eastAsiaTheme="minorEastAsia" w:hAnsi="Arial" w:cs="Arial"/>
              <w:noProof/>
              <w:kern w:val="2"/>
              <w:sz w:val="23"/>
              <w:szCs w:val="23"/>
              <w:lang w:eastAsia="en-ZA"/>
              <w14:ligatures w14:val="standardContextual"/>
            </w:rPr>
          </w:pPr>
          <w:hyperlink w:anchor="_Toc142983751" w:history="1">
            <w:r w:rsidR="00061EDF" w:rsidRPr="00061EDF">
              <w:rPr>
                <w:rStyle w:val="Hyperlink"/>
                <w:rFonts w:ascii="Arial" w:hAnsi="Arial" w:cs="Arial"/>
                <w:noProof/>
                <w:sz w:val="23"/>
                <w:szCs w:val="23"/>
              </w:rPr>
              <w:t>Impact of implementing the updated FSI 6 liquidity risk management in South Africa</w:t>
            </w:r>
            <w:r w:rsidR="00061EDF" w:rsidRPr="00061EDF">
              <w:rPr>
                <w:rFonts w:ascii="Arial" w:hAnsi="Arial" w:cs="Arial"/>
                <w:noProof/>
                <w:webHidden/>
                <w:sz w:val="23"/>
                <w:szCs w:val="23"/>
              </w:rPr>
              <w:tab/>
            </w:r>
            <w:r w:rsidR="00061EDF" w:rsidRPr="00061EDF">
              <w:rPr>
                <w:rFonts w:ascii="Arial" w:hAnsi="Arial" w:cs="Arial"/>
                <w:noProof/>
                <w:webHidden/>
                <w:sz w:val="23"/>
                <w:szCs w:val="23"/>
              </w:rPr>
              <w:fldChar w:fldCharType="begin"/>
            </w:r>
            <w:r w:rsidR="00061EDF" w:rsidRPr="00061EDF">
              <w:rPr>
                <w:rFonts w:ascii="Arial" w:hAnsi="Arial" w:cs="Arial"/>
                <w:noProof/>
                <w:webHidden/>
                <w:sz w:val="23"/>
                <w:szCs w:val="23"/>
              </w:rPr>
              <w:instrText xml:space="preserve"> PAGEREF _Toc142983751 \h </w:instrText>
            </w:r>
            <w:r w:rsidR="00061EDF" w:rsidRPr="00061EDF">
              <w:rPr>
                <w:rFonts w:ascii="Arial" w:hAnsi="Arial" w:cs="Arial"/>
                <w:noProof/>
                <w:webHidden/>
                <w:sz w:val="23"/>
                <w:szCs w:val="23"/>
              </w:rPr>
            </w:r>
            <w:r w:rsidR="00061EDF" w:rsidRPr="00061EDF">
              <w:rPr>
                <w:rFonts w:ascii="Arial" w:hAnsi="Arial" w:cs="Arial"/>
                <w:noProof/>
                <w:webHidden/>
                <w:sz w:val="23"/>
                <w:szCs w:val="23"/>
              </w:rPr>
              <w:fldChar w:fldCharType="separate"/>
            </w:r>
            <w:r w:rsidR="00061EDF" w:rsidRPr="00061EDF">
              <w:rPr>
                <w:rFonts w:ascii="Arial" w:hAnsi="Arial" w:cs="Arial"/>
                <w:noProof/>
                <w:webHidden/>
                <w:sz w:val="23"/>
                <w:szCs w:val="23"/>
              </w:rPr>
              <w:t>9</w:t>
            </w:r>
            <w:r w:rsidR="00061EDF" w:rsidRPr="00061EDF">
              <w:rPr>
                <w:rFonts w:ascii="Arial" w:hAnsi="Arial" w:cs="Arial"/>
                <w:noProof/>
                <w:webHidden/>
                <w:sz w:val="23"/>
                <w:szCs w:val="23"/>
              </w:rPr>
              <w:fldChar w:fldCharType="end"/>
            </w:r>
          </w:hyperlink>
        </w:p>
        <w:p w14:paraId="24CD00AC" w14:textId="7C2F110A" w:rsidR="00061EDF" w:rsidRPr="00061EDF" w:rsidRDefault="00000000">
          <w:pPr>
            <w:pStyle w:val="TOC1"/>
            <w:rPr>
              <w:rFonts w:ascii="Arial" w:eastAsiaTheme="minorEastAsia" w:hAnsi="Arial" w:cs="Arial"/>
              <w:noProof/>
              <w:kern w:val="2"/>
              <w:sz w:val="23"/>
              <w:szCs w:val="23"/>
              <w:lang w:eastAsia="en-ZA"/>
              <w14:ligatures w14:val="standardContextual"/>
            </w:rPr>
          </w:pPr>
          <w:hyperlink w:anchor="_Toc142983752" w:history="1">
            <w:r w:rsidR="00061EDF" w:rsidRPr="00061EDF">
              <w:rPr>
                <w:rStyle w:val="Hyperlink"/>
                <w:rFonts w:ascii="Arial" w:hAnsi="Arial" w:cs="Arial"/>
                <w:noProof/>
                <w:sz w:val="23"/>
                <w:szCs w:val="23"/>
              </w:rPr>
              <w:t>6</w:t>
            </w:r>
            <w:r w:rsidR="00061EDF" w:rsidRPr="00061EDF">
              <w:rPr>
                <w:rFonts w:ascii="Arial" w:eastAsiaTheme="minorEastAsia" w:hAnsi="Arial" w:cs="Arial"/>
                <w:noProof/>
                <w:kern w:val="2"/>
                <w:sz w:val="23"/>
                <w:szCs w:val="23"/>
                <w:lang w:eastAsia="en-ZA"/>
                <w14:ligatures w14:val="standardContextual"/>
              </w:rPr>
              <w:tab/>
            </w:r>
            <w:r w:rsidR="00061EDF" w:rsidRPr="00061EDF">
              <w:rPr>
                <w:rStyle w:val="Hyperlink"/>
                <w:rFonts w:ascii="Arial" w:hAnsi="Arial" w:cs="Arial"/>
                <w:noProof/>
                <w:sz w:val="23"/>
                <w:szCs w:val="23"/>
              </w:rPr>
              <w:t>Statement of intended operation ― Implementation and evaluation</w:t>
            </w:r>
            <w:r w:rsidR="00061EDF" w:rsidRPr="00061EDF">
              <w:rPr>
                <w:rFonts w:ascii="Arial" w:hAnsi="Arial" w:cs="Arial"/>
                <w:noProof/>
                <w:webHidden/>
                <w:sz w:val="23"/>
                <w:szCs w:val="23"/>
              </w:rPr>
              <w:tab/>
            </w:r>
            <w:r w:rsidR="00061EDF" w:rsidRPr="00061EDF">
              <w:rPr>
                <w:rFonts w:ascii="Arial" w:hAnsi="Arial" w:cs="Arial"/>
                <w:noProof/>
                <w:webHidden/>
                <w:sz w:val="23"/>
                <w:szCs w:val="23"/>
              </w:rPr>
              <w:fldChar w:fldCharType="begin"/>
            </w:r>
            <w:r w:rsidR="00061EDF" w:rsidRPr="00061EDF">
              <w:rPr>
                <w:rFonts w:ascii="Arial" w:hAnsi="Arial" w:cs="Arial"/>
                <w:noProof/>
                <w:webHidden/>
                <w:sz w:val="23"/>
                <w:szCs w:val="23"/>
              </w:rPr>
              <w:instrText xml:space="preserve"> PAGEREF _Toc142983752 \h </w:instrText>
            </w:r>
            <w:r w:rsidR="00061EDF" w:rsidRPr="00061EDF">
              <w:rPr>
                <w:rFonts w:ascii="Arial" w:hAnsi="Arial" w:cs="Arial"/>
                <w:noProof/>
                <w:webHidden/>
                <w:sz w:val="23"/>
                <w:szCs w:val="23"/>
              </w:rPr>
            </w:r>
            <w:r w:rsidR="00061EDF" w:rsidRPr="00061EDF">
              <w:rPr>
                <w:rFonts w:ascii="Arial" w:hAnsi="Arial" w:cs="Arial"/>
                <w:noProof/>
                <w:webHidden/>
                <w:sz w:val="23"/>
                <w:szCs w:val="23"/>
              </w:rPr>
              <w:fldChar w:fldCharType="separate"/>
            </w:r>
            <w:r w:rsidR="00061EDF" w:rsidRPr="00061EDF">
              <w:rPr>
                <w:rFonts w:ascii="Arial" w:hAnsi="Arial" w:cs="Arial"/>
                <w:noProof/>
                <w:webHidden/>
                <w:sz w:val="23"/>
                <w:szCs w:val="23"/>
              </w:rPr>
              <w:t>10</w:t>
            </w:r>
            <w:r w:rsidR="00061EDF" w:rsidRPr="00061EDF">
              <w:rPr>
                <w:rFonts w:ascii="Arial" w:hAnsi="Arial" w:cs="Arial"/>
                <w:noProof/>
                <w:webHidden/>
                <w:sz w:val="23"/>
                <w:szCs w:val="23"/>
              </w:rPr>
              <w:fldChar w:fldCharType="end"/>
            </w:r>
          </w:hyperlink>
        </w:p>
        <w:p w14:paraId="679F9F6C" w14:textId="2FEB4AFD" w:rsidR="00061EDF" w:rsidRPr="00061EDF" w:rsidRDefault="00000000">
          <w:pPr>
            <w:pStyle w:val="TOC1"/>
            <w:rPr>
              <w:rFonts w:ascii="Arial" w:eastAsiaTheme="minorEastAsia" w:hAnsi="Arial" w:cs="Arial"/>
              <w:noProof/>
              <w:kern w:val="2"/>
              <w:sz w:val="23"/>
              <w:szCs w:val="23"/>
              <w:lang w:eastAsia="en-ZA"/>
              <w14:ligatures w14:val="standardContextual"/>
            </w:rPr>
          </w:pPr>
          <w:hyperlink w:anchor="_Toc142983753" w:history="1">
            <w:r w:rsidR="00061EDF" w:rsidRPr="00061EDF">
              <w:rPr>
                <w:rStyle w:val="Hyperlink"/>
                <w:rFonts w:ascii="Arial" w:hAnsi="Arial" w:cs="Arial"/>
                <w:noProof/>
                <w:sz w:val="23"/>
                <w:szCs w:val="23"/>
              </w:rPr>
              <w:t>7</w:t>
            </w:r>
            <w:r w:rsidR="00061EDF" w:rsidRPr="00061EDF">
              <w:rPr>
                <w:rFonts w:ascii="Arial" w:eastAsiaTheme="minorEastAsia" w:hAnsi="Arial" w:cs="Arial"/>
                <w:noProof/>
                <w:kern w:val="2"/>
                <w:sz w:val="23"/>
                <w:szCs w:val="23"/>
                <w:lang w:eastAsia="en-ZA"/>
                <w14:ligatures w14:val="standardContextual"/>
              </w:rPr>
              <w:tab/>
            </w:r>
            <w:r w:rsidR="00061EDF" w:rsidRPr="00061EDF">
              <w:rPr>
                <w:rStyle w:val="Hyperlink"/>
                <w:rFonts w:ascii="Arial" w:hAnsi="Arial" w:cs="Arial"/>
                <w:noProof/>
                <w:sz w:val="23"/>
                <w:szCs w:val="23"/>
              </w:rPr>
              <w:t>Conclusion</w:t>
            </w:r>
            <w:r w:rsidR="00061EDF" w:rsidRPr="00061EDF">
              <w:rPr>
                <w:rFonts w:ascii="Arial" w:hAnsi="Arial" w:cs="Arial"/>
                <w:noProof/>
                <w:webHidden/>
                <w:sz w:val="23"/>
                <w:szCs w:val="23"/>
              </w:rPr>
              <w:tab/>
            </w:r>
            <w:r w:rsidR="00061EDF" w:rsidRPr="00061EDF">
              <w:rPr>
                <w:rFonts w:ascii="Arial" w:hAnsi="Arial" w:cs="Arial"/>
                <w:noProof/>
                <w:webHidden/>
                <w:sz w:val="23"/>
                <w:szCs w:val="23"/>
              </w:rPr>
              <w:fldChar w:fldCharType="begin"/>
            </w:r>
            <w:r w:rsidR="00061EDF" w:rsidRPr="00061EDF">
              <w:rPr>
                <w:rFonts w:ascii="Arial" w:hAnsi="Arial" w:cs="Arial"/>
                <w:noProof/>
                <w:webHidden/>
                <w:sz w:val="23"/>
                <w:szCs w:val="23"/>
              </w:rPr>
              <w:instrText xml:space="preserve"> PAGEREF _Toc142983753 \h </w:instrText>
            </w:r>
            <w:r w:rsidR="00061EDF" w:rsidRPr="00061EDF">
              <w:rPr>
                <w:rFonts w:ascii="Arial" w:hAnsi="Arial" w:cs="Arial"/>
                <w:noProof/>
                <w:webHidden/>
                <w:sz w:val="23"/>
                <w:szCs w:val="23"/>
              </w:rPr>
            </w:r>
            <w:r w:rsidR="00061EDF" w:rsidRPr="00061EDF">
              <w:rPr>
                <w:rFonts w:ascii="Arial" w:hAnsi="Arial" w:cs="Arial"/>
                <w:noProof/>
                <w:webHidden/>
                <w:sz w:val="23"/>
                <w:szCs w:val="23"/>
              </w:rPr>
              <w:fldChar w:fldCharType="separate"/>
            </w:r>
            <w:r w:rsidR="00061EDF" w:rsidRPr="00061EDF">
              <w:rPr>
                <w:rFonts w:ascii="Arial" w:hAnsi="Arial" w:cs="Arial"/>
                <w:noProof/>
                <w:webHidden/>
                <w:sz w:val="23"/>
                <w:szCs w:val="23"/>
              </w:rPr>
              <w:t>11</w:t>
            </w:r>
            <w:r w:rsidR="00061EDF" w:rsidRPr="00061EDF">
              <w:rPr>
                <w:rFonts w:ascii="Arial" w:hAnsi="Arial" w:cs="Arial"/>
                <w:noProof/>
                <w:webHidden/>
                <w:sz w:val="23"/>
                <w:szCs w:val="23"/>
              </w:rPr>
              <w:fldChar w:fldCharType="end"/>
            </w:r>
          </w:hyperlink>
        </w:p>
        <w:p w14:paraId="525C08B1" w14:textId="71B3E360" w:rsidR="00277367" w:rsidRPr="00585DAF" w:rsidRDefault="00277367" w:rsidP="00F7369A">
          <w:pPr>
            <w:rPr>
              <w:rFonts w:ascii="Arial" w:hAnsi="Arial" w:cs="Arial"/>
              <w:szCs w:val="23"/>
            </w:rPr>
          </w:pPr>
          <w:r w:rsidRPr="00061EDF">
            <w:rPr>
              <w:rFonts w:ascii="Arial" w:hAnsi="Arial" w:cs="Arial"/>
              <w:b/>
              <w:bCs/>
              <w:noProof/>
              <w:sz w:val="23"/>
              <w:szCs w:val="23"/>
            </w:rPr>
            <w:fldChar w:fldCharType="end"/>
          </w:r>
        </w:p>
      </w:sdtContent>
    </w:sdt>
    <w:p w14:paraId="2FC66224" w14:textId="77777777" w:rsidR="00097084" w:rsidRPr="00585DAF" w:rsidRDefault="00097084" w:rsidP="00585DAF">
      <w:pPr>
        <w:pStyle w:val="NoSpacing"/>
        <w:spacing w:line="360" w:lineRule="auto"/>
        <w:rPr>
          <w:rFonts w:ascii="Arial" w:hAnsi="Arial" w:cs="Arial"/>
          <w:sz w:val="2"/>
        </w:rPr>
      </w:pPr>
    </w:p>
    <w:p w14:paraId="1E035A41" w14:textId="77777777" w:rsidR="00D82F36" w:rsidRDefault="00D82F36" w:rsidP="00F7369A">
      <w:pPr>
        <w:pStyle w:val="Style2"/>
        <w:spacing w:before="0"/>
        <w:rPr>
          <w:rFonts w:cs="Arial"/>
          <w:color w:val="000000" w:themeColor="text1"/>
          <w:sz w:val="24"/>
          <w:szCs w:val="26"/>
        </w:rPr>
      </w:pPr>
      <w:bookmarkStart w:id="0" w:name="_Toc11758583"/>
      <w:bookmarkStart w:id="1" w:name="_Toc13832342"/>
    </w:p>
    <w:p w14:paraId="78055008" w14:textId="77777777" w:rsidR="00D82F36" w:rsidRDefault="00D82F36" w:rsidP="00F7369A">
      <w:pPr>
        <w:pStyle w:val="Style2"/>
        <w:spacing w:before="0"/>
        <w:rPr>
          <w:rFonts w:cs="Arial"/>
          <w:color w:val="000000" w:themeColor="text1"/>
          <w:sz w:val="24"/>
          <w:szCs w:val="26"/>
        </w:rPr>
      </w:pPr>
    </w:p>
    <w:p w14:paraId="3C134D33" w14:textId="01AA2976" w:rsidR="0059739B" w:rsidRPr="00A466C2" w:rsidRDefault="0059739B" w:rsidP="00F7369A">
      <w:pPr>
        <w:pStyle w:val="Style2"/>
        <w:spacing w:before="0"/>
        <w:rPr>
          <w:rFonts w:cs="Arial"/>
          <w:color w:val="000000" w:themeColor="text1"/>
          <w:sz w:val="24"/>
          <w:szCs w:val="26"/>
        </w:rPr>
      </w:pPr>
      <w:bookmarkStart w:id="2" w:name="_Toc142983743"/>
      <w:r w:rsidRPr="00A466C2">
        <w:rPr>
          <w:rFonts w:cs="Arial"/>
          <w:color w:val="000000" w:themeColor="text1"/>
          <w:sz w:val="24"/>
          <w:szCs w:val="26"/>
        </w:rPr>
        <w:t>List of acronyms</w:t>
      </w:r>
      <w:bookmarkEnd w:id="0"/>
      <w:bookmarkEnd w:id="1"/>
      <w:bookmarkEnd w:id="2"/>
    </w:p>
    <w:p w14:paraId="4B857AAA" w14:textId="77777777" w:rsidR="0059739B" w:rsidRPr="00A466C2" w:rsidRDefault="0059739B" w:rsidP="0059739B">
      <w:pPr>
        <w:pStyle w:val="NoSpacing"/>
        <w:rPr>
          <w:rFonts w:ascii="Arial" w:hAnsi="Arial" w:cs="Arial"/>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4"/>
        <w:gridCol w:w="7512"/>
      </w:tblGrid>
      <w:tr w:rsidR="00A466C2" w:rsidRPr="00A466C2" w14:paraId="64C93346" w14:textId="77777777" w:rsidTr="002326ED">
        <w:trPr>
          <w:trHeight w:val="272"/>
        </w:trPr>
        <w:tc>
          <w:tcPr>
            <w:tcW w:w="1514" w:type="dxa"/>
            <w:vAlign w:val="center"/>
          </w:tcPr>
          <w:p w14:paraId="4E38F418" w14:textId="77777777" w:rsidR="00345C9A" w:rsidRPr="00A466C2" w:rsidRDefault="00345C9A" w:rsidP="002326ED">
            <w:pPr>
              <w:pStyle w:val="NoSpacing"/>
              <w:spacing w:line="480" w:lineRule="auto"/>
              <w:rPr>
                <w:rFonts w:ascii="Arial" w:hAnsi="Arial" w:cs="Arial"/>
                <w:b/>
                <w:bCs/>
                <w:color w:val="000000" w:themeColor="text1"/>
                <w:sz w:val="23"/>
                <w:szCs w:val="23"/>
              </w:rPr>
            </w:pPr>
            <w:r w:rsidRPr="00A466C2">
              <w:rPr>
                <w:rFonts w:ascii="Arial" w:hAnsi="Arial" w:cs="Arial"/>
                <w:b/>
                <w:bCs/>
                <w:color w:val="000000" w:themeColor="text1"/>
                <w:sz w:val="23"/>
                <w:szCs w:val="23"/>
              </w:rPr>
              <w:t>ALM</w:t>
            </w:r>
          </w:p>
        </w:tc>
        <w:tc>
          <w:tcPr>
            <w:tcW w:w="7512" w:type="dxa"/>
            <w:vAlign w:val="center"/>
          </w:tcPr>
          <w:p w14:paraId="79F91C8C" w14:textId="77777777" w:rsidR="00345C9A" w:rsidRPr="00A466C2" w:rsidRDefault="00345C9A" w:rsidP="002326ED">
            <w:pPr>
              <w:pStyle w:val="NoSpacing"/>
              <w:spacing w:line="480" w:lineRule="auto"/>
              <w:rPr>
                <w:rFonts w:ascii="Arial" w:hAnsi="Arial" w:cs="Arial"/>
                <w:bCs/>
                <w:color w:val="000000" w:themeColor="text1"/>
                <w:sz w:val="23"/>
                <w:szCs w:val="23"/>
              </w:rPr>
            </w:pPr>
            <w:r w:rsidRPr="00A466C2">
              <w:rPr>
                <w:rFonts w:ascii="Arial" w:hAnsi="Arial" w:cs="Arial"/>
                <w:bCs/>
                <w:color w:val="000000" w:themeColor="text1"/>
                <w:sz w:val="23"/>
                <w:szCs w:val="23"/>
              </w:rPr>
              <w:t>Asset and Liability Management</w:t>
            </w:r>
          </w:p>
        </w:tc>
      </w:tr>
      <w:tr w:rsidR="00A466C2" w:rsidRPr="00A466C2" w14:paraId="70A1C95B" w14:textId="77777777" w:rsidTr="00FB0A70">
        <w:trPr>
          <w:trHeight w:val="154"/>
        </w:trPr>
        <w:tc>
          <w:tcPr>
            <w:tcW w:w="1514" w:type="dxa"/>
            <w:vAlign w:val="center"/>
          </w:tcPr>
          <w:p w14:paraId="5ABF9D21" w14:textId="5C8C521C" w:rsidR="0059739B" w:rsidRPr="00A466C2" w:rsidRDefault="0091503F" w:rsidP="00E968F0">
            <w:pPr>
              <w:pStyle w:val="NoSpacing"/>
              <w:spacing w:line="480" w:lineRule="auto"/>
              <w:rPr>
                <w:rFonts w:ascii="Arial" w:hAnsi="Arial" w:cs="Arial"/>
                <w:b/>
                <w:color w:val="000000" w:themeColor="text1"/>
                <w:sz w:val="23"/>
                <w:szCs w:val="23"/>
              </w:rPr>
            </w:pPr>
            <w:r>
              <w:rPr>
                <w:rFonts w:ascii="Arial" w:hAnsi="Arial" w:cs="Arial"/>
                <w:b/>
                <w:color w:val="000000" w:themeColor="text1"/>
                <w:sz w:val="23"/>
                <w:szCs w:val="23"/>
              </w:rPr>
              <w:t>IAIS</w:t>
            </w:r>
          </w:p>
        </w:tc>
        <w:tc>
          <w:tcPr>
            <w:tcW w:w="7512" w:type="dxa"/>
            <w:vAlign w:val="center"/>
          </w:tcPr>
          <w:p w14:paraId="03FBDEDF" w14:textId="5E42BDC6" w:rsidR="0059739B" w:rsidRPr="00A466C2" w:rsidRDefault="0091503F" w:rsidP="00E968F0">
            <w:pPr>
              <w:pStyle w:val="NoSpacing"/>
              <w:spacing w:line="480" w:lineRule="auto"/>
              <w:rPr>
                <w:rFonts w:ascii="Arial" w:hAnsi="Arial" w:cs="Arial"/>
                <w:color w:val="000000" w:themeColor="text1"/>
                <w:sz w:val="23"/>
                <w:szCs w:val="23"/>
              </w:rPr>
            </w:pPr>
            <w:r>
              <w:rPr>
                <w:rFonts w:ascii="Arial" w:hAnsi="Arial" w:cs="Arial"/>
                <w:color w:val="000000" w:themeColor="text1"/>
                <w:sz w:val="23"/>
                <w:szCs w:val="23"/>
              </w:rPr>
              <w:t>International Association of Insurance Supervisors</w:t>
            </w:r>
          </w:p>
        </w:tc>
      </w:tr>
      <w:tr w:rsidR="00932CC4" w:rsidRPr="00A466C2" w14:paraId="53811404" w14:textId="77777777" w:rsidTr="002326ED">
        <w:trPr>
          <w:trHeight w:val="192"/>
        </w:trPr>
        <w:tc>
          <w:tcPr>
            <w:tcW w:w="1514" w:type="dxa"/>
            <w:vAlign w:val="center"/>
          </w:tcPr>
          <w:p w14:paraId="4A645573" w14:textId="7D98C000" w:rsidR="00932CC4" w:rsidRPr="00A466C2" w:rsidRDefault="0091503F" w:rsidP="00932CC4">
            <w:pPr>
              <w:pStyle w:val="NoSpacing"/>
              <w:spacing w:line="480" w:lineRule="auto"/>
              <w:rPr>
                <w:rFonts w:ascii="Arial" w:hAnsi="Arial" w:cs="Arial"/>
                <w:b/>
                <w:color w:val="000000" w:themeColor="text1"/>
                <w:sz w:val="23"/>
                <w:szCs w:val="23"/>
              </w:rPr>
            </w:pPr>
            <w:r>
              <w:rPr>
                <w:rFonts w:ascii="Arial" w:hAnsi="Arial" w:cs="Arial"/>
                <w:b/>
                <w:bCs/>
                <w:color w:val="000000" w:themeColor="text1"/>
                <w:sz w:val="23"/>
                <w:szCs w:val="23"/>
              </w:rPr>
              <w:t>HQLA</w:t>
            </w:r>
          </w:p>
        </w:tc>
        <w:tc>
          <w:tcPr>
            <w:tcW w:w="7512" w:type="dxa"/>
            <w:vAlign w:val="center"/>
          </w:tcPr>
          <w:p w14:paraId="062EFBDD" w14:textId="74A67699" w:rsidR="00932CC4" w:rsidRPr="00A466C2" w:rsidRDefault="00D82F36" w:rsidP="00932CC4">
            <w:pPr>
              <w:pStyle w:val="NoSpacing"/>
              <w:spacing w:line="480" w:lineRule="auto"/>
              <w:rPr>
                <w:rFonts w:ascii="Arial" w:hAnsi="Arial" w:cs="Arial"/>
                <w:color w:val="000000" w:themeColor="text1"/>
                <w:sz w:val="23"/>
                <w:szCs w:val="23"/>
              </w:rPr>
            </w:pPr>
            <w:r>
              <w:rPr>
                <w:rFonts w:ascii="Arial" w:hAnsi="Arial" w:cs="Arial"/>
                <w:bCs/>
                <w:color w:val="000000" w:themeColor="text1"/>
                <w:sz w:val="23"/>
                <w:szCs w:val="23"/>
              </w:rPr>
              <w:t>High-Quality</w:t>
            </w:r>
            <w:r w:rsidR="0091503F">
              <w:rPr>
                <w:rFonts w:ascii="Arial" w:hAnsi="Arial" w:cs="Arial"/>
                <w:bCs/>
                <w:color w:val="000000" w:themeColor="text1"/>
                <w:sz w:val="23"/>
                <w:szCs w:val="23"/>
              </w:rPr>
              <w:t xml:space="preserve"> Liquid Assets</w:t>
            </w:r>
          </w:p>
        </w:tc>
      </w:tr>
      <w:tr w:rsidR="00932CC4" w:rsidRPr="00A466C2" w14:paraId="671BC359" w14:textId="77777777" w:rsidTr="003F05A4">
        <w:trPr>
          <w:trHeight w:val="192"/>
        </w:trPr>
        <w:tc>
          <w:tcPr>
            <w:tcW w:w="1514" w:type="dxa"/>
            <w:vAlign w:val="center"/>
          </w:tcPr>
          <w:p w14:paraId="33299944" w14:textId="56B4E54B" w:rsidR="00932CC4" w:rsidRPr="00A466C2" w:rsidRDefault="003D018A" w:rsidP="003F05A4">
            <w:pPr>
              <w:pStyle w:val="NoSpacing"/>
              <w:spacing w:line="480" w:lineRule="auto"/>
              <w:rPr>
                <w:rFonts w:ascii="Arial" w:hAnsi="Arial" w:cs="Arial"/>
                <w:b/>
                <w:color w:val="000000" w:themeColor="text1"/>
                <w:sz w:val="23"/>
                <w:szCs w:val="23"/>
              </w:rPr>
            </w:pPr>
            <w:r>
              <w:rPr>
                <w:rFonts w:ascii="Arial" w:hAnsi="Arial" w:cs="Arial"/>
                <w:b/>
                <w:bCs/>
                <w:color w:val="000000" w:themeColor="text1"/>
                <w:sz w:val="23"/>
                <w:szCs w:val="23"/>
              </w:rPr>
              <w:t>SLT</w:t>
            </w:r>
          </w:p>
        </w:tc>
        <w:tc>
          <w:tcPr>
            <w:tcW w:w="7512" w:type="dxa"/>
            <w:vAlign w:val="center"/>
          </w:tcPr>
          <w:p w14:paraId="5DE9A2EA" w14:textId="74CD4D8D" w:rsidR="00932CC4" w:rsidRPr="00A466C2" w:rsidRDefault="003D018A" w:rsidP="003F05A4">
            <w:pPr>
              <w:pStyle w:val="NoSpacing"/>
              <w:spacing w:line="480" w:lineRule="auto"/>
              <w:rPr>
                <w:rFonts w:ascii="Arial" w:hAnsi="Arial" w:cs="Arial"/>
                <w:color w:val="000000" w:themeColor="text1"/>
                <w:sz w:val="23"/>
                <w:szCs w:val="23"/>
              </w:rPr>
            </w:pPr>
            <w:r>
              <w:rPr>
                <w:rFonts w:ascii="Arial" w:hAnsi="Arial" w:cs="Arial"/>
                <w:bCs/>
                <w:color w:val="000000" w:themeColor="text1"/>
                <w:sz w:val="23"/>
                <w:szCs w:val="23"/>
              </w:rPr>
              <w:t>Securities lending transactions</w:t>
            </w:r>
          </w:p>
        </w:tc>
      </w:tr>
      <w:tr w:rsidR="00932CC4" w:rsidRPr="00A466C2" w14:paraId="71E2A9D0" w14:textId="77777777" w:rsidTr="000153FF">
        <w:trPr>
          <w:trHeight w:val="192"/>
        </w:trPr>
        <w:tc>
          <w:tcPr>
            <w:tcW w:w="1514" w:type="dxa"/>
            <w:vAlign w:val="center"/>
          </w:tcPr>
          <w:p w14:paraId="010C95EE" w14:textId="7D68A1C0" w:rsidR="00932CC4" w:rsidRPr="00A466C2" w:rsidRDefault="003D018A" w:rsidP="000153FF">
            <w:pPr>
              <w:pStyle w:val="NoSpacing"/>
              <w:spacing w:line="480" w:lineRule="auto"/>
              <w:rPr>
                <w:rFonts w:ascii="Arial" w:hAnsi="Arial" w:cs="Arial"/>
                <w:b/>
                <w:color w:val="000000" w:themeColor="text1"/>
                <w:sz w:val="23"/>
                <w:szCs w:val="23"/>
              </w:rPr>
            </w:pPr>
            <w:r>
              <w:rPr>
                <w:rFonts w:ascii="Arial" w:hAnsi="Arial" w:cs="Arial"/>
                <w:b/>
                <w:color w:val="000000" w:themeColor="text1"/>
                <w:sz w:val="23"/>
                <w:szCs w:val="23"/>
              </w:rPr>
              <w:t>ILR</w:t>
            </w:r>
          </w:p>
        </w:tc>
        <w:tc>
          <w:tcPr>
            <w:tcW w:w="7512" w:type="dxa"/>
            <w:vAlign w:val="center"/>
          </w:tcPr>
          <w:p w14:paraId="5AE081DC" w14:textId="08199258" w:rsidR="00932CC4" w:rsidRPr="00A466C2" w:rsidRDefault="003D018A" w:rsidP="000153FF">
            <w:pPr>
              <w:pStyle w:val="NoSpacing"/>
              <w:spacing w:line="480" w:lineRule="auto"/>
              <w:rPr>
                <w:rFonts w:ascii="Arial" w:hAnsi="Arial" w:cs="Arial"/>
                <w:color w:val="000000" w:themeColor="text1"/>
                <w:sz w:val="23"/>
                <w:szCs w:val="23"/>
              </w:rPr>
            </w:pPr>
            <w:r>
              <w:rPr>
                <w:rFonts w:ascii="Arial" w:hAnsi="Arial" w:cs="Arial"/>
                <w:color w:val="000000" w:themeColor="text1"/>
                <w:sz w:val="23"/>
                <w:szCs w:val="23"/>
              </w:rPr>
              <w:t>Insurance Liquidity Ratio</w:t>
            </w:r>
          </w:p>
        </w:tc>
      </w:tr>
      <w:tr w:rsidR="00932CC4" w:rsidRPr="00A466C2" w14:paraId="35FFFAF0" w14:textId="77777777" w:rsidTr="002326ED">
        <w:trPr>
          <w:trHeight w:val="192"/>
        </w:trPr>
        <w:tc>
          <w:tcPr>
            <w:tcW w:w="1514" w:type="dxa"/>
            <w:vAlign w:val="center"/>
          </w:tcPr>
          <w:p w14:paraId="296449EF" w14:textId="65EF2494" w:rsidR="00932CC4" w:rsidRPr="00A466C2" w:rsidRDefault="003D018A" w:rsidP="00932CC4">
            <w:pPr>
              <w:pStyle w:val="NoSpacing"/>
              <w:spacing w:line="480" w:lineRule="auto"/>
              <w:rPr>
                <w:rFonts w:ascii="Arial" w:hAnsi="Arial" w:cs="Arial"/>
                <w:b/>
                <w:color w:val="000000" w:themeColor="text1"/>
                <w:sz w:val="23"/>
                <w:szCs w:val="23"/>
              </w:rPr>
            </w:pPr>
            <w:r>
              <w:rPr>
                <w:rFonts w:ascii="Arial" w:hAnsi="Arial" w:cs="Arial"/>
                <w:b/>
                <w:bCs/>
                <w:color w:val="000000" w:themeColor="text1"/>
                <w:sz w:val="23"/>
                <w:szCs w:val="23"/>
              </w:rPr>
              <w:t>GME</w:t>
            </w:r>
          </w:p>
        </w:tc>
        <w:tc>
          <w:tcPr>
            <w:tcW w:w="7512" w:type="dxa"/>
            <w:vAlign w:val="center"/>
          </w:tcPr>
          <w:p w14:paraId="077531B1" w14:textId="6E612D34" w:rsidR="00932CC4" w:rsidRPr="00A466C2" w:rsidRDefault="003D018A" w:rsidP="00932CC4">
            <w:pPr>
              <w:pStyle w:val="NoSpacing"/>
              <w:spacing w:line="480" w:lineRule="auto"/>
              <w:rPr>
                <w:rFonts w:ascii="Arial" w:hAnsi="Arial" w:cs="Arial"/>
                <w:color w:val="000000" w:themeColor="text1"/>
                <w:sz w:val="23"/>
                <w:szCs w:val="23"/>
              </w:rPr>
            </w:pPr>
            <w:r>
              <w:rPr>
                <w:rFonts w:ascii="Arial" w:hAnsi="Arial" w:cs="Arial"/>
                <w:bCs/>
                <w:color w:val="000000" w:themeColor="text1"/>
                <w:sz w:val="23"/>
                <w:szCs w:val="23"/>
              </w:rPr>
              <w:t>Global Monitoring Exercise</w:t>
            </w:r>
          </w:p>
        </w:tc>
      </w:tr>
      <w:tr w:rsidR="00A466C2" w:rsidRPr="00A466C2" w14:paraId="75383AF6" w14:textId="77777777" w:rsidTr="002326ED">
        <w:trPr>
          <w:trHeight w:val="105"/>
        </w:trPr>
        <w:tc>
          <w:tcPr>
            <w:tcW w:w="1514" w:type="dxa"/>
            <w:vAlign w:val="center"/>
          </w:tcPr>
          <w:p w14:paraId="3D543364" w14:textId="777DAAAD" w:rsidR="00345C9A" w:rsidRPr="00A466C2" w:rsidRDefault="003D018A" w:rsidP="002326ED">
            <w:pPr>
              <w:pStyle w:val="NoSpacing"/>
              <w:spacing w:line="480" w:lineRule="auto"/>
              <w:rPr>
                <w:rFonts w:ascii="Arial" w:hAnsi="Arial" w:cs="Arial"/>
                <w:b/>
                <w:color w:val="000000" w:themeColor="text1"/>
                <w:sz w:val="23"/>
                <w:szCs w:val="23"/>
              </w:rPr>
            </w:pPr>
            <w:r>
              <w:rPr>
                <w:rFonts w:ascii="Arial" w:hAnsi="Arial" w:cs="Arial"/>
                <w:b/>
                <w:bCs/>
                <w:color w:val="000000" w:themeColor="text1"/>
                <w:sz w:val="23"/>
                <w:szCs w:val="23"/>
              </w:rPr>
              <w:t>ICP</w:t>
            </w:r>
          </w:p>
        </w:tc>
        <w:tc>
          <w:tcPr>
            <w:tcW w:w="7512" w:type="dxa"/>
            <w:vAlign w:val="center"/>
          </w:tcPr>
          <w:p w14:paraId="62446735" w14:textId="129E6DF4" w:rsidR="00345C9A" w:rsidRPr="00A466C2" w:rsidRDefault="003D018A" w:rsidP="002326ED">
            <w:pPr>
              <w:pStyle w:val="NoSpacing"/>
              <w:spacing w:line="480" w:lineRule="auto"/>
              <w:rPr>
                <w:rFonts w:ascii="Arial" w:hAnsi="Arial" w:cs="Arial"/>
                <w:color w:val="000000" w:themeColor="text1"/>
                <w:sz w:val="23"/>
                <w:szCs w:val="23"/>
              </w:rPr>
            </w:pPr>
            <w:r>
              <w:rPr>
                <w:rFonts w:ascii="Arial" w:hAnsi="Arial" w:cs="Arial"/>
                <w:bCs/>
                <w:color w:val="000000" w:themeColor="text1"/>
                <w:sz w:val="23"/>
                <w:szCs w:val="23"/>
              </w:rPr>
              <w:t>Insurance Core Principles</w:t>
            </w:r>
          </w:p>
        </w:tc>
      </w:tr>
      <w:tr w:rsidR="00A466C2" w:rsidRPr="00A466C2" w14:paraId="16F1B290" w14:textId="77777777" w:rsidTr="00FB0A70">
        <w:trPr>
          <w:trHeight w:val="141"/>
        </w:trPr>
        <w:tc>
          <w:tcPr>
            <w:tcW w:w="1514" w:type="dxa"/>
            <w:vAlign w:val="center"/>
          </w:tcPr>
          <w:p w14:paraId="248FD3F3" w14:textId="351BE62C" w:rsidR="00BD726C" w:rsidRPr="00A466C2" w:rsidRDefault="003D018A" w:rsidP="00E968F0">
            <w:pPr>
              <w:pStyle w:val="NoSpacing"/>
              <w:spacing w:line="480" w:lineRule="auto"/>
              <w:rPr>
                <w:rFonts w:ascii="Arial" w:hAnsi="Arial" w:cs="Arial"/>
                <w:b/>
                <w:bCs/>
                <w:color w:val="000000" w:themeColor="text1"/>
                <w:sz w:val="23"/>
                <w:szCs w:val="23"/>
              </w:rPr>
            </w:pPr>
            <w:r>
              <w:rPr>
                <w:rFonts w:ascii="Arial" w:hAnsi="Arial" w:cs="Arial"/>
                <w:b/>
                <w:bCs/>
                <w:color w:val="000000" w:themeColor="text1"/>
                <w:sz w:val="23"/>
                <w:szCs w:val="23"/>
              </w:rPr>
              <w:t>ORSA</w:t>
            </w:r>
          </w:p>
        </w:tc>
        <w:tc>
          <w:tcPr>
            <w:tcW w:w="7512" w:type="dxa"/>
            <w:vAlign w:val="center"/>
          </w:tcPr>
          <w:p w14:paraId="3CC2C44E" w14:textId="31DF137D" w:rsidR="00BD726C" w:rsidRPr="00A466C2" w:rsidRDefault="003D018A" w:rsidP="00E968F0">
            <w:pPr>
              <w:pStyle w:val="NoSpacing"/>
              <w:spacing w:line="480" w:lineRule="auto"/>
              <w:rPr>
                <w:rFonts w:ascii="Arial" w:hAnsi="Arial" w:cs="Arial"/>
                <w:bCs/>
                <w:color w:val="000000" w:themeColor="text1"/>
                <w:sz w:val="23"/>
                <w:szCs w:val="23"/>
              </w:rPr>
            </w:pPr>
            <w:r>
              <w:rPr>
                <w:rFonts w:ascii="Arial" w:hAnsi="Arial" w:cs="Arial"/>
                <w:color w:val="000000" w:themeColor="text1"/>
                <w:sz w:val="23"/>
                <w:szCs w:val="23"/>
              </w:rPr>
              <w:t>Own Risk and Solvency Assessment</w:t>
            </w:r>
          </w:p>
        </w:tc>
      </w:tr>
      <w:tr w:rsidR="00A466C2" w:rsidRPr="00A466C2" w14:paraId="0FBA997D" w14:textId="77777777" w:rsidTr="002326ED">
        <w:trPr>
          <w:trHeight w:val="283"/>
        </w:trPr>
        <w:tc>
          <w:tcPr>
            <w:tcW w:w="1514" w:type="dxa"/>
            <w:vAlign w:val="center"/>
          </w:tcPr>
          <w:p w14:paraId="3B96CA55" w14:textId="35884727" w:rsidR="00345C9A" w:rsidRPr="00A466C2" w:rsidRDefault="003D018A" w:rsidP="002326ED">
            <w:pPr>
              <w:pStyle w:val="NoSpacing"/>
              <w:spacing w:line="480" w:lineRule="auto"/>
              <w:rPr>
                <w:rFonts w:ascii="Arial" w:hAnsi="Arial" w:cs="Arial"/>
                <w:b/>
                <w:color w:val="000000" w:themeColor="text1"/>
                <w:sz w:val="23"/>
                <w:szCs w:val="23"/>
              </w:rPr>
            </w:pPr>
            <w:r>
              <w:rPr>
                <w:rFonts w:ascii="Arial" w:hAnsi="Arial" w:cs="Arial"/>
                <w:b/>
                <w:bCs/>
                <w:color w:val="000000" w:themeColor="text1"/>
                <w:sz w:val="23"/>
                <w:szCs w:val="23"/>
              </w:rPr>
              <w:t>HAF</w:t>
            </w:r>
          </w:p>
        </w:tc>
        <w:tc>
          <w:tcPr>
            <w:tcW w:w="7512" w:type="dxa"/>
            <w:vAlign w:val="center"/>
          </w:tcPr>
          <w:p w14:paraId="22DCE7F0" w14:textId="481E6987" w:rsidR="00345C9A" w:rsidRPr="00A466C2" w:rsidRDefault="003D018A" w:rsidP="002326ED">
            <w:pPr>
              <w:pStyle w:val="NoSpacing"/>
              <w:spacing w:line="480" w:lineRule="auto"/>
              <w:rPr>
                <w:rFonts w:ascii="Arial" w:hAnsi="Arial" w:cs="Arial"/>
                <w:bCs/>
                <w:color w:val="000000" w:themeColor="text1"/>
                <w:sz w:val="23"/>
                <w:szCs w:val="23"/>
              </w:rPr>
            </w:pPr>
            <w:r>
              <w:rPr>
                <w:rFonts w:ascii="Arial" w:hAnsi="Arial" w:cs="Arial"/>
                <w:bCs/>
                <w:color w:val="000000" w:themeColor="text1"/>
                <w:sz w:val="23"/>
                <w:szCs w:val="23"/>
              </w:rPr>
              <w:t>Head of Actuarial Function</w:t>
            </w:r>
            <w:r w:rsidR="00345C9A" w:rsidRPr="00A466C2">
              <w:rPr>
                <w:rFonts w:ascii="Arial" w:hAnsi="Arial" w:cs="Arial"/>
                <w:bCs/>
                <w:color w:val="000000" w:themeColor="text1"/>
                <w:sz w:val="23"/>
                <w:szCs w:val="23"/>
              </w:rPr>
              <w:t xml:space="preserve"> </w:t>
            </w:r>
          </w:p>
        </w:tc>
      </w:tr>
      <w:tr w:rsidR="00597D72" w:rsidRPr="00A466C2" w14:paraId="345F87AE" w14:textId="77777777" w:rsidTr="002326ED">
        <w:trPr>
          <w:trHeight w:val="141"/>
        </w:trPr>
        <w:tc>
          <w:tcPr>
            <w:tcW w:w="1514" w:type="dxa"/>
            <w:vAlign w:val="center"/>
          </w:tcPr>
          <w:p w14:paraId="5951C849" w14:textId="7FBA3E4F" w:rsidR="00597D72" w:rsidRPr="00A466C2" w:rsidRDefault="00597D72" w:rsidP="002326ED">
            <w:pPr>
              <w:pStyle w:val="NoSpacing"/>
              <w:spacing w:line="480" w:lineRule="auto"/>
              <w:rPr>
                <w:rFonts w:ascii="Arial" w:hAnsi="Arial" w:cs="Arial"/>
                <w:b/>
                <w:bCs/>
                <w:color w:val="000000" w:themeColor="text1"/>
                <w:sz w:val="23"/>
                <w:szCs w:val="23"/>
              </w:rPr>
            </w:pPr>
            <w:r w:rsidRPr="00A466C2">
              <w:rPr>
                <w:rFonts w:ascii="Arial" w:hAnsi="Arial" w:cs="Arial"/>
                <w:b/>
                <w:color w:val="000000" w:themeColor="text1"/>
                <w:sz w:val="23"/>
                <w:szCs w:val="23"/>
              </w:rPr>
              <w:t>PA</w:t>
            </w:r>
          </w:p>
        </w:tc>
        <w:tc>
          <w:tcPr>
            <w:tcW w:w="7512" w:type="dxa"/>
            <w:vAlign w:val="center"/>
          </w:tcPr>
          <w:p w14:paraId="317D70DC" w14:textId="26F54779" w:rsidR="00597D72" w:rsidRPr="00A466C2" w:rsidRDefault="00597D72" w:rsidP="002326ED">
            <w:pPr>
              <w:pStyle w:val="NoSpacing"/>
              <w:spacing w:line="480" w:lineRule="auto"/>
              <w:rPr>
                <w:rFonts w:ascii="Arial" w:hAnsi="Arial" w:cs="Arial"/>
                <w:bCs/>
                <w:color w:val="000000" w:themeColor="text1"/>
                <w:sz w:val="23"/>
                <w:szCs w:val="23"/>
              </w:rPr>
            </w:pPr>
            <w:r w:rsidRPr="00A466C2">
              <w:rPr>
                <w:rFonts w:ascii="Arial" w:hAnsi="Arial" w:cs="Arial"/>
                <w:color w:val="000000" w:themeColor="text1"/>
                <w:sz w:val="23"/>
                <w:szCs w:val="23"/>
              </w:rPr>
              <w:t>Prudential Authority</w:t>
            </w:r>
          </w:p>
        </w:tc>
      </w:tr>
      <w:tr w:rsidR="00597D72" w:rsidRPr="00A466C2" w14:paraId="17450662" w14:textId="77777777" w:rsidTr="00FB0A70">
        <w:trPr>
          <w:trHeight w:val="56"/>
        </w:trPr>
        <w:tc>
          <w:tcPr>
            <w:tcW w:w="1514" w:type="dxa"/>
            <w:vAlign w:val="center"/>
          </w:tcPr>
          <w:p w14:paraId="49E243A5" w14:textId="0F20B324" w:rsidR="00597D72" w:rsidRPr="00A466C2" w:rsidRDefault="00597D72" w:rsidP="00E968F0">
            <w:pPr>
              <w:pStyle w:val="NoSpacing"/>
              <w:spacing w:line="480" w:lineRule="auto"/>
              <w:rPr>
                <w:rFonts w:ascii="Arial" w:hAnsi="Arial" w:cs="Arial"/>
                <w:b/>
                <w:color w:val="000000" w:themeColor="text1"/>
                <w:sz w:val="23"/>
                <w:szCs w:val="23"/>
              </w:rPr>
            </w:pPr>
            <w:r w:rsidRPr="00A466C2">
              <w:rPr>
                <w:rFonts w:ascii="Arial" w:hAnsi="Arial" w:cs="Arial"/>
                <w:b/>
                <w:bCs/>
                <w:color w:val="000000" w:themeColor="text1"/>
                <w:sz w:val="23"/>
                <w:szCs w:val="23"/>
              </w:rPr>
              <w:t>QIS</w:t>
            </w:r>
          </w:p>
        </w:tc>
        <w:tc>
          <w:tcPr>
            <w:tcW w:w="7512" w:type="dxa"/>
            <w:vAlign w:val="center"/>
          </w:tcPr>
          <w:p w14:paraId="0849EE3B" w14:textId="74852159" w:rsidR="00597D72" w:rsidRPr="00A466C2" w:rsidRDefault="00597D72" w:rsidP="00E968F0">
            <w:pPr>
              <w:pStyle w:val="NoSpacing"/>
              <w:spacing w:line="480" w:lineRule="auto"/>
              <w:rPr>
                <w:rFonts w:ascii="Arial" w:hAnsi="Arial" w:cs="Arial"/>
                <w:color w:val="000000" w:themeColor="text1"/>
                <w:sz w:val="23"/>
                <w:szCs w:val="23"/>
              </w:rPr>
            </w:pPr>
            <w:r w:rsidRPr="00A466C2">
              <w:rPr>
                <w:rFonts w:ascii="Arial" w:hAnsi="Arial" w:cs="Arial"/>
                <w:bCs/>
                <w:color w:val="000000" w:themeColor="text1"/>
                <w:sz w:val="23"/>
                <w:szCs w:val="23"/>
              </w:rPr>
              <w:t>Quantitative Impact Study</w:t>
            </w:r>
          </w:p>
        </w:tc>
      </w:tr>
      <w:tr w:rsidR="00597D72" w:rsidRPr="00A466C2" w14:paraId="61F1371E" w14:textId="77777777" w:rsidTr="00FB0A70">
        <w:trPr>
          <w:trHeight w:val="272"/>
        </w:trPr>
        <w:tc>
          <w:tcPr>
            <w:tcW w:w="1514" w:type="dxa"/>
            <w:vAlign w:val="center"/>
          </w:tcPr>
          <w:p w14:paraId="7148DE60" w14:textId="77F2EDF8" w:rsidR="00597D72" w:rsidRPr="00A466C2" w:rsidRDefault="00597D72" w:rsidP="00597953">
            <w:pPr>
              <w:pStyle w:val="NoSpacing"/>
              <w:spacing w:line="480" w:lineRule="auto"/>
              <w:rPr>
                <w:rFonts w:ascii="Arial" w:hAnsi="Arial" w:cs="Arial"/>
                <w:b/>
                <w:bCs/>
                <w:color w:val="000000" w:themeColor="text1"/>
                <w:sz w:val="23"/>
                <w:szCs w:val="23"/>
              </w:rPr>
            </w:pPr>
            <w:r>
              <w:rPr>
                <w:rFonts w:ascii="Arial" w:hAnsi="Arial" w:cs="Arial"/>
                <w:b/>
                <w:bCs/>
                <w:color w:val="000000" w:themeColor="text1"/>
                <w:sz w:val="23"/>
                <w:szCs w:val="23"/>
              </w:rPr>
              <w:t>ZAR</w:t>
            </w:r>
          </w:p>
        </w:tc>
        <w:tc>
          <w:tcPr>
            <w:tcW w:w="7512" w:type="dxa"/>
            <w:vAlign w:val="center"/>
          </w:tcPr>
          <w:p w14:paraId="1387F5E6" w14:textId="3DA0471E" w:rsidR="00597D72" w:rsidRPr="00A466C2" w:rsidRDefault="00597D72" w:rsidP="00597953">
            <w:pPr>
              <w:pStyle w:val="NoSpacing"/>
              <w:spacing w:line="480" w:lineRule="auto"/>
              <w:rPr>
                <w:rFonts w:ascii="Arial" w:hAnsi="Arial" w:cs="Arial"/>
                <w:bCs/>
                <w:color w:val="000000" w:themeColor="text1"/>
                <w:sz w:val="23"/>
                <w:szCs w:val="23"/>
              </w:rPr>
            </w:pPr>
            <w:r>
              <w:rPr>
                <w:rFonts w:ascii="Arial" w:hAnsi="Arial" w:cs="Arial"/>
                <w:bCs/>
                <w:color w:val="000000" w:themeColor="text1"/>
                <w:sz w:val="23"/>
                <w:szCs w:val="23"/>
              </w:rPr>
              <w:t>South African Rand</w:t>
            </w:r>
          </w:p>
        </w:tc>
      </w:tr>
      <w:tr w:rsidR="00597D72" w:rsidRPr="00A466C2" w14:paraId="336A6DFA" w14:textId="77777777" w:rsidTr="00FB0A70">
        <w:trPr>
          <w:trHeight w:val="272"/>
        </w:trPr>
        <w:tc>
          <w:tcPr>
            <w:tcW w:w="1514" w:type="dxa"/>
            <w:vAlign w:val="center"/>
          </w:tcPr>
          <w:p w14:paraId="24630620" w14:textId="48D525D6" w:rsidR="00597D72" w:rsidRPr="00A466C2" w:rsidRDefault="00597D72" w:rsidP="00597953">
            <w:pPr>
              <w:pStyle w:val="NoSpacing"/>
              <w:spacing w:line="480" w:lineRule="auto"/>
              <w:rPr>
                <w:rFonts w:ascii="Arial" w:hAnsi="Arial" w:cs="Arial"/>
                <w:b/>
                <w:bCs/>
                <w:color w:val="000000" w:themeColor="text1"/>
                <w:sz w:val="23"/>
                <w:szCs w:val="23"/>
              </w:rPr>
            </w:pPr>
          </w:p>
        </w:tc>
        <w:tc>
          <w:tcPr>
            <w:tcW w:w="7512" w:type="dxa"/>
            <w:vAlign w:val="center"/>
          </w:tcPr>
          <w:p w14:paraId="05EEC0E3" w14:textId="341957B6" w:rsidR="00597D72" w:rsidRPr="00A466C2" w:rsidRDefault="00597D72" w:rsidP="00597953">
            <w:pPr>
              <w:pStyle w:val="NoSpacing"/>
              <w:spacing w:line="480" w:lineRule="auto"/>
              <w:rPr>
                <w:rFonts w:ascii="Arial" w:hAnsi="Arial" w:cs="Arial"/>
                <w:bCs/>
                <w:color w:val="000000" w:themeColor="text1"/>
                <w:sz w:val="23"/>
                <w:szCs w:val="23"/>
              </w:rPr>
            </w:pPr>
          </w:p>
        </w:tc>
      </w:tr>
      <w:tr w:rsidR="00597D72" w:rsidRPr="00A466C2" w14:paraId="5EAEB6F2" w14:textId="77777777" w:rsidTr="00FB0A70">
        <w:trPr>
          <w:trHeight w:val="272"/>
        </w:trPr>
        <w:tc>
          <w:tcPr>
            <w:tcW w:w="1514" w:type="dxa"/>
            <w:vAlign w:val="center"/>
          </w:tcPr>
          <w:p w14:paraId="1ED69416" w14:textId="7D470559" w:rsidR="00597D72" w:rsidRPr="00A466C2" w:rsidRDefault="00597D72" w:rsidP="00597953">
            <w:pPr>
              <w:pStyle w:val="NoSpacing"/>
              <w:spacing w:line="480" w:lineRule="auto"/>
              <w:rPr>
                <w:rFonts w:ascii="Arial" w:hAnsi="Arial" w:cs="Arial"/>
                <w:b/>
                <w:bCs/>
                <w:color w:val="000000" w:themeColor="text1"/>
                <w:sz w:val="23"/>
                <w:szCs w:val="23"/>
              </w:rPr>
            </w:pPr>
          </w:p>
        </w:tc>
        <w:tc>
          <w:tcPr>
            <w:tcW w:w="7512" w:type="dxa"/>
            <w:vAlign w:val="center"/>
          </w:tcPr>
          <w:p w14:paraId="28FBCB30" w14:textId="28A52C55" w:rsidR="00597D72" w:rsidRPr="00A466C2" w:rsidRDefault="00597D72" w:rsidP="00597953">
            <w:pPr>
              <w:pStyle w:val="NoSpacing"/>
              <w:spacing w:line="480" w:lineRule="auto"/>
              <w:rPr>
                <w:rFonts w:ascii="Arial" w:hAnsi="Arial" w:cs="Arial"/>
                <w:bCs/>
                <w:color w:val="000000" w:themeColor="text1"/>
                <w:sz w:val="23"/>
                <w:szCs w:val="23"/>
              </w:rPr>
            </w:pPr>
          </w:p>
        </w:tc>
      </w:tr>
      <w:tr w:rsidR="00597D72" w:rsidRPr="00A466C2" w14:paraId="10D16276" w14:textId="77777777" w:rsidTr="00FB0A70">
        <w:trPr>
          <w:trHeight w:val="272"/>
        </w:trPr>
        <w:tc>
          <w:tcPr>
            <w:tcW w:w="1514" w:type="dxa"/>
            <w:vAlign w:val="center"/>
          </w:tcPr>
          <w:p w14:paraId="7F07E09D" w14:textId="60670013" w:rsidR="00597D72" w:rsidRDefault="00597D72" w:rsidP="00597953">
            <w:pPr>
              <w:pStyle w:val="NoSpacing"/>
              <w:spacing w:line="480" w:lineRule="auto"/>
              <w:rPr>
                <w:rFonts w:ascii="Arial" w:hAnsi="Arial" w:cs="Arial"/>
                <w:b/>
                <w:bCs/>
                <w:color w:val="000000" w:themeColor="text1"/>
                <w:sz w:val="23"/>
                <w:szCs w:val="23"/>
              </w:rPr>
            </w:pPr>
          </w:p>
        </w:tc>
        <w:tc>
          <w:tcPr>
            <w:tcW w:w="7512" w:type="dxa"/>
            <w:vAlign w:val="center"/>
          </w:tcPr>
          <w:p w14:paraId="6C40E656" w14:textId="6A7AB284" w:rsidR="00597D72" w:rsidRPr="00A466C2" w:rsidRDefault="00597D72" w:rsidP="00597953">
            <w:pPr>
              <w:pStyle w:val="NoSpacing"/>
              <w:spacing w:line="480" w:lineRule="auto"/>
              <w:rPr>
                <w:rFonts w:ascii="Arial" w:hAnsi="Arial" w:cs="Arial"/>
                <w:bCs/>
                <w:color w:val="000000" w:themeColor="text1"/>
                <w:sz w:val="23"/>
                <w:szCs w:val="23"/>
              </w:rPr>
            </w:pPr>
          </w:p>
        </w:tc>
      </w:tr>
    </w:tbl>
    <w:p w14:paraId="361F073D" w14:textId="77777777" w:rsidR="00C40F87" w:rsidRPr="007E12E3" w:rsidRDefault="00C40F87">
      <w:pPr>
        <w:spacing w:after="160" w:line="259" w:lineRule="auto"/>
        <w:rPr>
          <w:rFonts w:ascii="Arial" w:eastAsiaTheme="majorEastAsia" w:hAnsi="Arial" w:cs="Arial"/>
          <w:b/>
          <w:sz w:val="23"/>
          <w:szCs w:val="23"/>
        </w:rPr>
      </w:pPr>
      <w:r w:rsidRPr="007E12E3">
        <w:rPr>
          <w:rFonts w:cs="Arial"/>
          <w:sz w:val="23"/>
          <w:szCs w:val="23"/>
        </w:rPr>
        <w:br w:type="page"/>
      </w:r>
    </w:p>
    <w:p w14:paraId="501F2294" w14:textId="77777777" w:rsidR="00760C66" w:rsidRPr="00061EDF" w:rsidRDefault="00097084" w:rsidP="007A5DF7">
      <w:pPr>
        <w:pStyle w:val="Heading1"/>
        <w:ind w:left="567" w:hanging="567"/>
        <w:rPr>
          <w:color w:val="auto"/>
        </w:rPr>
      </w:pPr>
      <w:bookmarkStart w:id="3" w:name="_Toc142983744"/>
      <w:r w:rsidRPr="00061EDF">
        <w:rPr>
          <w:color w:val="auto"/>
        </w:rPr>
        <w:lastRenderedPageBreak/>
        <w:t>Introduction</w:t>
      </w:r>
      <w:bookmarkEnd w:id="3"/>
      <w:r w:rsidR="00760C66" w:rsidRPr="00061EDF">
        <w:rPr>
          <w:color w:val="auto"/>
        </w:rPr>
        <w:t xml:space="preserve"> </w:t>
      </w:r>
    </w:p>
    <w:p w14:paraId="60017A3F" w14:textId="31B43B9A" w:rsidR="0091503F" w:rsidRPr="00061EDF" w:rsidRDefault="00033933" w:rsidP="00F71EB9">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sidRPr="00033933">
        <w:rPr>
          <w:rFonts w:ascii="Arial" w:hAnsi="Arial" w:cs="Arial"/>
          <w:sz w:val="23"/>
          <w:szCs w:val="23"/>
        </w:rPr>
        <w:t xml:space="preserve">Liquidity risk refers to the potential scenario where an insurer, despite being solvent, might be unable to </w:t>
      </w:r>
      <w:r w:rsidR="00C91E01" w:rsidRPr="00033933">
        <w:rPr>
          <w:rFonts w:ascii="Arial" w:hAnsi="Arial" w:cs="Arial"/>
          <w:sz w:val="23"/>
          <w:szCs w:val="23"/>
        </w:rPr>
        <w:t>fulfil</w:t>
      </w:r>
      <w:r w:rsidRPr="00033933">
        <w:rPr>
          <w:rFonts w:ascii="Arial" w:hAnsi="Arial" w:cs="Arial"/>
          <w:sz w:val="23"/>
          <w:szCs w:val="23"/>
        </w:rPr>
        <w:t xml:space="preserve"> its financial commitments in a timely manner or without bearing substantial unforeseen expenses. It’s crucial to distinguish liquidity from solvency. While both are vital for an insurer’s ongoing viability, liquidity possesses a “real-time” aspect that solvency might lack. This means that liquidity is concerned with the immediate ability to discharge liabilities as they become </w:t>
      </w:r>
      <w:r w:rsidR="00C91E01" w:rsidRPr="00033933">
        <w:rPr>
          <w:rFonts w:ascii="Arial" w:hAnsi="Arial" w:cs="Arial"/>
          <w:sz w:val="23"/>
          <w:szCs w:val="23"/>
        </w:rPr>
        <w:t>due.</w:t>
      </w:r>
      <w:r w:rsidR="0091503F" w:rsidRPr="00061EDF">
        <w:rPr>
          <w:rFonts w:ascii="Arial" w:hAnsi="Arial" w:cs="Arial"/>
          <w:sz w:val="23"/>
          <w:szCs w:val="23"/>
        </w:rPr>
        <w:t xml:space="preserve"> </w:t>
      </w:r>
    </w:p>
    <w:p w14:paraId="556ED057" w14:textId="3C26A7F0" w:rsidR="00556908" w:rsidRPr="00061EDF" w:rsidRDefault="0091503F" w:rsidP="00F71EB9">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sidRPr="00061EDF">
        <w:rPr>
          <w:rFonts w:ascii="Arial" w:hAnsi="Arial" w:cs="Arial"/>
          <w:sz w:val="23"/>
          <w:szCs w:val="23"/>
        </w:rPr>
        <w:t>In June 2020,</w:t>
      </w:r>
      <w:r w:rsidR="006547D9" w:rsidRPr="00061EDF">
        <w:rPr>
          <w:rFonts w:ascii="Arial" w:hAnsi="Arial" w:cs="Arial"/>
          <w:sz w:val="23"/>
          <w:szCs w:val="23"/>
        </w:rPr>
        <w:t xml:space="preserve"> the </w:t>
      </w:r>
      <w:r w:rsidRPr="00061EDF">
        <w:rPr>
          <w:rFonts w:ascii="Arial" w:hAnsi="Arial" w:cs="Arial"/>
          <w:sz w:val="23"/>
          <w:szCs w:val="23"/>
        </w:rPr>
        <w:t>IAIS</w:t>
      </w:r>
      <w:r w:rsidR="00CD7448" w:rsidRPr="00061EDF">
        <w:rPr>
          <w:rFonts w:ascii="Arial" w:hAnsi="Arial" w:cs="Arial"/>
          <w:sz w:val="23"/>
          <w:szCs w:val="23"/>
        </w:rPr>
        <w:t xml:space="preserve"> published the </w:t>
      </w:r>
      <w:r w:rsidRPr="00061EDF">
        <w:rPr>
          <w:rFonts w:ascii="Arial" w:hAnsi="Arial" w:cs="Arial"/>
          <w:sz w:val="23"/>
          <w:szCs w:val="23"/>
        </w:rPr>
        <w:t xml:space="preserve">Application Paper on Liquidity Risk Management which provides guidance on the supervisory material related </w:t>
      </w:r>
      <w:r w:rsidR="00D937F8" w:rsidRPr="00061EDF">
        <w:rPr>
          <w:rFonts w:ascii="Arial" w:hAnsi="Arial" w:cs="Arial"/>
          <w:sz w:val="23"/>
          <w:szCs w:val="23"/>
        </w:rPr>
        <w:t>to</w:t>
      </w:r>
      <w:r w:rsidRPr="00061EDF">
        <w:rPr>
          <w:rFonts w:ascii="Arial" w:hAnsi="Arial" w:cs="Arial"/>
          <w:sz w:val="23"/>
          <w:szCs w:val="23"/>
        </w:rPr>
        <w:t xml:space="preserve"> liquidity risk management in the Insurance Core Principles (ICPs) and the Common Framework for the supervision of Internationally Active Insurance Groups (ComFrame).</w:t>
      </w:r>
    </w:p>
    <w:p w14:paraId="1423F05E" w14:textId="33A8494C" w:rsidR="00D937F8" w:rsidRPr="00061EDF" w:rsidRDefault="00D937F8" w:rsidP="00F71EB9">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sidRPr="00061EDF">
        <w:rPr>
          <w:rFonts w:ascii="Arial" w:hAnsi="Arial" w:cs="Arial"/>
          <w:sz w:val="23"/>
          <w:szCs w:val="23"/>
        </w:rPr>
        <w:t>While the Application Paper is not intended to establish standards or expectations for the implementation of a liquidity risk management framework, it provides for best practice guidance on liquidity risk management</w:t>
      </w:r>
      <w:r w:rsidR="00686B5A" w:rsidRPr="00061EDF">
        <w:rPr>
          <w:rFonts w:ascii="Arial" w:hAnsi="Arial" w:cs="Arial"/>
          <w:sz w:val="23"/>
          <w:szCs w:val="23"/>
        </w:rPr>
        <w:t>.</w:t>
      </w:r>
    </w:p>
    <w:p w14:paraId="2C54956B" w14:textId="53BA954D" w:rsidR="00D937F8" w:rsidRPr="00061EDF" w:rsidRDefault="00D937F8" w:rsidP="00F71EB9">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sidRPr="00061EDF">
        <w:rPr>
          <w:rFonts w:ascii="Arial" w:hAnsi="Arial" w:cs="Arial"/>
          <w:sz w:val="23"/>
          <w:szCs w:val="23"/>
        </w:rPr>
        <w:t>Traditionally, insurers typically rely on premiums, income from investments</w:t>
      </w:r>
      <w:r w:rsidR="00D82F36" w:rsidRPr="00061EDF">
        <w:rPr>
          <w:rFonts w:ascii="Arial" w:hAnsi="Arial" w:cs="Arial"/>
          <w:sz w:val="23"/>
          <w:szCs w:val="23"/>
        </w:rPr>
        <w:t>,</w:t>
      </w:r>
      <w:r w:rsidRPr="00061EDF">
        <w:rPr>
          <w:rFonts w:ascii="Arial" w:hAnsi="Arial" w:cs="Arial"/>
          <w:sz w:val="23"/>
          <w:szCs w:val="23"/>
        </w:rPr>
        <w:t xml:space="preserve"> and other sources for liquidity. Nevertheless, insurers must maintain adequate liquidity to fulfil expected and unexpected payment obligations and funding needs. Liquidity risk management is therefore essential to the operation of the insurer, the protection of policyholders, and financial stability.</w:t>
      </w:r>
    </w:p>
    <w:p w14:paraId="2631F143" w14:textId="111C46DD" w:rsidR="00DA0947" w:rsidRPr="00061EDF" w:rsidRDefault="00DA0947" w:rsidP="00F71EB9">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sidRPr="00061EDF">
        <w:rPr>
          <w:rFonts w:ascii="Arial" w:hAnsi="Arial" w:cs="Arial"/>
          <w:sz w:val="23"/>
          <w:szCs w:val="23"/>
        </w:rPr>
        <w:t xml:space="preserve">The </w:t>
      </w:r>
      <w:r w:rsidR="00556908" w:rsidRPr="00061EDF">
        <w:rPr>
          <w:rFonts w:ascii="Arial" w:hAnsi="Arial" w:cs="Arial"/>
          <w:sz w:val="23"/>
          <w:szCs w:val="23"/>
        </w:rPr>
        <w:t xml:space="preserve">updated </w:t>
      </w:r>
      <w:r w:rsidRPr="00061EDF">
        <w:rPr>
          <w:rFonts w:ascii="Arial" w:hAnsi="Arial" w:cs="Arial"/>
          <w:sz w:val="23"/>
          <w:szCs w:val="23"/>
        </w:rPr>
        <w:t>framework seek</w:t>
      </w:r>
      <w:r w:rsidR="004D3096" w:rsidRPr="00061EDF">
        <w:rPr>
          <w:rFonts w:ascii="Arial" w:hAnsi="Arial" w:cs="Arial"/>
          <w:sz w:val="23"/>
          <w:szCs w:val="23"/>
        </w:rPr>
        <w:t>s</w:t>
      </w:r>
      <w:r w:rsidRPr="00061EDF">
        <w:rPr>
          <w:rFonts w:ascii="Arial" w:hAnsi="Arial" w:cs="Arial"/>
          <w:sz w:val="23"/>
          <w:szCs w:val="23"/>
        </w:rPr>
        <w:t xml:space="preserve"> to address concerns</w:t>
      </w:r>
      <w:r w:rsidR="00E76BF1" w:rsidRPr="00061EDF">
        <w:rPr>
          <w:rFonts w:ascii="Arial" w:hAnsi="Arial" w:cs="Arial"/>
          <w:sz w:val="23"/>
          <w:szCs w:val="23"/>
        </w:rPr>
        <w:t xml:space="preserve"> </w:t>
      </w:r>
      <w:r w:rsidR="00556908" w:rsidRPr="00061EDF">
        <w:rPr>
          <w:rFonts w:ascii="Arial" w:hAnsi="Arial" w:cs="Arial"/>
          <w:sz w:val="23"/>
          <w:szCs w:val="23"/>
        </w:rPr>
        <w:t xml:space="preserve">that </w:t>
      </w:r>
      <w:r w:rsidR="00D937F8" w:rsidRPr="00061EDF">
        <w:rPr>
          <w:rFonts w:ascii="Arial" w:hAnsi="Arial" w:cs="Arial"/>
          <w:sz w:val="23"/>
          <w:szCs w:val="23"/>
        </w:rPr>
        <w:t>the current liquidity risk framework does not address the non-traditional insurance business activities</w:t>
      </w:r>
      <w:r w:rsidR="00E75F5F">
        <w:rPr>
          <w:rFonts w:ascii="Arial" w:hAnsi="Arial" w:cs="Arial"/>
          <w:sz w:val="23"/>
          <w:szCs w:val="23"/>
        </w:rPr>
        <w:t>,</w:t>
      </w:r>
      <w:r w:rsidR="00D937F8" w:rsidRPr="00061EDF">
        <w:rPr>
          <w:rFonts w:ascii="Arial" w:hAnsi="Arial" w:cs="Arial"/>
          <w:sz w:val="23"/>
          <w:szCs w:val="23"/>
        </w:rPr>
        <w:t xml:space="preserve"> which can result in liquidity strain for some insurers. These include collateral and margin calls posted for mark-to-market movements</w:t>
      </w:r>
      <w:r w:rsidR="00E2162A">
        <w:rPr>
          <w:rStyle w:val="FootnoteReference"/>
          <w:rFonts w:ascii="Arial" w:hAnsi="Arial" w:cs="Arial"/>
          <w:sz w:val="23"/>
          <w:szCs w:val="23"/>
        </w:rPr>
        <w:footnoteReference w:id="1"/>
      </w:r>
      <w:r w:rsidR="00D937F8" w:rsidRPr="00061EDF">
        <w:rPr>
          <w:rFonts w:ascii="Arial" w:hAnsi="Arial" w:cs="Arial"/>
          <w:sz w:val="23"/>
          <w:szCs w:val="23"/>
        </w:rPr>
        <w:t xml:space="preserve"> in the value of the contract, securities lending transactions </w:t>
      </w:r>
      <w:r w:rsidR="00104AD5" w:rsidRPr="00061EDF">
        <w:rPr>
          <w:rFonts w:ascii="Arial" w:hAnsi="Arial" w:cs="Arial"/>
          <w:sz w:val="23"/>
          <w:szCs w:val="23"/>
        </w:rPr>
        <w:t xml:space="preserve">(SLTs) </w:t>
      </w:r>
      <w:r w:rsidR="00D937F8" w:rsidRPr="00061EDF">
        <w:rPr>
          <w:rFonts w:ascii="Arial" w:hAnsi="Arial" w:cs="Arial"/>
          <w:sz w:val="23"/>
          <w:szCs w:val="23"/>
        </w:rPr>
        <w:t>if funds received are reinvested in illiquid assets</w:t>
      </w:r>
      <w:r w:rsidR="00E75F5F">
        <w:rPr>
          <w:rFonts w:ascii="Arial" w:hAnsi="Arial" w:cs="Arial"/>
          <w:sz w:val="23"/>
          <w:szCs w:val="23"/>
        </w:rPr>
        <w:t>, and there are sudden recalls of funds,</w:t>
      </w:r>
      <w:r w:rsidR="00D937F8" w:rsidRPr="00061EDF">
        <w:rPr>
          <w:rFonts w:ascii="Arial" w:hAnsi="Arial" w:cs="Arial"/>
          <w:sz w:val="23"/>
          <w:szCs w:val="23"/>
        </w:rPr>
        <w:t xml:space="preserve"> which can result in a forced sale of assets.</w:t>
      </w:r>
    </w:p>
    <w:p w14:paraId="57AF2FEA" w14:textId="78B38588" w:rsidR="006547D9" w:rsidRPr="00061EDF" w:rsidRDefault="0073438F" w:rsidP="00F71EB9">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sidRPr="00061EDF">
        <w:rPr>
          <w:rFonts w:ascii="Arial" w:hAnsi="Arial" w:cs="Arial"/>
          <w:sz w:val="23"/>
          <w:szCs w:val="23"/>
        </w:rPr>
        <w:lastRenderedPageBreak/>
        <w:t xml:space="preserve">The framework </w:t>
      </w:r>
      <w:r w:rsidR="006547D9" w:rsidRPr="00061EDF">
        <w:rPr>
          <w:rFonts w:ascii="Arial" w:hAnsi="Arial" w:cs="Arial"/>
          <w:sz w:val="23"/>
          <w:szCs w:val="23"/>
        </w:rPr>
        <w:t>set</w:t>
      </w:r>
      <w:r w:rsidRPr="00061EDF">
        <w:rPr>
          <w:rFonts w:ascii="Arial" w:hAnsi="Arial" w:cs="Arial"/>
          <w:sz w:val="23"/>
          <w:szCs w:val="23"/>
        </w:rPr>
        <w:t>s</w:t>
      </w:r>
      <w:r w:rsidR="006547D9" w:rsidRPr="00061EDF">
        <w:rPr>
          <w:rFonts w:ascii="Arial" w:hAnsi="Arial" w:cs="Arial"/>
          <w:sz w:val="23"/>
          <w:szCs w:val="23"/>
        </w:rPr>
        <w:t xml:space="preserve"> out the expectations </w:t>
      </w:r>
      <w:r w:rsidR="00E35F4F" w:rsidRPr="00061EDF">
        <w:rPr>
          <w:rFonts w:ascii="Arial" w:hAnsi="Arial" w:cs="Arial"/>
          <w:sz w:val="23"/>
          <w:szCs w:val="23"/>
        </w:rPr>
        <w:t>for</w:t>
      </w:r>
      <w:r w:rsidR="006547D9" w:rsidRPr="00061EDF">
        <w:rPr>
          <w:rFonts w:ascii="Arial" w:hAnsi="Arial" w:cs="Arial"/>
          <w:sz w:val="23"/>
          <w:szCs w:val="23"/>
        </w:rPr>
        <w:t xml:space="preserve"> the management of </w:t>
      </w:r>
      <w:r w:rsidR="00D937F8" w:rsidRPr="00061EDF">
        <w:rPr>
          <w:rFonts w:ascii="Arial" w:hAnsi="Arial" w:cs="Arial"/>
          <w:sz w:val="23"/>
          <w:szCs w:val="23"/>
        </w:rPr>
        <w:t xml:space="preserve">liquidity risk </w:t>
      </w:r>
      <w:r w:rsidR="006547D9" w:rsidRPr="00061EDF">
        <w:rPr>
          <w:rFonts w:ascii="Arial" w:hAnsi="Arial" w:cs="Arial"/>
          <w:sz w:val="23"/>
          <w:szCs w:val="23"/>
        </w:rPr>
        <w:t>in terms</w:t>
      </w:r>
      <w:r w:rsidR="00D937F8" w:rsidRPr="00061EDF">
        <w:rPr>
          <w:rFonts w:ascii="Arial" w:hAnsi="Arial" w:cs="Arial"/>
          <w:sz w:val="23"/>
          <w:szCs w:val="23"/>
        </w:rPr>
        <w:t xml:space="preserve"> of</w:t>
      </w:r>
      <w:r w:rsidR="006547D9" w:rsidRPr="00061EDF">
        <w:rPr>
          <w:rFonts w:ascii="Arial" w:hAnsi="Arial" w:cs="Arial"/>
          <w:sz w:val="23"/>
          <w:szCs w:val="23"/>
        </w:rPr>
        <w:t xml:space="preserve"> </w:t>
      </w:r>
      <w:r w:rsidR="00D937F8" w:rsidRPr="00061EDF">
        <w:rPr>
          <w:rFonts w:ascii="Arial" w:hAnsi="Arial" w:cs="Arial"/>
          <w:sz w:val="23"/>
          <w:szCs w:val="23"/>
        </w:rPr>
        <w:t>identification, assessment, management, reporting, and planning of risk-mitigating decision-makin</w:t>
      </w:r>
      <w:r w:rsidR="00C00EEF" w:rsidRPr="00061EDF">
        <w:rPr>
          <w:rFonts w:ascii="Arial" w:hAnsi="Arial" w:cs="Arial"/>
          <w:sz w:val="23"/>
          <w:szCs w:val="23"/>
        </w:rPr>
        <w:t>g</w:t>
      </w:r>
      <w:r w:rsidR="006547D9" w:rsidRPr="00061EDF">
        <w:rPr>
          <w:rFonts w:ascii="Arial" w:hAnsi="Arial" w:cs="Arial"/>
          <w:sz w:val="23"/>
          <w:szCs w:val="23"/>
        </w:rPr>
        <w:t>.</w:t>
      </w:r>
      <w:r w:rsidR="00DA2D7E" w:rsidRPr="00061EDF">
        <w:rPr>
          <w:rFonts w:ascii="Arial" w:hAnsi="Arial" w:cs="Arial"/>
          <w:sz w:val="23"/>
          <w:szCs w:val="23"/>
        </w:rPr>
        <w:t xml:space="preserve"> </w:t>
      </w:r>
    </w:p>
    <w:p w14:paraId="725ABBDC" w14:textId="5B2C1138" w:rsidR="0049360A" w:rsidRPr="00061EDF" w:rsidRDefault="00674394" w:rsidP="00F71EB9">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sidRPr="00061EDF">
        <w:rPr>
          <w:rFonts w:ascii="Arial" w:hAnsi="Arial" w:cs="Arial"/>
          <w:sz w:val="23"/>
          <w:szCs w:val="23"/>
        </w:rPr>
        <w:t>Pursuant</w:t>
      </w:r>
      <w:r w:rsidR="004B5C12" w:rsidRPr="00061EDF">
        <w:rPr>
          <w:rFonts w:ascii="Arial" w:hAnsi="Arial" w:cs="Arial"/>
          <w:sz w:val="23"/>
          <w:szCs w:val="23"/>
        </w:rPr>
        <w:t xml:space="preserve"> to the </w:t>
      </w:r>
      <w:r w:rsidR="00D937F8" w:rsidRPr="00061EDF">
        <w:rPr>
          <w:rFonts w:ascii="Arial" w:hAnsi="Arial" w:cs="Arial"/>
          <w:sz w:val="23"/>
          <w:szCs w:val="23"/>
        </w:rPr>
        <w:t>IAIS</w:t>
      </w:r>
      <w:r w:rsidR="006633ED" w:rsidRPr="00061EDF">
        <w:rPr>
          <w:rFonts w:ascii="Arial" w:hAnsi="Arial" w:cs="Arial"/>
          <w:sz w:val="23"/>
          <w:szCs w:val="23"/>
        </w:rPr>
        <w:t xml:space="preserve"> </w:t>
      </w:r>
      <w:r w:rsidR="004B5C12" w:rsidRPr="00061EDF">
        <w:rPr>
          <w:rFonts w:ascii="Arial" w:hAnsi="Arial" w:cs="Arial"/>
          <w:sz w:val="23"/>
          <w:szCs w:val="23"/>
        </w:rPr>
        <w:t>issuing</w:t>
      </w:r>
      <w:r w:rsidR="0005083E" w:rsidRPr="00061EDF">
        <w:rPr>
          <w:rFonts w:ascii="Arial" w:hAnsi="Arial" w:cs="Arial"/>
          <w:sz w:val="23"/>
          <w:szCs w:val="23"/>
        </w:rPr>
        <w:t xml:space="preserve"> </w:t>
      </w:r>
      <w:r w:rsidR="0014228F" w:rsidRPr="00061EDF">
        <w:rPr>
          <w:rFonts w:ascii="Arial" w:hAnsi="Arial" w:cs="Arial"/>
          <w:sz w:val="23"/>
          <w:szCs w:val="23"/>
        </w:rPr>
        <w:t xml:space="preserve">the </w:t>
      </w:r>
      <w:r w:rsidR="00D937F8" w:rsidRPr="00061EDF">
        <w:rPr>
          <w:rFonts w:ascii="Arial" w:hAnsi="Arial" w:cs="Arial"/>
          <w:sz w:val="23"/>
          <w:szCs w:val="23"/>
        </w:rPr>
        <w:t>Application Paper on Liquidity Risk Management</w:t>
      </w:r>
      <w:r w:rsidR="00CF0E2E" w:rsidRPr="00061EDF">
        <w:rPr>
          <w:rFonts w:ascii="Arial" w:hAnsi="Arial" w:cs="Arial"/>
          <w:sz w:val="23"/>
          <w:szCs w:val="23"/>
        </w:rPr>
        <w:t>, i</w:t>
      </w:r>
      <w:r w:rsidR="004B5C12" w:rsidRPr="00061EDF">
        <w:rPr>
          <w:rFonts w:ascii="Arial" w:hAnsi="Arial" w:cs="Arial"/>
          <w:sz w:val="23"/>
          <w:szCs w:val="23"/>
        </w:rPr>
        <w:t>n</w:t>
      </w:r>
      <w:r w:rsidR="00635A10" w:rsidRPr="00061EDF">
        <w:rPr>
          <w:rFonts w:ascii="Arial" w:hAnsi="Arial" w:cs="Arial"/>
          <w:sz w:val="23"/>
          <w:szCs w:val="23"/>
        </w:rPr>
        <w:t xml:space="preserve"> </w:t>
      </w:r>
      <w:r w:rsidR="00D937F8" w:rsidRPr="00061EDF">
        <w:rPr>
          <w:rFonts w:ascii="Arial" w:hAnsi="Arial" w:cs="Arial"/>
          <w:sz w:val="23"/>
          <w:szCs w:val="23"/>
        </w:rPr>
        <w:t>June 2020</w:t>
      </w:r>
      <w:r w:rsidR="00635A10" w:rsidRPr="00061EDF">
        <w:rPr>
          <w:rFonts w:ascii="Arial" w:hAnsi="Arial" w:cs="Arial"/>
          <w:sz w:val="23"/>
          <w:szCs w:val="23"/>
        </w:rPr>
        <w:t>, the P</w:t>
      </w:r>
      <w:r w:rsidR="00944E53" w:rsidRPr="00061EDF">
        <w:rPr>
          <w:rFonts w:ascii="Arial" w:hAnsi="Arial" w:cs="Arial"/>
          <w:sz w:val="23"/>
          <w:szCs w:val="23"/>
        </w:rPr>
        <w:t xml:space="preserve">rudential </w:t>
      </w:r>
      <w:r w:rsidR="00635A10" w:rsidRPr="00061EDF">
        <w:rPr>
          <w:rFonts w:ascii="Arial" w:hAnsi="Arial" w:cs="Arial"/>
          <w:sz w:val="23"/>
          <w:szCs w:val="23"/>
        </w:rPr>
        <w:t>A</w:t>
      </w:r>
      <w:r w:rsidR="00944E53" w:rsidRPr="00061EDF">
        <w:rPr>
          <w:rFonts w:ascii="Arial" w:hAnsi="Arial" w:cs="Arial"/>
          <w:sz w:val="23"/>
          <w:szCs w:val="23"/>
        </w:rPr>
        <w:t>uthority (PA)</w:t>
      </w:r>
      <w:r w:rsidR="00635A10" w:rsidRPr="00061EDF">
        <w:rPr>
          <w:rFonts w:ascii="Arial" w:hAnsi="Arial" w:cs="Arial"/>
          <w:sz w:val="23"/>
          <w:szCs w:val="23"/>
        </w:rPr>
        <w:t xml:space="preserve"> </w:t>
      </w:r>
      <w:r w:rsidR="00D937F8" w:rsidRPr="00061EDF">
        <w:rPr>
          <w:rFonts w:ascii="Arial" w:hAnsi="Arial" w:cs="Arial"/>
          <w:sz w:val="23"/>
          <w:szCs w:val="23"/>
        </w:rPr>
        <w:t>consulted on</w:t>
      </w:r>
      <w:r w:rsidR="00635A10" w:rsidRPr="00061EDF">
        <w:rPr>
          <w:rFonts w:ascii="Arial" w:hAnsi="Arial" w:cs="Arial"/>
          <w:sz w:val="23"/>
          <w:szCs w:val="23"/>
        </w:rPr>
        <w:t xml:space="preserve"> Guidance Note</w:t>
      </w:r>
      <w:r w:rsidR="00C63D55" w:rsidRPr="00061EDF">
        <w:rPr>
          <w:rFonts w:ascii="Arial" w:hAnsi="Arial" w:cs="Arial"/>
          <w:sz w:val="23"/>
          <w:szCs w:val="23"/>
        </w:rPr>
        <w:t xml:space="preserve"> </w:t>
      </w:r>
      <w:r w:rsidR="00D937F8" w:rsidRPr="00061EDF">
        <w:rPr>
          <w:rFonts w:ascii="Arial" w:hAnsi="Arial" w:cs="Arial"/>
          <w:sz w:val="23"/>
          <w:szCs w:val="23"/>
        </w:rPr>
        <w:t>1</w:t>
      </w:r>
      <w:r w:rsidR="0049360A" w:rsidRPr="00061EDF">
        <w:rPr>
          <w:rFonts w:ascii="Arial" w:hAnsi="Arial" w:cs="Arial"/>
          <w:sz w:val="23"/>
          <w:szCs w:val="23"/>
          <w:vertAlign w:val="superscript"/>
        </w:rPr>
        <w:footnoteReference w:id="2"/>
      </w:r>
      <w:r w:rsidR="00C63D55" w:rsidRPr="00061EDF">
        <w:rPr>
          <w:rFonts w:ascii="Arial" w:hAnsi="Arial" w:cs="Arial"/>
          <w:sz w:val="23"/>
          <w:szCs w:val="23"/>
        </w:rPr>
        <w:t xml:space="preserve"> of 20</w:t>
      </w:r>
      <w:r w:rsidR="00D937F8" w:rsidRPr="00061EDF">
        <w:rPr>
          <w:rFonts w:ascii="Arial" w:hAnsi="Arial" w:cs="Arial"/>
          <w:sz w:val="23"/>
          <w:szCs w:val="23"/>
        </w:rPr>
        <w:t>22</w:t>
      </w:r>
      <w:r w:rsidR="00AD4AFE" w:rsidRPr="00061EDF">
        <w:rPr>
          <w:rFonts w:ascii="Arial" w:hAnsi="Arial" w:cs="Arial"/>
          <w:sz w:val="23"/>
          <w:szCs w:val="23"/>
        </w:rPr>
        <w:t xml:space="preserve"> </w:t>
      </w:r>
      <w:r w:rsidR="003608EB" w:rsidRPr="00061EDF">
        <w:rPr>
          <w:rFonts w:ascii="Arial" w:hAnsi="Arial" w:cs="Arial"/>
          <w:sz w:val="23"/>
          <w:szCs w:val="23"/>
        </w:rPr>
        <w:t>(Guidance Note</w:t>
      </w:r>
      <w:r w:rsidR="005730F0" w:rsidRPr="00061EDF">
        <w:rPr>
          <w:rFonts w:ascii="Arial" w:hAnsi="Arial" w:cs="Arial"/>
          <w:sz w:val="23"/>
          <w:szCs w:val="23"/>
        </w:rPr>
        <w:t xml:space="preserve"> </w:t>
      </w:r>
      <w:r w:rsidR="003D018A" w:rsidRPr="00061EDF">
        <w:rPr>
          <w:rFonts w:ascii="Arial" w:hAnsi="Arial" w:cs="Arial"/>
          <w:sz w:val="23"/>
          <w:szCs w:val="23"/>
        </w:rPr>
        <w:t>1</w:t>
      </w:r>
      <w:r w:rsidR="003608EB" w:rsidRPr="00061EDF">
        <w:rPr>
          <w:rFonts w:ascii="Arial" w:hAnsi="Arial" w:cs="Arial"/>
          <w:sz w:val="23"/>
          <w:szCs w:val="23"/>
        </w:rPr>
        <w:t xml:space="preserve">) </w:t>
      </w:r>
      <w:r w:rsidR="00D937F8" w:rsidRPr="00061EDF">
        <w:rPr>
          <w:rFonts w:ascii="Arial" w:hAnsi="Arial" w:cs="Arial"/>
          <w:sz w:val="23"/>
          <w:szCs w:val="23"/>
        </w:rPr>
        <w:t>with</w:t>
      </w:r>
      <w:r w:rsidR="00635A10" w:rsidRPr="00061EDF">
        <w:rPr>
          <w:rFonts w:ascii="Arial" w:hAnsi="Arial" w:cs="Arial"/>
          <w:sz w:val="23"/>
          <w:szCs w:val="23"/>
        </w:rPr>
        <w:t xml:space="preserve"> the industry</w:t>
      </w:r>
      <w:r w:rsidR="00D937F8" w:rsidRPr="00061EDF">
        <w:rPr>
          <w:rFonts w:ascii="Arial" w:hAnsi="Arial" w:cs="Arial"/>
          <w:sz w:val="23"/>
          <w:szCs w:val="23"/>
        </w:rPr>
        <w:t xml:space="preserve"> in November 2022</w:t>
      </w:r>
      <w:r w:rsidR="00CF0E2E" w:rsidRPr="00061EDF">
        <w:rPr>
          <w:rFonts w:ascii="Arial" w:hAnsi="Arial" w:cs="Arial"/>
          <w:sz w:val="23"/>
          <w:szCs w:val="23"/>
        </w:rPr>
        <w:t xml:space="preserve">. </w:t>
      </w:r>
      <w:r w:rsidR="000F6B55" w:rsidRPr="00061EDF">
        <w:rPr>
          <w:rFonts w:ascii="Arial" w:hAnsi="Arial" w:cs="Arial"/>
          <w:sz w:val="23"/>
          <w:szCs w:val="23"/>
        </w:rPr>
        <w:t xml:space="preserve">The Guidance Notice sets out practices and guidelines aimed at assisting insurers in complying with the requirements of GOI 3 (Risk Management and Internal Controls for Insurers) and GOI 3.1 (Own Risk Solvency Assessment (ORSA) for Insurers.) as these standards apply to liquidity risk management for insurers. </w:t>
      </w:r>
    </w:p>
    <w:p w14:paraId="482D0DE6" w14:textId="73F2BFC2" w:rsidR="00BB7315" w:rsidRPr="00061EDF" w:rsidRDefault="004049D0" w:rsidP="00F71EB9">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sidRPr="00061EDF">
        <w:rPr>
          <w:rFonts w:ascii="Arial" w:hAnsi="Arial" w:cs="Arial"/>
          <w:sz w:val="23"/>
          <w:szCs w:val="23"/>
        </w:rPr>
        <w:t>This Report seeks to a</w:t>
      </w:r>
      <w:r w:rsidR="000561FC" w:rsidRPr="00061EDF">
        <w:rPr>
          <w:rFonts w:ascii="Arial" w:hAnsi="Arial" w:cs="Arial"/>
          <w:sz w:val="23"/>
          <w:szCs w:val="23"/>
        </w:rPr>
        <w:t xml:space="preserve">rticulate the </w:t>
      </w:r>
      <w:r w:rsidRPr="00061EDF">
        <w:rPr>
          <w:rFonts w:ascii="Arial" w:hAnsi="Arial" w:cs="Arial"/>
          <w:sz w:val="23"/>
          <w:szCs w:val="23"/>
        </w:rPr>
        <w:t xml:space="preserve">rationale for the proposed framework, the </w:t>
      </w:r>
      <w:proofErr w:type="gramStart"/>
      <w:r w:rsidRPr="00061EDF">
        <w:rPr>
          <w:rFonts w:ascii="Arial" w:hAnsi="Arial" w:cs="Arial"/>
          <w:sz w:val="23"/>
          <w:szCs w:val="23"/>
        </w:rPr>
        <w:t>cost</w:t>
      </w:r>
      <w:proofErr w:type="gramEnd"/>
      <w:r w:rsidRPr="00061EDF">
        <w:rPr>
          <w:rFonts w:ascii="Arial" w:hAnsi="Arial" w:cs="Arial"/>
          <w:sz w:val="23"/>
          <w:szCs w:val="23"/>
        </w:rPr>
        <w:t xml:space="preserve"> and benefits of incorporating the </w:t>
      </w:r>
      <w:r w:rsidR="000F6B55" w:rsidRPr="00061EDF">
        <w:rPr>
          <w:rFonts w:ascii="Arial" w:hAnsi="Arial" w:cs="Arial"/>
          <w:sz w:val="23"/>
          <w:szCs w:val="23"/>
        </w:rPr>
        <w:t>liquidity risk management</w:t>
      </w:r>
      <w:r w:rsidRPr="00061EDF">
        <w:rPr>
          <w:rFonts w:ascii="Arial" w:hAnsi="Arial" w:cs="Arial"/>
          <w:sz w:val="23"/>
          <w:szCs w:val="23"/>
        </w:rPr>
        <w:t xml:space="preserve"> framework into the domestic regulatory framework</w:t>
      </w:r>
      <w:r w:rsidR="00B62DAE">
        <w:rPr>
          <w:rFonts w:ascii="Arial" w:hAnsi="Arial" w:cs="Arial"/>
          <w:sz w:val="23"/>
          <w:szCs w:val="23"/>
        </w:rPr>
        <w:t>, and</w:t>
      </w:r>
      <w:r w:rsidRPr="00061EDF">
        <w:rPr>
          <w:rFonts w:ascii="Arial" w:hAnsi="Arial" w:cs="Arial"/>
          <w:sz w:val="23"/>
          <w:szCs w:val="23"/>
        </w:rPr>
        <w:t xml:space="preserve"> </w:t>
      </w:r>
      <w:r w:rsidR="00CF0E2E" w:rsidRPr="00061EDF">
        <w:rPr>
          <w:rFonts w:ascii="Arial" w:hAnsi="Arial" w:cs="Arial"/>
          <w:sz w:val="23"/>
          <w:szCs w:val="23"/>
        </w:rPr>
        <w:t>its</w:t>
      </w:r>
      <w:r w:rsidRPr="00061EDF">
        <w:rPr>
          <w:rFonts w:ascii="Arial" w:hAnsi="Arial" w:cs="Arial"/>
          <w:sz w:val="23"/>
          <w:szCs w:val="23"/>
        </w:rPr>
        <w:t xml:space="preserve"> intended operation.</w:t>
      </w:r>
      <w:r w:rsidR="000561FC" w:rsidRPr="00061EDF">
        <w:rPr>
          <w:rFonts w:ascii="Arial" w:hAnsi="Arial" w:cs="Arial"/>
          <w:sz w:val="23"/>
          <w:szCs w:val="23"/>
        </w:rPr>
        <w:t xml:space="preserve"> </w:t>
      </w:r>
    </w:p>
    <w:p w14:paraId="14A8A1BD" w14:textId="3F0CDC50" w:rsidR="00595637" w:rsidRPr="00061EDF" w:rsidRDefault="00CA4857" w:rsidP="00F71EB9">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sidRPr="00061EDF">
        <w:rPr>
          <w:rFonts w:ascii="Arial" w:hAnsi="Arial" w:cs="Arial"/>
          <w:sz w:val="23"/>
          <w:szCs w:val="23"/>
        </w:rPr>
        <w:t>T</w:t>
      </w:r>
      <w:r w:rsidR="008D028F" w:rsidRPr="00061EDF">
        <w:rPr>
          <w:rFonts w:ascii="Arial" w:hAnsi="Arial" w:cs="Arial"/>
          <w:sz w:val="23"/>
          <w:szCs w:val="23"/>
        </w:rPr>
        <w:t>o gather the necessary qualitative and quantitative information required</w:t>
      </w:r>
      <w:r w:rsidR="00C57F79" w:rsidRPr="00061EDF">
        <w:rPr>
          <w:rFonts w:ascii="Arial" w:hAnsi="Arial" w:cs="Arial"/>
          <w:sz w:val="23"/>
          <w:szCs w:val="23"/>
        </w:rPr>
        <w:t xml:space="preserve"> </w:t>
      </w:r>
      <w:r w:rsidR="008D028F" w:rsidRPr="00061EDF">
        <w:rPr>
          <w:rFonts w:ascii="Arial" w:hAnsi="Arial" w:cs="Arial"/>
          <w:sz w:val="23"/>
          <w:szCs w:val="23"/>
        </w:rPr>
        <w:t xml:space="preserve">to </w:t>
      </w:r>
      <w:r w:rsidR="000561FC" w:rsidRPr="00061EDF">
        <w:rPr>
          <w:rFonts w:ascii="Arial" w:hAnsi="Arial" w:cs="Arial"/>
          <w:sz w:val="23"/>
          <w:szCs w:val="23"/>
        </w:rPr>
        <w:t xml:space="preserve">assess the expected impact of </w:t>
      </w:r>
      <w:r w:rsidR="00595637" w:rsidRPr="00061EDF">
        <w:rPr>
          <w:rFonts w:ascii="Arial" w:hAnsi="Arial" w:cs="Arial"/>
          <w:sz w:val="23"/>
          <w:szCs w:val="23"/>
        </w:rPr>
        <w:t xml:space="preserve">incorporating the updated </w:t>
      </w:r>
      <w:r w:rsidR="000F6B55" w:rsidRPr="00061EDF">
        <w:rPr>
          <w:rFonts w:ascii="Arial" w:hAnsi="Arial" w:cs="Arial"/>
          <w:sz w:val="23"/>
          <w:szCs w:val="23"/>
        </w:rPr>
        <w:t>FSI 6 Liquidity Risk Management</w:t>
      </w:r>
      <w:r w:rsidR="00CB0BFA" w:rsidRPr="00061EDF">
        <w:rPr>
          <w:rFonts w:ascii="Arial" w:hAnsi="Arial" w:cs="Arial"/>
          <w:sz w:val="23"/>
          <w:szCs w:val="23"/>
        </w:rPr>
        <w:t xml:space="preserve"> standard</w:t>
      </w:r>
      <w:r w:rsidR="00595637" w:rsidRPr="00061EDF">
        <w:rPr>
          <w:rFonts w:ascii="Arial" w:hAnsi="Arial" w:cs="Arial"/>
          <w:sz w:val="23"/>
          <w:szCs w:val="23"/>
        </w:rPr>
        <w:t xml:space="preserve"> into the domestic regulatory framework, </w:t>
      </w:r>
      <w:r w:rsidR="00E11610" w:rsidRPr="00061EDF">
        <w:rPr>
          <w:rFonts w:ascii="Arial" w:hAnsi="Arial" w:cs="Arial"/>
          <w:sz w:val="23"/>
          <w:szCs w:val="23"/>
        </w:rPr>
        <w:t xml:space="preserve">the PA </w:t>
      </w:r>
      <w:r w:rsidR="009F0221" w:rsidRPr="00061EDF">
        <w:rPr>
          <w:rFonts w:ascii="Arial" w:hAnsi="Arial" w:cs="Arial"/>
          <w:sz w:val="23"/>
          <w:szCs w:val="23"/>
        </w:rPr>
        <w:t xml:space="preserve">is </w:t>
      </w:r>
      <w:r w:rsidR="00595637" w:rsidRPr="00061EDF">
        <w:rPr>
          <w:rFonts w:ascii="Arial" w:hAnsi="Arial" w:cs="Arial"/>
          <w:sz w:val="23"/>
          <w:szCs w:val="23"/>
        </w:rPr>
        <w:t>conduct</w:t>
      </w:r>
      <w:r w:rsidR="009F0221" w:rsidRPr="00061EDF">
        <w:rPr>
          <w:rFonts w:ascii="Arial" w:hAnsi="Arial" w:cs="Arial"/>
          <w:sz w:val="23"/>
          <w:szCs w:val="23"/>
        </w:rPr>
        <w:t>ing</w:t>
      </w:r>
      <w:r w:rsidR="00595637" w:rsidRPr="00061EDF">
        <w:rPr>
          <w:rFonts w:ascii="Arial" w:hAnsi="Arial" w:cs="Arial"/>
          <w:sz w:val="23"/>
          <w:szCs w:val="23"/>
        </w:rPr>
        <w:t xml:space="preserve"> a </w:t>
      </w:r>
      <w:r w:rsidR="00E11610" w:rsidRPr="00061EDF">
        <w:rPr>
          <w:rFonts w:ascii="Arial" w:hAnsi="Arial" w:cs="Arial"/>
          <w:sz w:val="23"/>
          <w:szCs w:val="23"/>
        </w:rPr>
        <w:t>qua</w:t>
      </w:r>
      <w:r w:rsidR="005C5D16">
        <w:rPr>
          <w:rFonts w:ascii="Arial" w:hAnsi="Arial" w:cs="Arial"/>
          <w:sz w:val="23"/>
          <w:szCs w:val="23"/>
        </w:rPr>
        <w:t xml:space="preserve">litative </w:t>
      </w:r>
      <w:r w:rsidR="00E11610" w:rsidRPr="00061EDF">
        <w:rPr>
          <w:rFonts w:ascii="Arial" w:hAnsi="Arial" w:cs="Arial"/>
          <w:sz w:val="23"/>
          <w:szCs w:val="23"/>
        </w:rPr>
        <w:t>impact study</w:t>
      </w:r>
      <w:r w:rsidR="00D25111" w:rsidRPr="00061EDF">
        <w:rPr>
          <w:rFonts w:ascii="Arial" w:hAnsi="Arial" w:cs="Arial"/>
          <w:sz w:val="23"/>
          <w:szCs w:val="23"/>
        </w:rPr>
        <w:t xml:space="preserve"> (QIS)</w:t>
      </w:r>
      <w:r w:rsidR="00595637" w:rsidRPr="00061EDF">
        <w:rPr>
          <w:rFonts w:ascii="Arial" w:hAnsi="Arial" w:cs="Arial"/>
          <w:sz w:val="23"/>
          <w:szCs w:val="23"/>
        </w:rPr>
        <w:t xml:space="preserve"> </w:t>
      </w:r>
      <w:r w:rsidR="00CB0BFA" w:rsidRPr="00061EDF">
        <w:rPr>
          <w:rFonts w:ascii="Arial" w:hAnsi="Arial" w:cs="Arial"/>
          <w:sz w:val="23"/>
          <w:szCs w:val="23"/>
        </w:rPr>
        <w:t xml:space="preserve">and </w:t>
      </w:r>
      <w:r w:rsidR="00595637" w:rsidRPr="00061EDF">
        <w:rPr>
          <w:rFonts w:ascii="Arial" w:hAnsi="Arial" w:cs="Arial"/>
          <w:sz w:val="23"/>
          <w:szCs w:val="23"/>
        </w:rPr>
        <w:t>solicit</w:t>
      </w:r>
      <w:r w:rsidR="009F0221" w:rsidRPr="00061EDF">
        <w:rPr>
          <w:rFonts w:ascii="Arial" w:hAnsi="Arial" w:cs="Arial"/>
          <w:sz w:val="23"/>
          <w:szCs w:val="23"/>
        </w:rPr>
        <w:t>ing</w:t>
      </w:r>
      <w:r w:rsidR="00595637" w:rsidRPr="00061EDF">
        <w:rPr>
          <w:rFonts w:ascii="Arial" w:hAnsi="Arial" w:cs="Arial"/>
          <w:sz w:val="23"/>
          <w:szCs w:val="23"/>
        </w:rPr>
        <w:t xml:space="preserve"> inputs from the industry through a qualitative questionnaire. </w:t>
      </w:r>
    </w:p>
    <w:p w14:paraId="233C0B81" w14:textId="060FC774" w:rsidR="0005083E" w:rsidRPr="00061EDF" w:rsidRDefault="00595637" w:rsidP="00F71EB9">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sidRPr="00061EDF">
        <w:rPr>
          <w:rFonts w:ascii="Arial" w:hAnsi="Arial" w:cs="Arial"/>
          <w:sz w:val="23"/>
          <w:szCs w:val="23"/>
        </w:rPr>
        <w:t>Th</w:t>
      </w:r>
      <w:r w:rsidR="00E54E40" w:rsidRPr="00061EDF">
        <w:rPr>
          <w:rFonts w:ascii="Arial" w:hAnsi="Arial" w:cs="Arial"/>
          <w:sz w:val="23"/>
          <w:szCs w:val="23"/>
        </w:rPr>
        <w:t xml:space="preserve">e </w:t>
      </w:r>
      <w:r w:rsidR="009F0221" w:rsidRPr="00061EDF">
        <w:rPr>
          <w:rFonts w:ascii="Arial" w:hAnsi="Arial" w:cs="Arial"/>
          <w:sz w:val="23"/>
          <w:szCs w:val="23"/>
        </w:rPr>
        <w:t xml:space="preserve">final </w:t>
      </w:r>
      <w:r w:rsidR="00674F73">
        <w:rPr>
          <w:rFonts w:ascii="Arial" w:hAnsi="Arial" w:cs="Arial"/>
          <w:sz w:val="23"/>
          <w:szCs w:val="23"/>
        </w:rPr>
        <w:t>Statement</w:t>
      </w:r>
      <w:r w:rsidR="00674F73" w:rsidRPr="00061EDF">
        <w:rPr>
          <w:rFonts w:ascii="Arial" w:hAnsi="Arial" w:cs="Arial"/>
          <w:sz w:val="23"/>
          <w:szCs w:val="23"/>
        </w:rPr>
        <w:t xml:space="preserve"> </w:t>
      </w:r>
      <w:r w:rsidR="004200E0" w:rsidRPr="00061EDF">
        <w:rPr>
          <w:rFonts w:ascii="Arial" w:hAnsi="Arial" w:cs="Arial"/>
          <w:sz w:val="23"/>
          <w:szCs w:val="23"/>
        </w:rPr>
        <w:t xml:space="preserve">will </w:t>
      </w:r>
      <w:r w:rsidR="00261EC2" w:rsidRPr="00061EDF">
        <w:rPr>
          <w:rFonts w:ascii="Arial" w:hAnsi="Arial" w:cs="Arial"/>
          <w:sz w:val="23"/>
          <w:szCs w:val="23"/>
        </w:rPr>
        <w:t>consider</w:t>
      </w:r>
      <w:r w:rsidRPr="00061EDF">
        <w:rPr>
          <w:rFonts w:ascii="Arial" w:hAnsi="Arial" w:cs="Arial"/>
          <w:sz w:val="23"/>
          <w:szCs w:val="23"/>
        </w:rPr>
        <w:t xml:space="preserve"> </w:t>
      </w:r>
      <w:r w:rsidR="005D5BCE" w:rsidRPr="00061EDF">
        <w:rPr>
          <w:rFonts w:ascii="Arial" w:hAnsi="Arial" w:cs="Arial"/>
          <w:sz w:val="23"/>
          <w:szCs w:val="23"/>
        </w:rPr>
        <w:t xml:space="preserve">the </w:t>
      </w:r>
      <w:r w:rsidR="0020675C" w:rsidRPr="00061EDF">
        <w:rPr>
          <w:rFonts w:ascii="Arial" w:hAnsi="Arial" w:cs="Arial"/>
          <w:sz w:val="23"/>
          <w:szCs w:val="23"/>
        </w:rPr>
        <w:t xml:space="preserve">industry </w:t>
      </w:r>
      <w:r w:rsidR="00E11610" w:rsidRPr="00061EDF">
        <w:rPr>
          <w:rFonts w:ascii="Arial" w:hAnsi="Arial" w:cs="Arial"/>
          <w:sz w:val="23"/>
          <w:szCs w:val="23"/>
        </w:rPr>
        <w:t>inputs</w:t>
      </w:r>
      <w:r w:rsidRPr="00061EDF">
        <w:rPr>
          <w:rFonts w:ascii="Arial" w:hAnsi="Arial" w:cs="Arial"/>
          <w:sz w:val="23"/>
          <w:szCs w:val="23"/>
        </w:rPr>
        <w:t xml:space="preserve"> received</w:t>
      </w:r>
      <w:r w:rsidR="005D5BCE" w:rsidRPr="00061EDF">
        <w:rPr>
          <w:rFonts w:ascii="Arial" w:hAnsi="Arial" w:cs="Arial"/>
          <w:sz w:val="23"/>
          <w:szCs w:val="23"/>
        </w:rPr>
        <w:t>.</w:t>
      </w:r>
      <w:r w:rsidRPr="00061EDF">
        <w:rPr>
          <w:rFonts w:ascii="Arial" w:hAnsi="Arial" w:cs="Arial"/>
          <w:sz w:val="23"/>
          <w:szCs w:val="23"/>
        </w:rPr>
        <w:t xml:space="preserve"> </w:t>
      </w:r>
    </w:p>
    <w:p w14:paraId="5CE35191" w14:textId="77777777" w:rsidR="00760C66" w:rsidRPr="007E12E3" w:rsidRDefault="00CF7215" w:rsidP="007A5DF7">
      <w:pPr>
        <w:pStyle w:val="Heading1"/>
        <w:ind w:left="567" w:hanging="567"/>
        <w:rPr>
          <w:color w:val="auto"/>
        </w:rPr>
      </w:pPr>
      <w:bookmarkStart w:id="4" w:name="_Toc142983745"/>
      <w:r w:rsidRPr="007E12E3">
        <w:rPr>
          <w:color w:val="auto"/>
        </w:rPr>
        <w:t>Background</w:t>
      </w:r>
      <w:bookmarkEnd w:id="4"/>
      <w:r w:rsidR="00667B9A" w:rsidRPr="007E12E3">
        <w:rPr>
          <w:color w:val="auto"/>
        </w:rPr>
        <w:t xml:space="preserve"> </w:t>
      </w:r>
      <w:r w:rsidR="001D5536" w:rsidRPr="007E12E3">
        <w:rPr>
          <w:color w:val="auto"/>
        </w:rPr>
        <w:t xml:space="preserve"> </w:t>
      </w:r>
    </w:p>
    <w:p w14:paraId="08926F5F" w14:textId="671FACDC" w:rsidR="00E35065" w:rsidRPr="00C47AEC" w:rsidRDefault="00C47AEC" w:rsidP="00F71EB9">
      <w:pPr>
        <w:pStyle w:val="ListParagraph"/>
        <w:numPr>
          <w:ilvl w:val="1"/>
          <w:numId w:val="3"/>
        </w:numPr>
        <w:autoSpaceDE w:val="0"/>
        <w:autoSpaceDN w:val="0"/>
        <w:adjustRightInd w:val="0"/>
        <w:spacing w:after="240" w:line="360" w:lineRule="auto"/>
        <w:ind w:left="567" w:hanging="567"/>
        <w:jc w:val="both"/>
        <w:rPr>
          <w:rFonts w:ascii="Arial" w:hAnsi="Arial" w:cs="Arial"/>
          <w:sz w:val="23"/>
          <w:szCs w:val="23"/>
        </w:rPr>
      </w:pPr>
      <w:r w:rsidRPr="00C47AEC">
        <w:rPr>
          <w:rFonts w:ascii="Arial" w:hAnsi="Arial" w:cs="Arial"/>
          <w:sz w:val="23"/>
          <w:szCs w:val="23"/>
        </w:rPr>
        <w:t>Historically, the nature of the insurance business model, characteri</w:t>
      </w:r>
      <w:r w:rsidR="00217A60">
        <w:rPr>
          <w:rFonts w:ascii="Arial" w:hAnsi="Arial" w:cs="Arial"/>
          <w:sz w:val="23"/>
          <w:szCs w:val="23"/>
        </w:rPr>
        <w:t>s</w:t>
      </w:r>
      <w:r w:rsidRPr="00C47AEC">
        <w:rPr>
          <w:rFonts w:ascii="Arial" w:hAnsi="Arial" w:cs="Arial"/>
          <w:sz w:val="23"/>
          <w:szCs w:val="23"/>
        </w:rPr>
        <w:t>ed by premium inflows and future claim payments, led to a lower perceived importance of liquidity risk.</w:t>
      </w:r>
      <w:r>
        <w:rPr>
          <w:rFonts w:ascii="Arial" w:hAnsi="Arial" w:cs="Arial"/>
          <w:sz w:val="23"/>
          <w:szCs w:val="23"/>
        </w:rPr>
        <w:t xml:space="preserve"> </w:t>
      </w:r>
      <w:r w:rsidRPr="00C47AEC">
        <w:rPr>
          <w:rFonts w:ascii="Arial" w:hAnsi="Arial" w:cs="Arial"/>
          <w:sz w:val="23"/>
          <w:szCs w:val="23"/>
        </w:rPr>
        <w:t xml:space="preserve">However, recent developments point to an evolving perspective on liquidity risk within the insurance sector, with stakeholders increasingly acknowledging its potential </w:t>
      </w:r>
      <w:r w:rsidR="00217A60" w:rsidRPr="00C47AEC">
        <w:rPr>
          <w:rFonts w:ascii="Arial" w:hAnsi="Arial" w:cs="Arial"/>
          <w:sz w:val="23"/>
          <w:szCs w:val="23"/>
        </w:rPr>
        <w:t>ramifications.</w:t>
      </w:r>
      <w:r w:rsidR="00104AD5" w:rsidRPr="00C47AEC">
        <w:rPr>
          <w:rFonts w:ascii="Arial" w:hAnsi="Arial" w:cs="Arial"/>
          <w:sz w:val="23"/>
          <w:szCs w:val="23"/>
        </w:rPr>
        <w:t xml:space="preserve"> </w:t>
      </w:r>
    </w:p>
    <w:p w14:paraId="0C9838AB" w14:textId="77777777" w:rsidR="00C47AEC" w:rsidRDefault="00C47AEC" w:rsidP="00C47AEC">
      <w:pPr>
        <w:pStyle w:val="ListParagraph"/>
        <w:autoSpaceDE w:val="0"/>
        <w:autoSpaceDN w:val="0"/>
        <w:adjustRightInd w:val="0"/>
        <w:spacing w:after="240" w:line="360" w:lineRule="auto"/>
        <w:ind w:left="567"/>
        <w:contextualSpacing w:val="0"/>
        <w:jc w:val="both"/>
        <w:rPr>
          <w:rFonts w:ascii="Arial" w:hAnsi="Arial" w:cs="Arial"/>
          <w:sz w:val="23"/>
          <w:szCs w:val="23"/>
        </w:rPr>
      </w:pPr>
    </w:p>
    <w:p w14:paraId="7A1A5587" w14:textId="4B275097" w:rsidR="00104AD5" w:rsidRDefault="005F62FD" w:rsidP="00F71EB9">
      <w:pPr>
        <w:pStyle w:val="ListParagraph"/>
        <w:numPr>
          <w:ilvl w:val="1"/>
          <w:numId w:val="3"/>
        </w:numPr>
        <w:autoSpaceDE w:val="0"/>
        <w:autoSpaceDN w:val="0"/>
        <w:adjustRightInd w:val="0"/>
        <w:spacing w:after="240" w:line="360" w:lineRule="auto"/>
        <w:ind w:left="567" w:hanging="567"/>
        <w:jc w:val="both"/>
        <w:rPr>
          <w:rFonts w:ascii="Arial" w:hAnsi="Arial" w:cs="Arial"/>
          <w:sz w:val="23"/>
          <w:szCs w:val="23"/>
        </w:rPr>
      </w:pPr>
      <w:r w:rsidRPr="005F62FD">
        <w:rPr>
          <w:rFonts w:ascii="Arial" w:hAnsi="Arial" w:cs="Arial"/>
          <w:sz w:val="23"/>
          <w:szCs w:val="23"/>
        </w:rPr>
        <w:t xml:space="preserve">Concerns about potential liquidity strains driven by certain insurance activities, such as derivatives and securities lending, have prompted the IAIS and some regulators to </w:t>
      </w:r>
      <w:r w:rsidR="00A30A4A">
        <w:rPr>
          <w:rFonts w:ascii="Arial" w:hAnsi="Arial" w:cs="Arial"/>
          <w:sz w:val="23"/>
          <w:szCs w:val="23"/>
        </w:rPr>
        <w:t>emphasise</w:t>
      </w:r>
      <w:r w:rsidRPr="005F62FD">
        <w:rPr>
          <w:rFonts w:ascii="Arial" w:hAnsi="Arial" w:cs="Arial"/>
          <w:sz w:val="23"/>
          <w:szCs w:val="23"/>
        </w:rPr>
        <w:t xml:space="preserve"> the importance of robust liquidity risk management.</w:t>
      </w:r>
      <w:r w:rsidR="00085B23">
        <w:rPr>
          <w:rFonts w:ascii="Arial" w:hAnsi="Arial" w:cs="Arial"/>
          <w:sz w:val="23"/>
          <w:szCs w:val="23"/>
        </w:rPr>
        <w:t xml:space="preserve"> Recognising</w:t>
      </w:r>
      <w:r w:rsidRPr="00085B23">
        <w:rPr>
          <w:rFonts w:ascii="Arial" w:hAnsi="Arial" w:cs="Arial"/>
          <w:sz w:val="23"/>
          <w:szCs w:val="23"/>
        </w:rPr>
        <w:t xml:space="preserve"> gaps </w:t>
      </w:r>
      <w:r w:rsidRPr="00085B23">
        <w:rPr>
          <w:rFonts w:ascii="Arial" w:hAnsi="Arial" w:cs="Arial"/>
          <w:sz w:val="23"/>
          <w:szCs w:val="23"/>
        </w:rPr>
        <w:lastRenderedPageBreak/>
        <w:t>in insurers' liquidity risk assessment, management, and monitoring practices, the IAIS and some regulators are calling for stricter measures to ensure financial stability</w:t>
      </w:r>
      <w:r w:rsidR="00085B23">
        <w:rPr>
          <w:rFonts w:ascii="Arial" w:hAnsi="Arial" w:cs="Arial"/>
          <w:sz w:val="23"/>
          <w:szCs w:val="23"/>
        </w:rPr>
        <w:t>.</w:t>
      </w:r>
    </w:p>
    <w:p w14:paraId="1E85037C" w14:textId="77777777" w:rsidR="00BE1E1B" w:rsidRPr="00BE1E1B" w:rsidRDefault="00BE1E1B" w:rsidP="00BE1E1B">
      <w:pPr>
        <w:pStyle w:val="ListParagraph"/>
        <w:rPr>
          <w:rFonts w:ascii="Arial" w:hAnsi="Arial" w:cs="Arial"/>
          <w:sz w:val="23"/>
          <w:szCs w:val="23"/>
        </w:rPr>
      </w:pPr>
    </w:p>
    <w:p w14:paraId="25B4A75B" w14:textId="77777777" w:rsidR="00BE1E1B" w:rsidRPr="00085B23" w:rsidRDefault="00BE1E1B" w:rsidP="00BE1E1B">
      <w:pPr>
        <w:pStyle w:val="ListParagraph"/>
        <w:autoSpaceDE w:val="0"/>
        <w:autoSpaceDN w:val="0"/>
        <w:adjustRightInd w:val="0"/>
        <w:spacing w:after="240" w:line="360" w:lineRule="auto"/>
        <w:ind w:left="567"/>
        <w:jc w:val="both"/>
        <w:rPr>
          <w:rFonts w:ascii="Arial" w:hAnsi="Arial" w:cs="Arial"/>
          <w:sz w:val="23"/>
          <w:szCs w:val="23"/>
        </w:rPr>
      </w:pPr>
    </w:p>
    <w:p w14:paraId="608108ED" w14:textId="175D2233" w:rsidR="00115C36" w:rsidRDefault="00115C36" w:rsidP="00F71EB9">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Pr>
          <w:rFonts w:ascii="Arial" w:hAnsi="Arial" w:cs="Arial"/>
          <w:sz w:val="23"/>
          <w:szCs w:val="23"/>
        </w:rPr>
        <w:t xml:space="preserve">The IAIS monitors liquidity risk as part of the Global Monitoring Exercise (GME).  The IAIS acknowledges that capturing liquidity risk in the insurance sector can be a complex task due to the many dimensions to consider, including different insurance products and their liquidity profiles, </w:t>
      </w:r>
      <w:r w:rsidR="004200E0">
        <w:rPr>
          <w:rFonts w:ascii="Arial" w:hAnsi="Arial" w:cs="Arial"/>
          <w:sz w:val="23"/>
          <w:szCs w:val="23"/>
        </w:rPr>
        <w:t xml:space="preserve">the </w:t>
      </w:r>
      <w:r>
        <w:rPr>
          <w:rFonts w:ascii="Arial" w:hAnsi="Arial" w:cs="Arial"/>
          <w:sz w:val="23"/>
          <w:szCs w:val="23"/>
        </w:rPr>
        <w:t>liquidity needs of various insurance business models (reinsurers, life insurers</w:t>
      </w:r>
      <w:r w:rsidR="009F0221">
        <w:rPr>
          <w:rFonts w:ascii="Arial" w:hAnsi="Arial" w:cs="Arial"/>
          <w:sz w:val="23"/>
          <w:szCs w:val="23"/>
        </w:rPr>
        <w:t>,</w:t>
      </w:r>
      <w:r>
        <w:rPr>
          <w:rFonts w:ascii="Arial" w:hAnsi="Arial" w:cs="Arial"/>
          <w:sz w:val="23"/>
          <w:szCs w:val="23"/>
        </w:rPr>
        <w:t xml:space="preserve"> and non-life insurers) and the choice of time horizons.</w:t>
      </w:r>
      <w:r>
        <w:rPr>
          <w:rStyle w:val="FootnoteReference"/>
          <w:rFonts w:ascii="Arial" w:hAnsi="Arial" w:cs="Arial"/>
          <w:sz w:val="23"/>
          <w:szCs w:val="23"/>
        </w:rPr>
        <w:footnoteReference w:id="3"/>
      </w:r>
    </w:p>
    <w:p w14:paraId="6BAF6982" w14:textId="4760FDEA" w:rsidR="00061EDF" w:rsidRPr="00061EDF" w:rsidRDefault="00115C36" w:rsidP="00F71EB9">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Pr>
          <w:rFonts w:ascii="Arial" w:hAnsi="Arial" w:cs="Arial"/>
          <w:sz w:val="23"/>
          <w:szCs w:val="23"/>
        </w:rPr>
        <w:t>In monitoring the liquidity risk, the IAIS developed liquidity metrics as an ancillary indicator</w:t>
      </w:r>
      <w:r w:rsidR="00357FA8">
        <w:rPr>
          <w:rFonts w:ascii="Arial" w:hAnsi="Arial" w:cs="Arial"/>
          <w:sz w:val="23"/>
          <w:szCs w:val="23"/>
        </w:rPr>
        <w:t>, which serves</w:t>
      </w:r>
      <w:r>
        <w:rPr>
          <w:rFonts w:ascii="Arial" w:hAnsi="Arial" w:cs="Arial"/>
          <w:sz w:val="23"/>
          <w:szCs w:val="23"/>
        </w:rPr>
        <w:t xml:space="preserve"> as a tool to facilitate the monitoring of the global insurance industry’s liquidity risk and for the IAIS to assess the insurers’ liquidity risk exposure. The PA has adopted some of the principles applied by the IAIS in developing the Insurance Liquidity Ratio (ILR).</w:t>
      </w:r>
    </w:p>
    <w:p w14:paraId="598A86F3" w14:textId="259E02E1" w:rsidR="00061EDF" w:rsidRPr="00061EDF" w:rsidRDefault="00061EDF" w:rsidP="00F71EB9">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sidRPr="00061EDF">
        <w:rPr>
          <w:rFonts w:ascii="Arial" w:hAnsi="Arial" w:cs="Arial"/>
          <w:sz w:val="23"/>
          <w:szCs w:val="23"/>
        </w:rPr>
        <w:t>The PA has, in formulating th</w:t>
      </w:r>
      <w:r>
        <w:rPr>
          <w:rFonts w:ascii="Arial" w:hAnsi="Arial" w:cs="Arial"/>
          <w:sz w:val="23"/>
          <w:szCs w:val="23"/>
        </w:rPr>
        <w:t>e updated FSI 6 Liquidity Risk Management standard</w:t>
      </w:r>
      <w:r w:rsidRPr="00061EDF">
        <w:rPr>
          <w:rFonts w:ascii="Arial" w:hAnsi="Arial" w:cs="Arial"/>
          <w:sz w:val="23"/>
          <w:szCs w:val="23"/>
        </w:rPr>
        <w:t xml:space="preserve">, referenced principles espoused in the Application Paper on Liquidity Risk Management published by the International Association of Insurance Supervisors (IAIS). </w:t>
      </w:r>
    </w:p>
    <w:p w14:paraId="2EA4318C" w14:textId="23575D4B" w:rsidR="00C05340" w:rsidRPr="007E12E3" w:rsidRDefault="00C05340" w:rsidP="007A5DF7">
      <w:pPr>
        <w:pStyle w:val="Heading1"/>
        <w:ind w:left="567" w:hanging="567"/>
        <w:rPr>
          <w:color w:val="auto"/>
        </w:rPr>
      </w:pPr>
      <w:bookmarkStart w:id="5" w:name="_Toc142983746"/>
      <w:r w:rsidRPr="007E12E3">
        <w:rPr>
          <w:color w:val="auto"/>
        </w:rPr>
        <w:t xml:space="preserve">Salient </w:t>
      </w:r>
      <w:r w:rsidR="005F0D55" w:rsidRPr="007E12E3">
        <w:rPr>
          <w:color w:val="auto"/>
        </w:rPr>
        <w:t>features</w:t>
      </w:r>
      <w:r w:rsidRPr="007E12E3">
        <w:rPr>
          <w:color w:val="auto"/>
        </w:rPr>
        <w:t xml:space="preserve"> of the </w:t>
      </w:r>
      <w:r w:rsidR="00CF329E">
        <w:rPr>
          <w:color w:val="auto"/>
        </w:rPr>
        <w:t>liquidity risk management</w:t>
      </w:r>
      <w:r w:rsidR="00CF329E" w:rsidRPr="007E12E3">
        <w:rPr>
          <w:color w:val="auto"/>
        </w:rPr>
        <w:t xml:space="preserve"> </w:t>
      </w:r>
      <w:r w:rsidRPr="007E12E3">
        <w:rPr>
          <w:color w:val="auto"/>
        </w:rPr>
        <w:t>framework</w:t>
      </w:r>
      <w:bookmarkEnd w:id="5"/>
    </w:p>
    <w:p w14:paraId="6EB23944" w14:textId="564D0F4B" w:rsidR="00E754D0" w:rsidRPr="007E12E3" w:rsidRDefault="00E35065" w:rsidP="00F71EB9">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sidRPr="007E12E3">
        <w:rPr>
          <w:rFonts w:ascii="Arial" w:hAnsi="Arial" w:cs="Arial"/>
          <w:sz w:val="23"/>
          <w:szCs w:val="23"/>
        </w:rPr>
        <w:t>U</w:t>
      </w:r>
      <w:r w:rsidR="00174E45" w:rsidRPr="007E12E3">
        <w:rPr>
          <w:rFonts w:ascii="Arial" w:hAnsi="Arial" w:cs="Arial"/>
          <w:sz w:val="23"/>
          <w:szCs w:val="23"/>
        </w:rPr>
        <w:t xml:space="preserve">nder the updated </w:t>
      </w:r>
      <w:r w:rsidR="00A32BFC">
        <w:rPr>
          <w:rFonts w:ascii="Arial" w:hAnsi="Arial" w:cs="Arial"/>
          <w:sz w:val="23"/>
          <w:szCs w:val="23"/>
        </w:rPr>
        <w:t>liquidity risk management</w:t>
      </w:r>
      <w:r w:rsidR="00174E45" w:rsidRPr="007E12E3">
        <w:rPr>
          <w:rFonts w:ascii="Arial" w:hAnsi="Arial" w:cs="Arial"/>
          <w:sz w:val="23"/>
          <w:szCs w:val="23"/>
        </w:rPr>
        <w:t xml:space="preserve"> framework, the </w:t>
      </w:r>
      <w:r w:rsidR="00A32BFC">
        <w:rPr>
          <w:rFonts w:ascii="Arial" w:hAnsi="Arial" w:cs="Arial"/>
          <w:sz w:val="23"/>
          <w:szCs w:val="23"/>
        </w:rPr>
        <w:t xml:space="preserve">PA detailed requirements </w:t>
      </w:r>
      <w:r w:rsidR="004D3096">
        <w:rPr>
          <w:rFonts w:ascii="Arial" w:hAnsi="Arial" w:cs="Arial"/>
          <w:sz w:val="23"/>
          <w:szCs w:val="23"/>
        </w:rPr>
        <w:t>for</w:t>
      </w:r>
      <w:r w:rsidR="00174E45" w:rsidRPr="007E12E3">
        <w:rPr>
          <w:rFonts w:ascii="Arial" w:hAnsi="Arial" w:cs="Arial"/>
          <w:sz w:val="23"/>
          <w:szCs w:val="23"/>
        </w:rPr>
        <w:t xml:space="preserve"> the </w:t>
      </w:r>
      <w:r w:rsidR="00A32BFC" w:rsidRPr="008C462D">
        <w:rPr>
          <w:rFonts w:ascii="Arial" w:hAnsi="Arial" w:cs="Arial"/>
          <w:sz w:val="24"/>
          <w:szCs w:val="24"/>
        </w:rPr>
        <w:t xml:space="preserve">identification, assessment, management, reporting, and planning of risk-mitigating decision-making </w:t>
      </w:r>
      <w:r w:rsidR="009F0221">
        <w:rPr>
          <w:rFonts w:ascii="Arial" w:hAnsi="Arial" w:cs="Arial"/>
          <w:sz w:val="24"/>
          <w:szCs w:val="24"/>
        </w:rPr>
        <w:t xml:space="preserve">of </w:t>
      </w:r>
      <w:r w:rsidR="00A32BFC">
        <w:rPr>
          <w:rFonts w:ascii="Arial" w:hAnsi="Arial" w:cs="Arial"/>
          <w:sz w:val="24"/>
          <w:szCs w:val="24"/>
        </w:rPr>
        <w:t>insurers</w:t>
      </w:r>
      <w:r w:rsidR="00174E45" w:rsidRPr="007E12E3">
        <w:rPr>
          <w:rFonts w:ascii="Arial" w:hAnsi="Arial" w:cs="Arial"/>
          <w:sz w:val="23"/>
          <w:szCs w:val="23"/>
        </w:rPr>
        <w:t xml:space="preserve">. </w:t>
      </w:r>
    </w:p>
    <w:p w14:paraId="13AB6A7B" w14:textId="0BC3A9D5" w:rsidR="00174E45" w:rsidRDefault="00174E45" w:rsidP="00F71EB9">
      <w:pPr>
        <w:pStyle w:val="ListParagraph"/>
        <w:numPr>
          <w:ilvl w:val="1"/>
          <w:numId w:val="3"/>
        </w:numPr>
        <w:autoSpaceDE w:val="0"/>
        <w:autoSpaceDN w:val="0"/>
        <w:adjustRightInd w:val="0"/>
        <w:spacing w:after="120" w:line="360" w:lineRule="auto"/>
        <w:ind w:left="567" w:hanging="567"/>
        <w:jc w:val="both"/>
        <w:rPr>
          <w:rFonts w:ascii="Arial" w:hAnsi="Arial" w:cs="Arial"/>
          <w:sz w:val="23"/>
          <w:szCs w:val="23"/>
        </w:rPr>
      </w:pPr>
      <w:r w:rsidRPr="007E12E3">
        <w:rPr>
          <w:rFonts w:ascii="Arial" w:hAnsi="Arial" w:cs="Arial"/>
          <w:sz w:val="23"/>
          <w:szCs w:val="23"/>
        </w:rPr>
        <w:t xml:space="preserve">The </w:t>
      </w:r>
      <w:r w:rsidR="00A32BFC">
        <w:rPr>
          <w:rFonts w:ascii="Arial" w:hAnsi="Arial" w:cs="Arial"/>
          <w:sz w:val="23"/>
          <w:szCs w:val="23"/>
        </w:rPr>
        <w:t>requirements</w:t>
      </w:r>
      <w:r w:rsidRPr="007E12E3">
        <w:rPr>
          <w:rFonts w:ascii="Arial" w:hAnsi="Arial" w:cs="Arial"/>
          <w:sz w:val="23"/>
          <w:szCs w:val="23"/>
        </w:rPr>
        <w:t xml:space="preserve"> cover the </w:t>
      </w:r>
      <w:r w:rsidR="00A32BFC">
        <w:rPr>
          <w:rFonts w:ascii="Arial" w:hAnsi="Arial" w:cs="Arial"/>
          <w:sz w:val="23"/>
          <w:szCs w:val="23"/>
        </w:rPr>
        <w:t xml:space="preserve">following </w:t>
      </w:r>
      <w:r w:rsidR="00061EDF">
        <w:rPr>
          <w:rFonts w:ascii="Arial" w:hAnsi="Arial" w:cs="Arial"/>
          <w:sz w:val="23"/>
          <w:szCs w:val="23"/>
        </w:rPr>
        <w:t>principles.</w:t>
      </w:r>
    </w:p>
    <w:p w14:paraId="74A94B1B" w14:textId="77777777" w:rsidR="00895039" w:rsidRDefault="00895039" w:rsidP="00895039">
      <w:pPr>
        <w:pStyle w:val="ListParagraph"/>
        <w:autoSpaceDE w:val="0"/>
        <w:autoSpaceDN w:val="0"/>
        <w:adjustRightInd w:val="0"/>
        <w:spacing w:after="120" w:line="360" w:lineRule="auto"/>
        <w:ind w:left="567"/>
        <w:jc w:val="both"/>
        <w:rPr>
          <w:rFonts w:ascii="Arial" w:hAnsi="Arial" w:cs="Arial"/>
          <w:sz w:val="23"/>
          <w:szCs w:val="23"/>
        </w:rPr>
      </w:pPr>
    </w:p>
    <w:p w14:paraId="7F0189E9" w14:textId="77777777" w:rsidR="00895039" w:rsidRDefault="00895039" w:rsidP="00895039">
      <w:pPr>
        <w:pStyle w:val="ListParagraph"/>
        <w:autoSpaceDE w:val="0"/>
        <w:autoSpaceDN w:val="0"/>
        <w:adjustRightInd w:val="0"/>
        <w:spacing w:after="120" w:line="360" w:lineRule="auto"/>
        <w:ind w:left="567"/>
        <w:jc w:val="both"/>
        <w:rPr>
          <w:rFonts w:ascii="Arial" w:hAnsi="Arial" w:cs="Arial"/>
          <w:sz w:val="23"/>
          <w:szCs w:val="23"/>
        </w:rPr>
      </w:pPr>
    </w:p>
    <w:p w14:paraId="27D09EFF" w14:textId="77777777" w:rsidR="00895039" w:rsidRDefault="00895039" w:rsidP="00895039">
      <w:pPr>
        <w:pStyle w:val="ListParagraph"/>
        <w:autoSpaceDE w:val="0"/>
        <w:autoSpaceDN w:val="0"/>
        <w:adjustRightInd w:val="0"/>
        <w:spacing w:after="120" w:line="360" w:lineRule="auto"/>
        <w:ind w:left="567"/>
        <w:jc w:val="both"/>
        <w:rPr>
          <w:rFonts w:ascii="Arial" w:hAnsi="Arial" w:cs="Arial"/>
          <w:sz w:val="23"/>
          <w:szCs w:val="23"/>
        </w:rPr>
      </w:pPr>
    </w:p>
    <w:p w14:paraId="7F33C9B3" w14:textId="77777777" w:rsidR="00895039" w:rsidRDefault="00895039" w:rsidP="00895039">
      <w:pPr>
        <w:pStyle w:val="Heading1"/>
        <w:numPr>
          <w:ilvl w:val="0"/>
          <w:numId w:val="0"/>
        </w:numPr>
        <w:ind w:left="360"/>
      </w:pPr>
    </w:p>
    <w:p w14:paraId="1BD8E412" w14:textId="77777777" w:rsidR="00895039" w:rsidRDefault="00895039" w:rsidP="00895039"/>
    <w:p w14:paraId="5193DDB3" w14:textId="77777777" w:rsidR="00895039" w:rsidRPr="00895039" w:rsidRDefault="00895039" w:rsidP="00895039"/>
    <w:p w14:paraId="075BC53D" w14:textId="45DDCFC4" w:rsidR="007C3DAD" w:rsidRPr="007E12E3" w:rsidRDefault="007C3DAD" w:rsidP="007C3DAD">
      <w:pPr>
        <w:pStyle w:val="NoSpacing"/>
        <w:spacing w:after="120"/>
        <w:ind w:left="567"/>
        <w:rPr>
          <w:rFonts w:ascii="Arial" w:hAnsi="Arial" w:cs="Arial"/>
          <w:i/>
          <w:sz w:val="23"/>
          <w:szCs w:val="23"/>
        </w:rPr>
      </w:pPr>
      <w:r w:rsidRPr="007E12E3">
        <w:rPr>
          <w:rFonts w:ascii="Arial" w:hAnsi="Arial" w:cs="Arial"/>
          <w:i/>
          <w:sz w:val="23"/>
          <w:szCs w:val="23"/>
        </w:rPr>
        <w:t xml:space="preserve">Table 1: Updated </w:t>
      </w:r>
      <w:r w:rsidR="000D0209">
        <w:rPr>
          <w:rFonts w:ascii="Arial" w:hAnsi="Arial" w:cs="Arial"/>
          <w:i/>
          <w:sz w:val="23"/>
          <w:szCs w:val="23"/>
        </w:rPr>
        <w:t>Liquidity Risk Management</w:t>
      </w:r>
      <w:r w:rsidR="00CF329E">
        <w:rPr>
          <w:rFonts w:ascii="Arial" w:hAnsi="Arial" w:cs="Arial"/>
          <w:i/>
          <w:sz w:val="23"/>
          <w:szCs w:val="23"/>
        </w:rPr>
        <w:t xml:space="preserve"> </w:t>
      </w:r>
      <w:r w:rsidR="00061EDF">
        <w:rPr>
          <w:rFonts w:ascii="Arial" w:hAnsi="Arial" w:cs="Arial"/>
          <w:i/>
          <w:sz w:val="23"/>
          <w:szCs w:val="23"/>
        </w:rPr>
        <w:t>Principle</w:t>
      </w:r>
      <w:r w:rsidR="00CF329E">
        <w:rPr>
          <w:rFonts w:ascii="Arial" w:hAnsi="Arial" w:cs="Arial"/>
          <w:i/>
          <w:sz w:val="23"/>
          <w:szCs w:val="23"/>
        </w:rPr>
        <w:t>s</w:t>
      </w:r>
    </w:p>
    <w:tbl>
      <w:tblPr>
        <w:tblStyle w:val="TableGrid"/>
        <w:tblW w:w="8505" w:type="dxa"/>
        <w:tblInd w:w="562" w:type="dxa"/>
        <w:tblLook w:val="04A0" w:firstRow="1" w:lastRow="0" w:firstColumn="1" w:lastColumn="0" w:noHBand="0" w:noVBand="1"/>
      </w:tblPr>
      <w:tblGrid>
        <w:gridCol w:w="1418"/>
        <w:gridCol w:w="7087"/>
      </w:tblGrid>
      <w:tr w:rsidR="00805B45" w:rsidRPr="00D8103A" w14:paraId="09AD2C66" w14:textId="77777777" w:rsidTr="00805B45">
        <w:trPr>
          <w:trHeight w:val="81"/>
        </w:trPr>
        <w:tc>
          <w:tcPr>
            <w:tcW w:w="1418" w:type="dxa"/>
            <w:shd w:val="clear" w:color="auto" w:fill="000000" w:themeFill="text1"/>
            <w:vAlign w:val="center"/>
          </w:tcPr>
          <w:p w14:paraId="5A649139" w14:textId="3018AA06" w:rsidR="007C3DAD" w:rsidRPr="00D8103A" w:rsidRDefault="00061EDF" w:rsidP="007C3DAD">
            <w:pPr>
              <w:pStyle w:val="NoSpacing"/>
              <w:spacing w:line="276" w:lineRule="auto"/>
              <w:jc w:val="center"/>
              <w:rPr>
                <w:rFonts w:ascii="Arial" w:hAnsi="Arial" w:cs="Arial"/>
                <w:b/>
                <w:color w:val="FFFFFF" w:themeColor="background1"/>
                <w:sz w:val="23"/>
                <w:szCs w:val="23"/>
              </w:rPr>
            </w:pPr>
            <w:r w:rsidRPr="00D8103A">
              <w:rPr>
                <w:rFonts w:ascii="Arial" w:hAnsi="Arial" w:cs="Arial"/>
                <w:b/>
                <w:color w:val="FFFFFF" w:themeColor="background1"/>
                <w:sz w:val="23"/>
                <w:szCs w:val="23"/>
              </w:rPr>
              <w:t>Principle</w:t>
            </w:r>
          </w:p>
        </w:tc>
        <w:tc>
          <w:tcPr>
            <w:tcW w:w="7087" w:type="dxa"/>
            <w:shd w:val="clear" w:color="auto" w:fill="000000" w:themeFill="text1"/>
            <w:vAlign w:val="center"/>
          </w:tcPr>
          <w:p w14:paraId="5F242BB2" w14:textId="77777777" w:rsidR="007C3DAD" w:rsidRPr="00D8103A" w:rsidRDefault="007C3DAD" w:rsidP="007C3DAD">
            <w:pPr>
              <w:pStyle w:val="NoSpacing"/>
              <w:spacing w:line="276" w:lineRule="auto"/>
              <w:jc w:val="center"/>
              <w:rPr>
                <w:rFonts w:ascii="Arial" w:hAnsi="Arial" w:cs="Arial"/>
                <w:b/>
                <w:color w:val="FFFFFF" w:themeColor="background1"/>
                <w:sz w:val="23"/>
                <w:szCs w:val="23"/>
              </w:rPr>
            </w:pPr>
            <w:r w:rsidRPr="00D8103A">
              <w:rPr>
                <w:rFonts w:ascii="Arial" w:hAnsi="Arial" w:cs="Arial"/>
                <w:b/>
                <w:color w:val="FFFFFF" w:themeColor="background1"/>
                <w:sz w:val="23"/>
                <w:szCs w:val="23"/>
              </w:rPr>
              <w:t>Description</w:t>
            </w:r>
          </w:p>
        </w:tc>
      </w:tr>
      <w:tr w:rsidR="00805B45" w:rsidRPr="00D8103A" w14:paraId="3FC7F115" w14:textId="77777777" w:rsidTr="000B7E13">
        <w:tc>
          <w:tcPr>
            <w:tcW w:w="8505" w:type="dxa"/>
            <w:gridSpan w:val="2"/>
          </w:tcPr>
          <w:p w14:paraId="257D4EEB" w14:textId="77777777" w:rsidR="006B48BC" w:rsidRPr="00D8103A" w:rsidRDefault="006B48BC" w:rsidP="000B7E13">
            <w:pPr>
              <w:pStyle w:val="NoSpacing"/>
              <w:jc w:val="center"/>
              <w:rPr>
                <w:rFonts w:ascii="Arial" w:hAnsi="Arial" w:cs="Arial"/>
                <w:b/>
                <w:sz w:val="23"/>
                <w:szCs w:val="23"/>
              </w:rPr>
            </w:pPr>
          </w:p>
          <w:p w14:paraId="2ACA1466" w14:textId="59D78E0C" w:rsidR="007C3DAD" w:rsidRPr="00D8103A" w:rsidRDefault="00A32BFC" w:rsidP="000B7E13">
            <w:pPr>
              <w:pStyle w:val="NoSpacing"/>
              <w:jc w:val="center"/>
              <w:rPr>
                <w:rFonts w:ascii="Arial" w:hAnsi="Arial" w:cs="Arial"/>
                <w:b/>
                <w:sz w:val="23"/>
                <w:szCs w:val="23"/>
              </w:rPr>
            </w:pPr>
            <w:r w:rsidRPr="00D8103A">
              <w:rPr>
                <w:rFonts w:ascii="Arial" w:hAnsi="Arial" w:cs="Arial"/>
                <w:b/>
                <w:sz w:val="23"/>
                <w:szCs w:val="23"/>
              </w:rPr>
              <w:t>Requirement for insurers</w:t>
            </w:r>
          </w:p>
          <w:p w14:paraId="12C8E362" w14:textId="235CA50E" w:rsidR="006B48BC" w:rsidRPr="00D8103A" w:rsidRDefault="006B48BC" w:rsidP="000B7E13">
            <w:pPr>
              <w:pStyle w:val="NoSpacing"/>
              <w:jc w:val="center"/>
              <w:rPr>
                <w:rFonts w:ascii="Arial" w:hAnsi="Arial" w:cs="Arial"/>
                <w:b/>
                <w:sz w:val="23"/>
                <w:szCs w:val="23"/>
              </w:rPr>
            </w:pPr>
          </w:p>
        </w:tc>
      </w:tr>
      <w:tr w:rsidR="00805B45" w:rsidRPr="00D8103A" w14:paraId="709B91C6" w14:textId="77777777" w:rsidTr="007C3DAD">
        <w:tc>
          <w:tcPr>
            <w:tcW w:w="1418" w:type="dxa"/>
          </w:tcPr>
          <w:p w14:paraId="538D0BA3" w14:textId="4935026F" w:rsidR="007C3DAD" w:rsidRPr="00D8103A" w:rsidRDefault="00061EDF" w:rsidP="007C3DAD">
            <w:pPr>
              <w:pStyle w:val="NoSpacing"/>
              <w:spacing w:line="276" w:lineRule="auto"/>
              <w:rPr>
                <w:rFonts w:ascii="Arial" w:hAnsi="Arial" w:cs="Arial"/>
                <w:sz w:val="23"/>
                <w:szCs w:val="23"/>
              </w:rPr>
            </w:pPr>
            <w:r w:rsidRPr="00D8103A">
              <w:rPr>
                <w:rFonts w:ascii="Arial" w:hAnsi="Arial" w:cs="Arial"/>
                <w:sz w:val="23"/>
                <w:szCs w:val="23"/>
              </w:rPr>
              <w:t>Principle</w:t>
            </w:r>
            <w:r w:rsidR="007C3DAD" w:rsidRPr="00D8103A">
              <w:rPr>
                <w:rFonts w:ascii="Arial" w:hAnsi="Arial" w:cs="Arial"/>
                <w:sz w:val="23"/>
                <w:szCs w:val="23"/>
              </w:rPr>
              <w:t xml:space="preserve"> 1</w:t>
            </w:r>
          </w:p>
        </w:tc>
        <w:tc>
          <w:tcPr>
            <w:tcW w:w="7087" w:type="dxa"/>
          </w:tcPr>
          <w:p w14:paraId="65044A19" w14:textId="2658E363" w:rsidR="00E754D0" w:rsidRPr="00D8103A" w:rsidRDefault="00A32BFC" w:rsidP="00C94ADA">
            <w:pPr>
              <w:pStyle w:val="NoSpacing"/>
              <w:spacing w:line="276" w:lineRule="auto"/>
              <w:jc w:val="both"/>
              <w:rPr>
                <w:rFonts w:ascii="Arial" w:hAnsi="Arial" w:cs="Arial"/>
                <w:sz w:val="23"/>
                <w:szCs w:val="23"/>
              </w:rPr>
            </w:pPr>
            <w:r w:rsidRPr="00D8103A">
              <w:rPr>
                <w:rFonts w:ascii="Arial" w:hAnsi="Arial" w:cs="Arial"/>
                <w:sz w:val="23"/>
                <w:szCs w:val="23"/>
              </w:rPr>
              <w:t xml:space="preserve">The Prudential Standard applies to all insurers licensed under the Insurance Act, 2017 (the Act), other than </w:t>
            </w:r>
            <w:r w:rsidR="00261EC2" w:rsidRPr="00D8103A">
              <w:rPr>
                <w:rFonts w:ascii="Arial" w:hAnsi="Arial" w:cs="Arial"/>
                <w:sz w:val="23"/>
                <w:szCs w:val="23"/>
              </w:rPr>
              <w:t>micro</w:t>
            </w:r>
            <w:r w:rsidR="00261EC2">
              <w:rPr>
                <w:rFonts w:ascii="Arial" w:hAnsi="Arial" w:cs="Arial"/>
                <w:sz w:val="23"/>
                <w:szCs w:val="23"/>
              </w:rPr>
              <w:t>-</w:t>
            </w:r>
            <w:r w:rsidR="00261EC2" w:rsidRPr="00D8103A">
              <w:rPr>
                <w:rFonts w:ascii="Arial" w:hAnsi="Arial" w:cs="Arial"/>
                <w:sz w:val="23"/>
                <w:szCs w:val="23"/>
              </w:rPr>
              <w:t>insurers</w:t>
            </w:r>
            <w:r w:rsidRPr="00D8103A">
              <w:rPr>
                <w:rFonts w:ascii="Arial" w:hAnsi="Arial" w:cs="Arial"/>
                <w:sz w:val="23"/>
                <w:szCs w:val="23"/>
              </w:rPr>
              <w:t>, Lloyd’s, and branches of foreign reinsurers. The Standard does not apply to insurance obligations where the policyholder bears the investment risk.</w:t>
            </w:r>
          </w:p>
        </w:tc>
      </w:tr>
      <w:tr w:rsidR="00805B45" w:rsidRPr="00D8103A" w14:paraId="4FB16FEC" w14:textId="77777777" w:rsidTr="007C3DAD">
        <w:tc>
          <w:tcPr>
            <w:tcW w:w="1418" w:type="dxa"/>
          </w:tcPr>
          <w:p w14:paraId="1B3439F7" w14:textId="72FB9BE3" w:rsidR="007C3DAD" w:rsidRPr="00D8103A" w:rsidRDefault="00061EDF" w:rsidP="007C3DAD">
            <w:pPr>
              <w:pStyle w:val="NoSpacing"/>
              <w:spacing w:line="276" w:lineRule="auto"/>
              <w:rPr>
                <w:rFonts w:ascii="Arial" w:hAnsi="Arial" w:cs="Arial"/>
                <w:sz w:val="23"/>
                <w:szCs w:val="23"/>
              </w:rPr>
            </w:pPr>
            <w:r w:rsidRPr="00D8103A">
              <w:rPr>
                <w:rFonts w:ascii="Arial" w:hAnsi="Arial" w:cs="Arial"/>
                <w:sz w:val="23"/>
                <w:szCs w:val="23"/>
              </w:rPr>
              <w:t>Principle</w:t>
            </w:r>
            <w:r w:rsidR="007C3DAD" w:rsidRPr="00D8103A">
              <w:rPr>
                <w:rFonts w:ascii="Arial" w:hAnsi="Arial" w:cs="Arial"/>
                <w:sz w:val="23"/>
                <w:szCs w:val="23"/>
              </w:rPr>
              <w:t xml:space="preserve"> 2</w:t>
            </w:r>
          </w:p>
        </w:tc>
        <w:tc>
          <w:tcPr>
            <w:tcW w:w="7087" w:type="dxa"/>
          </w:tcPr>
          <w:p w14:paraId="6C5FD247" w14:textId="3312E60E" w:rsidR="00A32BFC" w:rsidRPr="00D8103A" w:rsidRDefault="00A32BFC" w:rsidP="00C94ADA">
            <w:pPr>
              <w:pStyle w:val="NoSpacing"/>
              <w:spacing w:line="276" w:lineRule="auto"/>
              <w:jc w:val="both"/>
              <w:rPr>
                <w:rFonts w:ascii="Arial" w:hAnsi="Arial" w:cs="Arial"/>
                <w:sz w:val="23"/>
                <w:szCs w:val="23"/>
              </w:rPr>
            </w:pPr>
            <w:r w:rsidRPr="00D8103A">
              <w:rPr>
                <w:rFonts w:ascii="Arial" w:hAnsi="Arial" w:cs="Arial"/>
                <w:sz w:val="23"/>
                <w:szCs w:val="23"/>
              </w:rPr>
              <w:t>An insurer’s board of directors is ultimately responsible for ensuring that the insurer complies with the principles and requirements of this Standard.</w:t>
            </w:r>
          </w:p>
          <w:p w14:paraId="4C82B48C" w14:textId="77777777" w:rsidR="00A32BFC" w:rsidRPr="00D8103A" w:rsidRDefault="00A32BFC" w:rsidP="00C94ADA">
            <w:pPr>
              <w:pStyle w:val="NoSpacing"/>
              <w:spacing w:line="276" w:lineRule="auto"/>
              <w:jc w:val="both"/>
              <w:rPr>
                <w:rFonts w:ascii="Arial" w:hAnsi="Arial" w:cs="Arial"/>
                <w:sz w:val="23"/>
                <w:szCs w:val="23"/>
              </w:rPr>
            </w:pPr>
          </w:p>
          <w:p w14:paraId="7E7FBAB8" w14:textId="7325865A" w:rsidR="00A32BFC" w:rsidRPr="00D8103A" w:rsidRDefault="00A32BFC" w:rsidP="00A32BFC">
            <w:pPr>
              <w:pStyle w:val="NoSpacing"/>
              <w:spacing w:line="276" w:lineRule="auto"/>
              <w:jc w:val="both"/>
              <w:rPr>
                <w:rFonts w:ascii="Arial" w:hAnsi="Arial" w:cs="Arial"/>
                <w:sz w:val="23"/>
                <w:szCs w:val="23"/>
              </w:rPr>
            </w:pPr>
            <w:r w:rsidRPr="00D8103A">
              <w:rPr>
                <w:rFonts w:ascii="Arial" w:hAnsi="Arial" w:cs="Arial"/>
                <w:sz w:val="23"/>
                <w:szCs w:val="23"/>
              </w:rPr>
              <w:t xml:space="preserve">The </w:t>
            </w:r>
            <w:r w:rsidR="00C468E4">
              <w:rPr>
                <w:rFonts w:ascii="Arial" w:hAnsi="Arial" w:cs="Arial"/>
                <w:sz w:val="23"/>
                <w:szCs w:val="23"/>
              </w:rPr>
              <w:t>H</w:t>
            </w:r>
            <w:r w:rsidRPr="00D8103A">
              <w:rPr>
                <w:rFonts w:ascii="Arial" w:hAnsi="Arial" w:cs="Arial"/>
                <w:sz w:val="23"/>
                <w:szCs w:val="23"/>
              </w:rPr>
              <w:t xml:space="preserve">ead of the </w:t>
            </w:r>
            <w:r w:rsidR="00C468E4">
              <w:rPr>
                <w:rFonts w:ascii="Arial" w:hAnsi="Arial" w:cs="Arial"/>
                <w:sz w:val="23"/>
                <w:szCs w:val="23"/>
              </w:rPr>
              <w:t>A</w:t>
            </w:r>
            <w:r w:rsidRPr="00D8103A">
              <w:rPr>
                <w:rFonts w:ascii="Arial" w:hAnsi="Arial" w:cs="Arial"/>
                <w:sz w:val="23"/>
                <w:szCs w:val="23"/>
              </w:rPr>
              <w:t xml:space="preserve">ctuarial </w:t>
            </w:r>
            <w:r w:rsidR="001F44B4">
              <w:rPr>
                <w:rFonts w:ascii="Arial" w:hAnsi="Arial" w:cs="Arial"/>
                <w:sz w:val="23"/>
                <w:szCs w:val="23"/>
              </w:rPr>
              <w:t>Fu</w:t>
            </w:r>
            <w:r w:rsidRPr="00D8103A">
              <w:rPr>
                <w:rFonts w:ascii="Arial" w:hAnsi="Arial" w:cs="Arial"/>
                <w:sz w:val="23"/>
                <w:szCs w:val="23"/>
              </w:rPr>
              <w:t>nction (HAF)</w:t>
            </w:r>
            <w:r w:rsidR="0026303A">
              <w:rPr>
                <w:rFonts w:ascii="Arial" w:hAnsi="Arial" w:cs="Arial"/>
                <w:sz w:val="23"/>
                <w:szCs w:val="23"/>
              </w:rPr>
              <w:t xml:space="preserve"> and the Chief Risk Officer</w:t>
            </w:r>
            <w:r w:rsidRPr="00D8103A">
              <w:rPr>
                <w:rFonts w:ascii="Arial" w:hAnsi="Arial" w:cs="Arial"/>
                <w:sz w:val="23"/>
                <w:szCs w:val="23"/>
              </w:rPr>
              <w:t xml:space="preserve"> </w:t>
            </w:r>
            <w:r w:rsidR="001F44B4">
              <w:rPr>
                <w:rFonts w:ascii="Arial" w:hAnsi="Arial" w:cs="Arial"/>
                <w:sz w:val="23"/>
                <w:szCs w:val="23"/>
              </w:rPr>
              <w:t xml:space="preserve">(CRO) </w:t>
            </w:r>
            <w:r w:rsidRPr="00D8103A">
              <w:rPr>
                <w:rFonts w:ascii="Arial" w:hAnsi="Arial" w:cs="Arial"/>
                <w:sz w:val="23"/>
                <w:szCs w:val="23"/>
              </w:rPr>
              <w:t xml:space="preserve">of </w:t>
            </w:r>
            <w:r w:rsidR="001F44B4">
              <w:rPr>
                <w:rFonts w:ascii="Arial" w:hAnsi="Arial" w:cs="Arial"/>
                <w:sz w:val="23"/>
                <w:szCs w:val="23"/>
              </w:rPr>
              <w:t>the</w:t>
            </w:r>
            <w:r w:rsidRPr="00D8103A">
              <w:rPr>
                <w:rFonts w:ascii="Arial" w:hAnsi="Arial" w:cs="Arial"/>
                <w:sz w:val="23"/>
                <w:szCs w:val="23"/>
              </w:rPr>
              <w:t xml:space="preserve"> insurer </w:t>
            </w:r>
            <w:r w:rsidR="00B44FA6">
              <w:rPr>
                <w:rFonts w:ascii="Arial" w:hAnsi="Arial" w:cs="Arial"/>
                <w:sz w:val="23"/>
                <w:szCs w:val="23"/>
              </w:rPr>
              <w:t>are</w:t>
            </w:r>
            <w:r w:rsidRPr="00D8103A">
              <w:rPr>
                <w:rFonts w:ascii="Arial" w:hAnsi="Arial" w:cs="Arial"/>
                <w:sz w:val="23"/>
                <w:szCs w:val="23"/>
              </w:rPr>
              <w:t xml:space="preserve"> responsible for providing an opinion to the board of directors on the accuracy of the calculations and the appropriateness of the assumptions underlying the insurance liquidity ratio.</w:t>
            </w:r>
          </w:p>
          <w:p w14:paraId="1B44B15E" w14:textId="77777777" w:rsidR="00A32BFC" w:rsidRPr="00D8103A" w:rsidRDefault="00A32BFC" w:rsidP="00A32BFC">
            <w:pPr>
              <w:pStyle w:val="NoSpacing"/>
              <w:spacing w:line="276" w:lineRule="auto"/>
              <w:jc w:val="both"/>
              <w:rPr>
                <w:rFonts w:ascii="Arial" w:hAnsi="Arial" w:cs="Arial"/>
                <w:sz w:val="23"/>
                <w:szCs w:val="23"/>
              </w:rPr>
            </w:pPr>
          </w:p>
          <w:p w14:paraId="59012026" w14:textId="32E37F0B" w:rsidR="00A32BFC" w:rsidRPr="00D8103A" w:rsidRDefault="00A32BFC" w:rsidP="00A32BFC">
            <w:pPr>
              <w:pStyle w:val="NoSpacing"/>
              <w:spacing w:line="276" w:lineRule="auto"/>
              <w:jc w:val="both"/>
              <w:rPr>
                <w:rFonts w:ascii="Arial" w:hAnsi="Arial" w:cs="Arial"/>
                <w:sz w:val="23"/>
                <w:szCs w:val="23"/>
              </w:rPr>
            </w:pPr>
            <w:r w:rsidRPr="00D8103A">
              <w:rPr>
                <w:rFonts w:ascii="Arial" w:hAnsi="Arial" w:cs="Arial"/>
                <w:sz w:val="23"/>
                <w:szCs w:val="23"/>
              </w:rPr>
              <w:t>An insurer’s auditor must audit the financial soundness of an insurer in accordance with its legal and regulatory obligations. The auditor must report to the board of directors and Prudential Authority any matters identified during the performance of its responsibilities that may cause the insurer to be not financially sound.</w:t>
            </w:r>
          </w:p>
          <w:p w14:paraId="1F068AA2" w14:textId="77777777" w:rsidR="00A32BFC" w:rsidRPr="00D8103A" w:rsidRDefault="00A32BFC" w:rsidP="00A32BFC">
            <w:pPr>
              <w:pStyle w:val="NoSpacing"/>
              <w:spacing w:line="276" w:lineRule="auto"/>
              <w:jc w:val="both"/>
              <w:rPr>
                <w:rFonts w:ascii="Arial" w:hAnsi="Arial" w:cs="Arial"/>
                <w:sz w:val="23"/>
                <w:szCs w:val="23"/>
              </w:rPr>
            </w:pPr>
          </w:p>
          <w:p w14:paraId="3DA074E6" w14:textId="3819BA11" w:rsidR="00A32BFC" w:rsidRPr="00D8103A" w:rsidRDefault="00A32BFC" w:rsidP="00C94ADA">
            <w:pPr>
              <w:pStyle w:val="NoSpacing"/>
              <w:spacing w:line="276" w:lineRule="auto"/>
              <w:jc w:val="both"/>
              <w:rPr>
                <w:rFonts w:ascii="Arial" w:hAnsi="Arial" w:cs="Arial"/>
                <w:sz w:val="23"/>
                <w:szCs w:val="23"/>
              </w:rPr>
            </w:pPr>
          </w:p>
        </w:tc>
      </w:tr>
      <w:tr w:rsidR="00805B45" w:rsidRPr="00D8103A" w14:paraId="15D78FC6" w14:textId="77777777" w:rsidTr="007C3DAD">
        <w:tc>
          <w:tcPr>
            <w:tcW w:w="1418" w:type="dxa"/>
          </w:tcPr>
          <w:p w14:paraId="651F9ECD" w14:textId="24FF4B29" w:rsidR="007C3DAD" w:rsidRPr="00D8103A" w:rsidRDefault="00061EDF" w:rsidP="007C3DAD">
            <w:pPr>
              <w:pStyle w:val="NoSpacing"/>
              <w:spacing w:line="276" w:lineRule="auto"/>
              <w:rPr>
                <w:rFonts w:ascii="Arial" w:hAnsi="Arial" w:cs="Arial"/>
                <w:sz w:val="23"/>
                <w:szCs w:val="23"/>
              </w:rPr>
            </w:pPr>
            <w:r w:rsidRPr="00D8103A">
              <w:rPr>
                <w:rFonts w:ascii="Arial" w:hAnsi="Arial" w:cs="Arial"/>
                <w:sz w:val="23"/>
                <w:szCs w:val="23"/>
              </w:rPr>
              <w:t>Principle</w:t>
            </w:r>
            <w:r w:rsidR="007C3DAD" w:rsidRPr="00D8103A">
              <w:rPr>
                <w:rFonts w:ascii="Arial" w:hAnsi="Arial" w:cs="Arial"/>
                <w:sz w:val="23"/>
                <w:szCs w:val="23"/>
              </w:rPr>
              <w:t xml:space="preserve"> 3</w:t>
            </w:r>
          </w:p>
        </w:tc>
        <w:tc>
          <w:tcPr>
            <w:tcW w:w="7087" w:type="dxa"/>
          </w:tcPr>
          <w:p w14:paraId="70466E3F" w14:textId="6AA5CB53" w:rsidR="00E754D0" w:rsidRPr="00D8103A" w:rsidRDefault="00A32BFC" w:rsidP="002E4F61">
            <w:pPr>
              <w:pStyle w:val="NormalWeb"/>
              <w:spacing w:before="0" w:beforeAutospacing="0" w:after="0" w:afterAutospacing="0" w:line="276" w:lineRule="auto"/>
              <w:jc w:val="both"/>
              <w:rPr>
                <w:rFonts w:ascii="Arial" w:hAnsi="Arial" w:cs="Arial"/>
                <w:sz w:val="23"/>
                <w:szCs w:val="23"/>
              </w:rPr>
            </w:pPr>
            <w:r w:rsidRPr="00D8103A">
              <w:rPr>
                <w:rFonts w:ascii="Arial" w:hAnsi="Arial" w:cs="Arial"/>
                <w:sz w:val="23"/>
                <w:szCs w:val="23"/>
              </w:rPr>
              <w:t xml:space="preserve">The board of directors must ensure the insurer has an adequate governance framework for liquidity risk that supports the identification, assessment, management, reporting, and planning of risk-mitigating </w:t>
            </w:r>
            <w:r w:rsidR="00955F37">
              <w:rPr>
                <w:rFonts w:ascii="Arial" w:hAnsi="Arial" w:cs="Arial"/>
                <w:sz w:val="23"/>
                <w:szCs w:val="23"/>
              </w:rPr>
              <w:t>decisions</w:t>
            </w:r>
            <w:r w:rsidRPr="00D8103A">
              <w:rPr>
                <w:rFonts w:ascii="Arial" w:hAnsi="Arial" w:cs="Arial"/>
                <w:sz w:val="23"/>
                <w:szCs w:val="23"/>
              </w:rPr>
              <w:t xml:space="preserve">. </w:t>
            </w:r>
          </w:p>
          <w:p w14:paraId="7AE2442D" w14:textId="77777777" w:rsidR="00A32BFC" w:rsidRPr="00D8103A" w:rsidRDefault="00A32BFC" w:rsidP="002E4F61">
            <w:pPr>
              <w:pStyle w:val="NormalWeb"/>
              <w:spacing w:before="0" w:beforeAutospacing="0" w:after="0" w:afterAutospacing="0" w:line="276" w:lineRule="auto"/>
              <w:jc w:val="both"/>
              <w:rPr>
                <w:rFonts w:ascii="Arial" w:hAnsi="Arial" w:cs="Arial"/>
                <w:sz w:val="23"/>
                <w:szCs w:val="23"/>
              </w:rPr>
            </w:pPr>
          </w:p>
          <w:p w14:paraId="091C1829" w14:textId="2CB59946" w:rsidR="00A32BFC" w:rsidRPr="00D8103A" w:rsidRDefault="00A32BFC" w:rsidP="002E4F61">
            <w:pPr>
              <w:pStyle w:val="NormalWeb"/>
              <w:spacing w:after="0" w:line="276" w:lineRule="auto"/>
              <w:jc w:val="both"/>
              <w:rPr>
                <w:rFonts w:ascii="Arial" w:hAnsi="Arial" w:cs="Arial"/>
                <w:sz w:val="23"/>
                <w:szCs w:val="23"/>
              </w:rPr>
            </w:pPr>
            <w:r w:rsidRPr="00D8103A">
              <w:rPr>
                <w:rFonts w:ascii="Arial" w:hAnsi="Arial" w:cs="Arial"/>
                <w:sz w:val="23"/>
                <w:szCs w:val="23"/>
              </w:rPr>
              <w:t xml:space="preserve">An insurer must develop a board-approved risk appetite and tolerance for liquidity risk. The board is responsible for the effectiveness of the liquidity risk appetite or tolerance on an ongoing basis. </w:t>
            </w:r>
          </w:p>
        </w:tc>
      </w:tr>
      <w:tr w:rsidR="00805B45" w:rsidRPr="00D8103A" w14:paraId="0417C3D6" w14:textId="77777777" w:rsidTr="007C3DAD">
        <w:tc>
          <w:tcPr>
            <w:tcW w:w="1418" w:type="dxa"/>
          </w:tcPr>
          <w:p w14:paraId="09B35F39" w14:textId="3D551553" w:rsidR="007C3DAD" w:rsidRPr="00D8103A" w:rsidRDefault="00061EDF" w:rsidP="007C3DAD">
            <w:pPr>
              <w:pStyle w:val="NoSpacing"/>
              <w:spacing w:line="276" w:lineRule="auto"/>
              <w:rPr>
                <w:rFonts w:ascii="Arial" w:hAnsi="Arial" w:cs="Arial"/>
                <w:sz w:val="23"/>
                <w:szCs w:val="23"/>
              </w:rPr>
            </w:pPr>
            <w:r w:rsidRPr="00D8103A">
              <w:rPr>
                <w:rFonts w:ascii="Arial" w:hAnsi="Arial" w:cs="Arial"/>
                <w:sz w:val="23"/>
                <w:szCs w:val="23"/>
              </w:rPr>
              <w:t>Principle</w:t>
            </w:r>
            <w:r w:rsidR="007C3DAD" w:rsidRPr="00D8103A">
              <w:rPr>
                <w:rFonts w:ascii="Arial" w:hAnsi="Arial" w:cs="Arial"/>
                <w:sz w:val="23"/>
                <w:szCs w:val="23"/>
              </w:rPr>
              <w:t xml:space="preserve"> 4</w:t>
            </w:r>
          </w:p>
        </w:tc>
        <w:tc>
          <w:tcPr>
            <w:tcW w:w="7087" w:type="dxa"/>
          </w:tcPr>
          <w:p w14:paraId="4158BB57" w14:textId="1CD2BA75" w:rsidR="00E754D0" w:rsidRPr="00D8103A" w:rsidRDefault="00686B5A" w:rsidP="007C3DAD">
            <w:pPr>
              <w:pStyle w:val="NormalWeb"/>
              <w:spacing w:before="0" w:beforeAutospacing="0" w:after="0" w:afterAutospacing="0" w:line="276" w:lineRule="auto"/>
              <w:jc w:val="both"/>
              <w:rPr>
                <w:rFonts w:ascii="Arial" w:hAnsi="Arial" w:cs="Arial"/>
                <w:sz w:val="23"/>
                <w:szCs w:val="23"/>
              </w:rPr>
            </w:pPr>
            <w:r w:rsidRPr="00D8103A">
              <w:rPr>
                <w:rFonts w:ascii="Arial" w:hAnsi="Arial" w:cs="Arial"/>
                <w:sz w:val="23"/>
                <w:szCs w:val="23"/>
              </w:rPr>
              <w:t xml:space="preserve">The insurer must identify and understand the drivers of its liquidity risk exposures and the implications of these liquidity risk drivers on its liquidity position, both under business as usual and stressed conditions. </w:t>
            </w:r>
          </w:p>
        </w:tc>
      </w:tr>
      <w:tr w:rsidR="00805B45" w:rsidRPr="00D8103A" w14:paraId="4FE25049" w14:textId="77777777" w:rsidTr="007C3DAD">
        <w:tc>
          <w:tcPr>
            <w:tcW w:w="1418" w:type="dxa"/>
          </w:tcPr>
          <w:p w14:paraId="1EC0AA4F" w14:textId="570869A2" w:rsidR="007C3DAD" w:rsidRPr="00D8103A" w:rsidRDefault="00061EDF" w:rsidP="007C3DAD">
            <w:pPr>
              <w:pStyle w:val="NoSpacing"/>
              <w:spacing w:line="276" w:lineRule="auto"/>
              <w:rPr>
                <w:rFonts w:ascii="Arial" w:hAnsi="Arial" w:cs="Arial"/>
                <w:sz w:val="23"/>
                <w:szCs w:val="23"/>
              </w:rPr>
            </w:pPr>
            <w:r w:rsidRPr="00D8103A">
              <w:rPr>
                <w:rFonts w:ascii="Arial" w:hAnsi="Arial" w:cs="Arial"/>
                <w:sz w:val="23"/>
                <w:szCs w:val="23"/>
              </w:rPr>
              <w:lastRenderedPageBreak/>
              <w:t>Principle</w:t>
            </w:r>
            <w:r w:rsidR="007C3DAD" w:rsidRPr="00D8103A">
              <w:rPr>
                <w:rFonts w:ascii="Arial" w:hAnsi="Arial" w:cs="Arial"/>
                <w:sz w:val="23"/>
                <w:szCs w:val="23"/>
              </w:rPr>
              <w:t xml:space="preserve"> 5</w:t>
            </w:r>
          </w:p>
        </w:tc>
        <w:tc>
          <w:tcPr>
            <w:tcW w:w="7087" w:type="dxa"/>
          </w:tcPr>
          <w:p w14:paraId="605249B3" w14:textId="78A0B4C4" w:rsidR="00E754D0" w:rsidRPr="00D8103A" w:rsidRDefault="00686B5A" w:rsidP="007C3DAD">
            <w:pPr>
              <w:pStyle w:val="NormalWeb"/>
              <w:spacing w:before="0" w:beforeAutospacing="0" w:after="0" w:afterAutospacing="0" w:line="276" w:lineRule="auto"/>
              <w:jc w:val="both"/>
              <w:rPr>
                <w:rFonts w:ascii="Arial" w:hAnsi="Arial" w:cs="Arial"/>
                <w:sz w:val="23"/>
                <w:szCs w:val="23"/>
              </w:rPr>
            </w:pPr>
            <w:r w:rsidRPr="00D8103A">
              <w:rPr>
                <w:rFonts w:ascii="Arial" w:hAnsi="Arial" w:cs="Arial"/>
                <w:sz w:val="23"/>
                <w:szCs w:val="23"/>
              </w:rPr>
              <w:t>Insurers must conduct stress tests that encompass a diverse set of severe yet plausible scenarios, encompassing short-term and protracted macroeconomic fluctuations, sector-wide disruptions, idiosyncratic events, and a combination of these factors. These stress tests should accurately reflect the unique characteristics of the insurer's business operations.</w:t>
            </w:r>
            <w:r w:rsidRPr="00D8103A" w:rsidDel="003E772A">
              <w:rPr>
                <w:rFonts w:ascii="Arial" w:hAnsi="Arial" w:cs="Arial"/>
                <w:sz w:val="23"/>
                <w:szCs w:val="23"/>
              </w:rPr>
              <w:t xml:space="preserve"> </w:t>
            </w:r>
          </w:p>
        </w:tc>
      </w:tr>
      <w:tr w:rsidR="00805B45" w:rsidRPr="00D8103A" w14:paraId="598ED742" w14:textId="77777777" w:rsidTr="007C3DAD">
        <w:tc>
          <w:tcPr>
            <w:tcW w:w="1418" w:type="dxa"/>
          </w:tcPr>
          <w:p w14:paraId="382EEED1" w14:textId="609F79A3" w:rsidR="007C3DAD" w:rsidRPr="00D8103A" w:rsidRDefault="00061EDF" w:rsidP="007C3DAD">
            <w:pPr>
              <w:pStyle w:val="NoSpacing"/>
              <w:spacing w:line="276" w:lineRule="auto"/>
              <w:rPr>
                <w:rFonts w:ascii="Arial" w:hAnsi="Arial" w:cs="Arial"/>
                <w:sz w:val="23"/>
                <w:szCs w:val="23"/>
              </w:rPr>
            </w:pPr>
            <w:r w:rsidRPr="00D8103A">
              <w:rPr>
                <w:rFonts w:ascii="Arial" w:hAnsi="Arial" w:cs="Arial"/>
                <w:sz w:val="23"/>
                <w:szCs w:val="23"/>
              </w:rPr>
              <w:t>Principle</w:t>
            </w:r>
            <w:r w:rsidR="007C3DAD" w:rsidRPr="00D8103A">
              <w:rPr>
                <w:rFonts w:ascii="Arial" w:hAnsi="Arial" w:cs="Arial"/>
                <w:sz w:val="23"/>
                <w:szCs w:val="23"/>
              </w:rPr>
              <w:t xml:space="preserve"> 6</w:t>
            </w:r>
          </w:p>
        </w:tc>
        <w:tc>
          <w:tcPr>
            <w:tcW w:w="7087" w:type="dxa"/>
          </w:tcPr>
          <w:p w14:paraId="7B8C89C9" w14:textId="39ED8125" w:rsidR="00E754D0" w:rsidRPr="00D8103A" w:rsidRDefault="00686B5A" w:rsidP="00686B5A">
            <w:pPr>
              <w:spacing w:after="160" w:line="259" w:lineRule="auto"/>
              <w:jc w:val="both"/>
              <w:rPr>
                <w:rFonts w:ascii="Arial" w:eastAsia="Times New Roman" w:hAnsi="Arial" w:cs="Arial"/>
                <w:sz w:val="23"/>
                <w:szCs w:val="23"/>
                <w:lang w:eastAsia="en-ZA"/>
              </w:rPr>
            </w:pPr>
            <w:r w:rsidRPr="00D8103A">
              <w:rPr>
                <w:rFonts w:ascii="Arial" w:eastAsia="Times New Roman" w:hAnsi="Arial" w:cs="Arial"/>
                <w:sz w:val="23"/>
                <w:szCs w:val="23"/>
                <w:lang w:eastAsia="en-ZA"/>
              </w:rPr>
              <w:t xml:space="preserve">An insurer must hold a portfolio of high-quality liquid assets that </w:t>
            </w:r>
            <w:r w:rsidR="00597D72" w:rsidRPr="00D8103A">
              <w:rPr>
                <w:rFonts w:ascii="Arial" w:eastAsia="Times New Roman" w:hAnsi="Arial" w:cs="Arial"/>
                <w:sz w:val="23"/>
                <w:szCs w:val="23"/>
                <w:lang w:eastAsia="en-ZA"/>
              </w:rPr>
              <w:t xml:space="preserve">are </w:t>
            </w:r>
            <w:r w:rsidRPr="00D8103A">
              <w:rPr>
                <w:rFonts w:ascii="Arial" w:eastAsia="Times New Roman" w:hAnsi="Arial" w:cs="Arial"/>
                <w:sz w:val="23"/>
                <w:szCs w:val="23"/>
                <w:lang w:eastAsia="en-ZA"/>
              </w:rPr>
              <w:t>sufficient to cover its liquidity needs at a given time horizon, both in business as usual and stressed conditions.</w:t>
            </w:r>
          </w:p>
        </w:tc>
      </w:tr>
      <w:tr w:rsidR="00805B45" w:rsidRPr="00D8103A" w14:paraId="2139D96B" w14:textId="77777777" w:rsidTr="007C3DAD">
        <w:tc>
          <w:tcPr>
            <w:tcW w:w="1418" w:type="dxa"/>
          </w:tcPr>
          <w:p w14:paraId="57E4E6E7" w14:textId="648B8A45" w:rsidR="007C3DAD" w:rsidRPr="00D8103A" w:rsidRDefault="00061EDF" w:rsidP="007C3DAD">
            <w:pPr>
              <w:pStyle w:val="NoSpacing"/>
              <w:spacing w:line="276" w:lineRule="auto"/>
              <w:rPr>
                <w:rFonts w:ascii="Arial" w:hAnsi="Arial" w:cs="Arial"/>
                <w:sz w:val="23"/>
                <w:szCs w:val="23"/>
              </w:rPr>
            </w:pPr>
            <w:r w:rsidRPr="00D8103A">
              <w:rPr>
                <w:rFonts w:ascii="Arial" w:hAnsi="Arial" w:cs="Arial"/>
                <w:sz w:val="23"/>
                <w:szCs w:val="23"/>
              </w:rPr>
              <w:t>Principle</w:t>
            </w:r>
            <w:r w:rsidR="007C3DAD" w:rsidRPr="00D8103A">
              <w:rPr>
                <w:rFonts w:ascii="Arial" w:hAnsi="Arial" w:cs="Arial"/>
                <w:sz w:val="23"/>
                <w:szCs w:val="23"/>
              </w:rPr>
              <w:t xml:space="preserve"> 7</w:t>
            </w:r>
          </w:p>
        </w:tc>
        <w:tc>
          <w:tcPr>
            <w:tcW w:w="7087" w:type="dxa"/>
          </w:tcPr>
          <w:p w14:paraId="037B034A" w14:textId="02611989" w:rsidR="00E754D0" w:rsidRPr="00D8103A" w:rsidRDefault="00686B5A" w:rsidP="00686B5A">
            <w:pPr>
              <w:pStyle w:val="NormalWeb"/>
              <w:spacing w:after="0" w:line="276" w:lineRule="auto"/>
              <w:jc w:val="both"/>
              <w:rPr>
                <w:rFonts w:ascii="Arial" w:hAnsi="Arial" w:cs="Arial"/>
                <w:sz w:val="23"/>
                <w:szCs w:val="23"/>
              </w:rPr>
            </w:pPr>
            <w:r w:rsidRPr="00D8103A">
              <w:rPr>
                <w:rFonts w:ascii="Arial" w:hAnsi="Arial" w:cs="Arial"/>
                <w:sz w:val="23"/>
                <w:szCs w:val="23"/>
              </w:rPr>
              <w:t xml:space="preserve">The Insurance Liquidity Ratio (ILR) </w:t>
            </w:r>
            <w:r w:rsidR="00CA5335">
              <w:rPr>
                <w:rFonts w:ascii="Arial" w:hAnsi="Arial" w:cs="Arial"/>
                <w:sz w:val="23"/>
                <w:szCs w:val="23"/>
              </w:rPr>
              <w:t>is an evaluation tool for the Prudential Authority to gauge the extent of liquidity risk faced by an insurer. Insurers are obligated to uphold an ILR of at least 100% over a one-month</w:t>
            </w:r>
            <w:r w:rsidRPr="00D8103A">
              <w:rPr>
                <w:rFonts w:ascii="Arial" w:hAnsi="Arial" w:cs="Arial"/>
                <w:sz w:val="23"/>
                <w:szCs w:val="23"/>
              </w:rPr>
              <w:t xml:space="preserve"> time horizon.</w:t>
            </w:r>
          </w:p>
        </w:tc>
      </w:tr>
      <w:tr w:rsidR="00805B45" w:rsidRPr="00D8103A" w14:paraId="65994CE7" w14:textId="77777777" w:rsidTr="007C3DAD">
        <w:tc>
          <w:tcPr>
            <w:tcW w:w="1418" w:type="dxa"/>
          </w:tcPr>
          <w:p w14:paraId="4356A5CD" w14:textId="50611DA0" w:rsidR="007C3DAD" w:rsidRPr="00D8103A" w:rsidRDefault="00061EDF" w:rsidP="007C3DAD">
            <w:pPr>
              <w:pStyle w:val="NoSpacing"/>
              <w:spacing w:line="276" w:lineRule="auto"/>
              <w:rPr>
                <w:rFonts w:ascii="Arial" w:hAnsi="Arial" w:cs="Arial"/>
                <w:sz w:val="23"/>
                <w:szCs w:val="23"/>
              </w:rPr>
            </w:pPr>
            <w:r w:rsidRPr="00D8103A">
              <w:rPr>
                <w:rFonts w:ascii="Arial" w:hAnsi="Arial" w:cs="Arial"/>
                <w:sz w:val="23"/>
                <w:szCs w:val="23"/>
              </w:rPr>
              <w:t>Principle</w:t>
            </w:r>
            <w:r w:rsidR="007C3DAD" w:rsidRPr="00D8103A">
              <w:rPr>
                <w:rFonts w:ascii="Arial" w:hAnsi="Arial" w:cs="Arial"/>
                <w:sz w:val="23"/>
                <w:szCs w:val="23"/>
              </w:rPr>
              <w:t xml:space="preserve"> 8</w:t>
            </w:r>
          </w:p>
        </w:tc>
        <w:tc>
          <w:tcPr>
            <w:tcW w:w="7087" w:type="dxa"/>
          </w:tcPr>
          <w:p w14:paraId="6E2391B2" w14:textId="125F5CA8" w:rsidR="00E754D0" w:rsidRPr="00D8103A" w:rsidRDefault="00025E06" w:rsidP="007C3DAD">
            <w:pPr>
              <w:pStyle w:val="NormalWeb"/>
              <w:spacing w:before="0" w:beforeAutospacing="0" w:after="0" w:afterAutospacing="0" w:line="276" w:lineRule="auto"/>
              <w:jc w:val="both"/>
              <w:rPr>
                <w:rFonts w:ascii="Arial" w:hAnsi="Arial" w:cs="Arial"/>
                <w:sz w:val="23"/>
                <w:szCs w:val="23"/>
              </w:rPr>
            </w:pPr>
            <w:r w:rsidRPr="00025E06">
              <w:rPr>
                <w:rFonts w:ascii="Arial" w:hAnsi="Arial" w:cs="Arial"/>
                <w:sz w:val="23"/>
                <w:szCs w:val="23"/>
              </w:rPr>
              <w:t>The insurance company is required to formulate and execute a contingency funding strategy, which has been approved by the board or a sub-committee of the board, to address situations of liquidity stress</w:t>
            </w:r>
            <w:r w:rsidR="00686B5A" w:rsidRPr="00D8103A">
              <w:rPr>
                <w:rFonts w:ascii="Arial" w:hAnsi="Arial" w:cs="Arial"/>
                <w:sz w:val="23"/>
                <w:szCs w:val="23"/>
              </w:rPr>
              <w:t xml:space="preserve">. </w:t>
            </w:r>
          </w:p>
        </w:tc>
      </w:tr>
      <w:tr w:rsidR="00805B45" w:rsidRPr="00D8103A" w14:paraId="3C560DA4" w14:textId="77777777" w:rsidTr="007C3DAD">
        <w:tc>
          <w:tcPr>
            <w:tcW w:w="1418" w:type="dxa"/>
          </w:tcPr>
          <w:p w14:paraId="452821D8" w14:textId="60DDBDC8" w:rsidR="007C3DAD" w:rsidRPr="00D8103A" w:rsidRDefault="00061EDF" w:rsidP="007C3DAD">
            <w:pPr>
              <w:pStyle w:val="NoSpacing"/>
              <w:spacing w:line="276" w:lineRule="auto"/>
              <w:rPr>
                <w:rFonts w:ascii="Arial" w:hAnsi="Arial" w:cs="Arial"/>
                <w:sz w:val="23"/>
                <w:szCs w:val="23"/>
              </w:rPr>
            </w:pPr>
            <w:r w:rsidRPr="00D8103A">
              <w:rPr>
                <w:rFonts w:ascii="Arial" w:hAnsi="Arial" w:cs="Arial"/>
                <w:sz w:val="23"/>
                <w:szCs w:val="23"/>
              </w:rPr>
              <w:t>Principle</w:t>
            </w:r>
            <w:r w:rsidR="007C3DAD" w:rsidRPr="00D8103A">
              <w:rPr>
                <w:rFonts w:ascii="Arial" w:hAnsi="Arial" w:cs="Arial"/>
                <w:sz w:val="23"/>
                <w:szCs w:val="23"/>
              </w:rPr>
              <w:t xml:space="preserve"> 9</w:t>
            </w:r>
          </w:p>
        </w:tc>
        <w:tc>
          <w:tcPr>
            <w:tcW w:w="7087" w:type="dxa"/>
          </w:tcPr>
          <w:p w14:paraId="10A7FD18" w14:textId="34ABD08E" w:rsidR="00686B5A" w:rsidRPr="00D8103A" w:rsidRDefault="00686B5A" w:rsidP="00686B5A">
            <w:pPr>
              <w:spacing w:after="216" w:line="259" w:lineRule="auto"/>
              <w:jc w:val="both"/>
              <w:rPr>
                <w:rFonts w:ascii="Arial" w:eastAsia="Times New Roman" w:hAnsi="Arial" w:cs="Arial"/>
                <w:sz w:val="23"/>
                <w:szCs w:val="23"/>
                <w:lang w:eastAsia="en-ZA"/>
              </w:rPr>
            </w:pPr>
            <w:r w:rsidRPr="00D8103A">
              <w:rPr>
                <w:rFonts w:ascii="Arial" w:eastAsia="Times New Roman" w:hAnsi="Arial" w:cs="Arial"/>
                <w:sz w:val="23"/>
                <w:szCs w:val="23"/>
                <w:lang w:eastAsia="en-ZA"/>
              </w:rPr>
              <w:t xml:space="preserve">The Prudential Authority shall determine appropriate reporting protocols as these protocols relate to liquidity risk and at the frequency communicated by the Prudential Authority in terms of section 44 of the Insurance Act. The Prudential Authority reserves the right </w:t>
            </w:r>
            <w:r w:rsidR="007C0DCE">
              <w:rPr>
                <w:rFonts w:ascii="Arial" w:eastAsia="Times New Roman" w:hAnsi="Arial" w:cs="Arial"/>
                <w:sz w:val="23"/>
                <w:szCs w:val="23"/>
                <w:lang w:eastAsia="en-ZA"/>
              </w:rPr>
              <w:t>to</w:t>
            </w:r>
            <w:r w:rsidRPr="00D8103A">
              <w:rPr>
                <w:rFonts w:ascii="Arial" w:eastAsia="Times New Roman" w:hAnsi="Arial" w:cs="Arial"/>
                <w:sz w:val="23"/>
                <w:szCs w:val="23"/>
                <w:lang w:eastAsia="en-ZA"/>
              </w:rPr>
              <w:t xml:space="preserve"> change the reporting protocol as it deems fit. </w:t>
            </w:r>
          </w:p>
          <w:p w14:paraId="2FA732D6" w14:textId="520F8CAF" w:rsidR="00E754D0" w:rsidRPr="00D8103A" w:rsidRDefault="00686B5A" w:rsidP="009F0221">
            <w:pPr>
              <w:spacing w:after="216" w:line="259" w:lineRule="auto"/>
              <w:jc w:val="both"/>
              <w:rPr>
                <w:sz w:val="23"/>
                <w:szCs w:val="23"/>
              </w:rPr>
            </w:pPr>
            <w:r w:rsidRPr="00D8103A">
              <w:rPr>
                <w:rFonts w:ascii="Arial" w:eastAsia="Times New Roman" w:hAnsi="Arial" w:cs="Arial"/>
                <w:sz w:val="23"/>
                <w:szCs w:val="23"/>
                <w:lang w:eastAsia="en-ZA"/>
              </w:rPr>
              <w:t xml:space="preserve">The insurer must prepare and submit </w:t>
            </w:r>
            <w:r w:rsidR="00F337B3">
              <w:rPr>
                <w:rFonts w:ascii="Arial" w:eastAsia="Times New Roman" w:hAnsi="Arial" w:cs="Arial"/>
                <w:sz w:val="23"/>
                <w:szCs w:val="23"/>
                <w:lang w:eastAsia="en-ZA"/>
              </w:rPr>
              <w:t>a liquidity risk management report with the ORSA annually to the Prudential Authority</w:t>
            </w:r>
            <w:r w:rsidRPr="00D8103A">
              <w:rPr>
                <w:rFonts w:ascii="Arial" w:eastAsia="Times New Roman" w:hAnsi="Arial" w:cs="Arial"/>
                <w:sz w:val="23"/>
                <w:szCs w:val="23"/>
                <w:lang w:eastAsia="en-ZA"/>
              </w:rPr>
              <w:t>.</w:t>
            </w:r>
          </w:p>
        </w:tc>
      </w:tr>
    </w:tbl>
    <w:p w14:paraId="7D001B31" w14:textId="77777777" w:rsidR="00631100" w:rsidRPr="00631100" w:rsidRDefault="00631100" w:rsidP="00631100">
      <w:pPr>
        <w:autoSpaceDE w:val="0"/>
        <w:autoSpaceDN w:val="0"/>
        <w:adjustRightInd w:val="0"/>
        <w:spacing w:after="160" w:line="360" w:lineRule="auto"/>
        <w:jc w:val="both"/>
        <w:rPr>
          <w:rFonts w:ascii="Arial" w:hAnsi="Arial" w:cs="Arial"/>
          <w:bCs/>
          <w:sz w:val="23"/>
          <w:szCs w:val="23"/>
        </w:rPr>
      </w:pPr>
    </w:p>
    <w:p w14:paraId="65579A0E" w14:textId="6DE750FC" w:rsidR="00D51F74" w:rsidRPr="00D8103A" w:rsidRDefault="00631100" w:rsidP="00F71EB9">
      <w:pPr>
        <w:pStyle w:val="ListParagraph"/>
        <w:numPr>
          <w:ilvl w:val="1"/>
          <w:numId w:val="3"/>
        </w:numPr>
        <w:autoSpaceDE w:val="0"/>
        <w:autoSpaceDN w:val="0"/>
        <w:adjustRightInd w:val="0"/>
        <w:spacing w:after="160" w:line="360" w:lineRule="auto"/>
        <w:ind w:left="567" w:hanging="567"/>
        <w:jc w:val="both"/>
        <w:rPr>
          <w:rFonts w:ascii="Arial" w:hAnsi="Arial" w:cs="Arial"/>
          <w:bCs/>
          <w:sz w:val="23"/>
          <w:szCs w:val="23"/>
        </w:rPr>
      </w:pPr>
      <w:r w:rsidRPr="00D8103A">
        <w:rPr>
          <w:rFonts w:ascii="Arial" w:hAnsi="Arial" w:cs="Arial"/>
          <w:bCs/>
          <w:sz w:val="23"/>
          <w:szCs w:val="23"/>
        </w:rPr>
        <w:t>The proposed draft liquidity risk standard enhances and augments the following key aspects of liquidity risk management:</w:t>
      </w:r>
    </w:p>
    <w:p w14:paraId="7BE14F50" w14:textId="77777777" w:rsidR="00631100" w:rsidRPr="00D8103A" w:rsidRDefault="00631100" w:rsidP="00F71EB9">
      <w:pPr>
        <w:pStyle w:val="Num3"/>
        <w:numPr>
          <w:ilvl w:val="2"/>
          <w:numId w:val="5"/>
        </w:numPr>
        <w:rPr>
          <w:sz w:val="23"/>
          <w:szCs w:val="23"/>
        </w:rPr>
      </w:pPr>
      <w:r w:rsidRPr="00D8103A">
        <w:rPr>
          <w:sz w:val="23"/>
          <w:szCs w:val="23"/>
        </w:rPr>
        <w:t>Insurers will have to develop a liquidity risk appetite statement.</w:t>
      </w:r>
    </w:p>
    <w:p w14:paraId="0DACB776" w14:textId="2339FB94" w:rsidR="00631100" w:rsidRPr="00D8103A" w:rsidRDefault="00631100" w:rsidP="00F71EB9">
      <w:pPr>
        <w:pStyle w:val="Num3"/>
        <w:numPr>
          <w:ilvl w:val="2"/>
          <w:numId w:val="5"/>
        </w:numPr>
        <w:jc w:val="both"/>
        <w:rPr>
          <w:sz w:val="23"/>
          <w:szCs w:val="23"/>
        </w:rPr>
      </w:pPr>
      <w:r w:rsidRPr="00D8103A">
        <w:rPr>
          <w:sz w:val="23"/>
          <w:szCs w:val="23"/>
        </w:rPr>
        <w:t xml:space="preserve">Insurers </w:t>
      </w:r>
      <w:r w:rsidR="00467D38">
        <w:rPr>
          <w:sz w:val="23"/>
          <w:szCs w:val="23"/>
        </w:rPr>
        <w:t>must</w:t>
      </w:r>
      <w:r w:rsidRPr="00D8103A">
        <w:rPr>
          <w:sz w:val="23"/>
          <w:szCs w:val="23"/>
        </w:rPr>
        <w:t xml:space="preserve"> develop idiosyncratic stresses and conduct stress testing to determine liquidity risk vulnerabilities.</w:t>
      </w:r>
    </w:p>
    <w:p w14:paraId="3606E609" w14:textId="49F53B4A" w:rsidR="00631100" w:rsidRPr="00D8103A" w:rsidRDefault="00631100" w:rsidP="00F71EB9">
      <w:pPr>
        <w:pStyle w:val="Num3"/>
        <w:numPr>
          <w:ilvl w:val="2"/>
          <w:numId w:val="5"/>
        </w:numPr>
        <w:jc w:val="both"/>
        <w:rPr>
          <w:sz w:val="23"/>
          <w:szCs w:val="23"/>
        </w:rPr>
      </w:pPr>
      <w:r w:rsidRPr="00D8103A">
        <w:rPr>
          <w:sz w:val="23"/>
          <w:szCs w:val="23"/>
        </w:rPr>
        <w:t xml:space="preserve">The proposed draft standard prescribes assets to be accounted for as HQLA after applying </w:t>
      </w:r>
      <w:r w:rsidR="005C0C07" w:rsidRPr="00D8103A">
        <w:rPr>
          <w:sz w:val="23"/>
          <w:szCs w:val="23"/>
        </w:rPr>
        <w:t>discount rates</w:t>
      </w:r>
      <w:r w:rsidRPr="00D8103A">
        <w:rPr>
          <w:sz w:val="23"/>
          <w:szCs w:val="23"/>
        </w:rPr>
        <w:t>.</w:t>
      </w:r>
    </w:p>
    <w:p w14:paraId="41B3BBA4" w14:textId="47801A78" w:rsidR="00631100" w:rsidRPr="00D8103A" w:rsidRDefault="00631100" w:rsidP="00F71EB9">
      <w:pPr>
        <w:pStyle w:val="Num3"/>
        <w:numPr>
          <w:ilvl w:val="2"/>
          <w:numId w:val="5"/>
        </w:numPr>
        <w:jc w:val="both"/>
        <w:rPr>
          <w:sz w:val="23"/>
          <w:szCs w:val="23"/>
        </w:rPr>
      </w:pPr>
      <w:r w:rsidRPr="00D8103A">
        <w:rPr>
          <w:sz w:val="23"/>
          <w:szCs w:val="23"/>
        </w:rPr>
        <w:t xml:space="preserve">The </w:t>
      </w:r>
      <w:r w:rsidR="00467D38">
        <w:rPr>
          <w:sz w:val="23"/>
          <w:szCs w:val="23"/>
        </w:rPr>
        <w:t>draft standard incorporates the updated liquidity risk metric, aligned with the new liquidity risk return, to be reported to the PA</w:t>
      </w:r>
      <w:r w:rsidRPr="00D8103A">
        <w:rPr>
          <w:sz w:val="23"/>
          <w:szCs w:val="23"/>
        </w:rPr>
        <w:t>.</w:t>
      </w:r>
    </w:p>
    <w:p w14:paraId="27324A49" w14:textId="740B1AC4" w:rsidR="00631100" w:rsidRPr="00D8103A" w:rsidRDefault="00631100" w:rsidP="00F71EB9">
      <w:pPr>
        <w:pStyle w:val="Num3"/>
        <w:numPr>
          <w:ilvl w:val="2"/>
          <w:numId w:val="5"/>
        </w:numPr>
        <w:jc w:val="both"/>
        <w:rPr>
          <w:sz w:val="23"/>
          <w:szCs w:val="23"/>
        </w:rPr>
      </w:pPr>
      <w:r w:rsidRPr="00D8103A">
        <w:rPr>
          <w:sz w:val="23"/>
          <w:szCs w:val="23"/>
        </w:rPr>
        <w:t xml:space="preserve">Contingency funding </w:t>
      </w:r>
      <w:r w:rsidR="00D82F36" w:rsidRPr="00D8103A">
        <w:rPr>
          <w:sz w:val="23"/>
          <w:szCs w:val="23"/>
        </w:rPr>
        <w:t>planning is</w:t>
      </w:r>
      <w:r w:rsidRPr="00D8103A">
        <w:rPr>
          <w:sz w:val="23"/>
          <w:szCs w:val="23"/>
        </w:rPr>
        <w:t xml:space="preserve"> required for liquidity risk management.</w:t>
      </w:r>
    </w:p>
    <w:p w14:paraId="4F58A5D7" w14:textId="77777777" w:rsidR="00631100" w:rsidRPr="00D8103A" w:rsidRDefault="00631100" w:rsidP="00F71EB9">
      <w:pPr>
        <w:pStyle w:val="Num3"/>
        <w:numPr>
          <w:ilvl w:val="2"/>
          <w:numId w:val="5"/>
        </w:numPr>
        <w:jc w:val="both"/>
        <w:rPr>
          <w:sz w:val="23"/>
          <w:szCs w:val="23"/>
        </w:rPr>
      </w:pPr>
      <w:r w:rsidRPr="00D8103A">
        <w:rPr>
          <w:sz w:val="23"/>
          <w:szCs w:val="23"/>
        </w:rPr>
        <w:lastRenderedPageBreak/>
        <w:t>Insurers will be required to prepare and submit a detailed liquidity risk report to the PA annually.</w:t>
      </w:r>
    </w:p>
    <w:p w14:paraId="1AC4C746" w14:textId="29A91125" w:rsidR="00136227" w:rsidRPr="007E12E3" w:rsidRDefault="00136227" w:rsidP="007A5DF7">
      <w:pPr>
        <w:pStyle w:val="Heading1"/>
        <w:ind w:left="567" w:hanging="567"/>
        <w:rPr>
          <w:color w:val="auto"/>
        </w:rPr>
      </w:pPr>
      <w:bookmarkStart w:id="6" w:name="_Toc142983747"/>
      <w:r w:rsidRPr="007E12E3">
        <w:rPr>
          <w:color w:val="auto"/>
        </w:rPr>
        <w:t>Statement of the need ― context</w:t>
      </w:r>
      <w:r w:rsidR="00581CE0">
        <w:rPr>
          <w:color w:val="auto"/>
        </w:rPr>
        <w:t>,</w:t>
      </w:r>
      <w:r w:rsidRPr="007E12E3">
        <w:rPr>
          <w:color w:val="auto"/>
        </w:rPr>
        <w:t xml:space="preserve"> and definition of </w:t>
      </w:r>
      <w:r w:rsidR="00581CE0">
        <w:rPr>
          <w:color w:val="auto"/>
        </w:rPr>
        <w:t xml:space="preserve">the </w:t>
      </w:r>
      <w:r w:rsidRPr="007E12E3">
        <w:rPr>
          <w:color w:val="auto"/>
        </w:rPr>
        <w:t>policy problem</w:t>
      </w:r>
      <w:bookmarkEnd w:id="6"/>
    </w:p>
    <w:p w14:paraId="0A1D85BA" w14:textId="39E146B5" w:rsidR="00136227" w:rsidRPr="00136227" w:rsidRDefault="00136227" w:rsidP="00F71EB9">
      <w:pPr>
        <w:pStyle w:val="ListParagraph"/>
        <w:numPr>
          <w:ilvl w:val="1"/>
          <w:numId w:val="3"/>
        </w:numPr>
        <w:autoSpaceDE w:val="0"/>
        <w:autoSpaceDN w:val="0"/>
        <w:adjustRightInd w:val="0"/>
        <w:spacing w:line="360" w:lineRule="auto"/>
        <w:ind w:left="567" w:hanging="567"/>
        <w:contextualSpacing w:val="0"/>
        <w:jc w:val="both"/>
        <w:rPr>
          <w:rFonts w:ascii="Arial" w:hAnsi="Arial" w:cs="Arial"/>
          <w:sz w:val="23"/>
          <w:szCs w:val="23"/>
        </w:rPr>
      </w:pPr>
      <w:r w:rsidRPr="00136227">
        <w:rPr>
          <w:rFonts w:ascii="Arial" w:hAnsi="Arial" w:cs="Arial"/>
          <w:sz w:val="23"/>
          <w:szCs w:val="23"/>
        </w:rPr>
        <w:t xml:space="preserve">Under this section of the </w:t>
      </w:r>
      <w:r w:rsidR="00674F73">
        <w:rPr>
          <w:rFonts w:ascii="Arial" w:hAnsi="Arial" w:cs="Arial"/>
          <w:sz w:val="23"/>
          <w:szCs w:val="23"/>
        </w:rPr>
        <w:t>Statement</w:t>
      </w:r>
      <w:r w:rsidRPr="00136227">
        <w:rPr>
          <w:rFonts w:ascii="Arial" w:hAnsi="Arial" w:cs="Arial"/>
          <w:sz w:val="23"/>
          <w:szCs w:val="23"/>
        </w:rPr>
        <w:t xml:space="preserve">, the </w:t>
      </w:r>
      <w:r w:rsidR="00631100">
        <w:rPr>
          <w:rFonts w:ascii="Arial" w:hAnsi="Arial" w:cs="Arial"/>
          <w:sz w:val="23"/>
          <w:szCs w:val="23"/>
        </w:rPr>
        <w:t>liquidity risk management</w:t>
      </w:r>
      <w:r w:rsidRPr="00136227">
        <w:rPr>
          <w:rFonts w:ascii="Arial" w:hAnsi="Arial" w:cs="Arial"/>
          <w:sz w:val="23"/>
          <w:szCs w:val="23"/>
        </w:rPr>
        <w:t xml:space="preserve"> framework is analysed </w:t>
      </w:r>
      <w:r w:rsidR="00F460B1">
        <w:rPr>
          <w:rFonts w:ascii="Arial" w:hAnsi="Arial" w:cs="Arial"/>
          <w:sz w:val="23"/>
          <w:szCs w:val="23"/>
        </w:rPr>
        <w:t>with</w:t>
      </w:r>
      <w:r w:rsidRPr="00136227">
        <w:rPr>
          <w:rFonts w:ascii="Arial" w:hAnsi="Arial" w:cs="Arial"/>
          <w:sz w:val="23"/>
          <w:szCs w:val="23"/>
        </w:rPr>
        <w:t xml:space="preserve"> respect </w:t>
      </w:r>
      <w:r w:rsidR="00F460B1">
        <w:rPr>
          <w:rFonts w:ascii="Arial" w:hAnsi="Arial" w:cs="Arial"/>
          <w:sz w:val="23"/>
          <w:szCs w:val="23"/>
        </w:rPr>
        <w:t>to</w:t>
      </w:r>
      <w:r w:rsidRPr="00136227">
        <w:rPr>
          <w:rFonts w:ascii="Arial" w:hAnsi="Arial" w:cs="Arial"/>
          <w:sz w:val="23"/>
          <w:szCs w:val="23"/>
        </w:rPr>
        <w:t xml:space="preserve"> </w:t>
      </w:r>
      <w:r w:rsidR="002D5705">
        <w:rPr>
          <w:rFonts w:ascii="Arial" w:hAnsi="Arial" w:cs="Arial"/>
          <w:sz w:val="23"/>
          <w:szCs w:val="23"/>
        </w:rPr>
        <w:t xml:space="preserve">the </w:t>
      </w:r>
      <w:r w:rsidRPr="00136227">
        <w:rPr>
          <w:rFonts w:ascii="Arial" w:hAnsi="Arial" w:cs="Arial"/>
          <w:sz w:val="23"/>
          <w:szCs w:val="23"/>
        </w:rPr>
        <w:t xml:space="preserve">context and definition of the challenges sought to be addressed by the framework as follows: </w:t>
      </w:r>
    </w:p>
    <w:p w14:paraId="299FD403" w14:textId="53AAA6FE" w:rsidR="00136227" w:rsidRPr="00922D8C" w:rsidRDefault="00136227" w:rsidP="00261EC2">
      <w:pPr>
        <w:ind w:left="567"/>
        <w:jc w:val="both"/>
        <w:rPr>
          <w:rFonts w:ascii="Arial" w:hAnsi="Arial" w:cs="Arial"/>
          <w:b/>
          <w:i/>
          <w:sz w:val="23"/>
          <w:szCs w:val="23"/>
        </w:rPr>
      </w:pPr>
      <w:r w:rsidRPr="00922D8C">
        <w:rPr>
          <w:rFonts w:ascii="Arial" w:hAnsi="Arial" w:cs="Arial"/>
          <w:i/>
          <w:sz w:val="23"/>
          <w:szCs w:val="23"/>
        </w:rPr>
        <w:t xml:space="preserve">The need to incorporate </w:t>
      </w:r>
      <w:r w:rsidR="005C0C07">
        <w:rPr>
          <w:rFonts w:ascii="Arial" w:hAnsi="Arial" w:cs="Arial"/>
          <w:i/>
          <w:sz w:val="23"/>
          <w:szCs w:val="23"/>
        </w:rPr>
        <w:t>idiosyncratic stress testing in the measurement of liquidity risk.</w:t>
      </w:r>
    </w:p>
    <w:p w14:paraId="0BF3D170" w14:textId="4232EDDB" w:rsidR="005C0C07" w:rsidRDefault="001567F8" w:rsidP="00F71EB9">
      <w:pPr>
        <w:pStyle w:val="ListParagraph"/>
        <w:numPr>
          <w:ilvl w:val="1"/>
          <w:numId w:val="3"/>
        </w:numPr>
        <w:autoSpaceDE w:val="0"/>
        <w:autoSpaceDN w:val="0"/>
        <w:adjustRightInd w:val="0"/>
        <w:spacing w:line="360" w:lineRule="auto"/>
        <w:ind w:left="567" w:hanging="567"/>
        <w:contextualSpacing w:val="0"/>
        <w:jc w:val="both"/>
        <w:rPr>
          <w:rFonts w:ascii="Arial" w:hAnsi="Arial" w:cs="Arial"/>
          <w:sz w:val="23"/>
          <w:szCs w:val="23"/>
        </w:rPr>
      </w:pPr>
      <w:r w:rsidRPr="001567F8">
        <w:rPr>
          <w:rFonts w:ascii="Arial" w:hAnsi="Arial" w:cs="Arial"/>
          <w:sz w:val="23"/>
          <w:szCs w:val="23"/>
        </w:rPr>
        <w:t xml:space="preserve">The existing liquidity risk framework measures liquidity risk based on solvency stresses, which include Underwriting, Market, and Operational risk. This approach does not necessitate the insurer to have specific liquidity stress scenarios. However, it’s important to note that solvency stresses might not always expose the insurer’s potential </w:t>
      </w:r>
      <w:r>
        <w:rPr>
          <w:rFonts w:ascii="Arial" w:hAnsi="Arial" w:cs="Arial"/>
          <w:sz w:val="23"/>
          <w:szCs w:val="23"/>
        </w:rPr>
        <w:t>vulnerabilities</w:t>
      </w:r>
      <w:r w:rsidRPr="001567F8">
        <w:rPr>
          <w:rFonts w:ascii="Arial" w:hAnsi="Arial" w:cs="Arial"/>
          <w:sz w:val="23"/>
          <w:szCs w:val="23"/>
        </w:rPr>
        <w:t xml:space="preserve"> in terms of liquidity </w:t>
      </w:r>
      <w:r w:rsidR="001D4F72" w:rsidRPr="001567F8">
        <w:rPr>
          <w:rFonts w:ascii="Arial" w:hAnsi="Arial" w:cs="Arial"/>
          <w:sz w:val="23"/>
          <w:szCs w:val="23"/>
        </w:rPr>
        <w:t>risk.</w:t>
      </w:r>
    </w:p>
    <w:p w14:paraId="73954DB4" w14:textId="59788D47" w:rsidR="00136227" w:rsidRDefault="005C0C07" w:rsidP="00F71EB9">
      <w:pPr>
        <w:pStyle w:val="ListParagraph"/>
        <w:numPr>
          <w:ilvl w:val="1"/>
          <w:numId w:val="3"/>
        </w:numPr>
        <w:autoSpaceDE w:val="0"/>
        <w:autoSpaceDN w:val="0"/>
        <w:adjustRightInd w:val="0"/>
        <w:spacing w:line="360" w:lineRule="auto"/>
        <w:ind w:left="567" w:hanging="567"/>
        <w:contextualSpacing w:val="0"/>
        <w:jc w:val="both"/>
        <w:rPr>
          <w:rFonts w:ascii="Arial" w:hAnsi="Arial" w:cs="Arial"/>
          <w:sz w:val="23"/>
          <w:szCs w:val="23"/>
        </w:rPr>
      </w:pPr>
      <w:r>
        <w:rPr>
          <w:rFonts w:ascii="Arial" w:hAnsi="Arial" w:cs="Arial"/>
          <w:sz w:val="23"/>
          <w:szCs w:val="23"/>
        </w:rPr>
        <w:t>The current</w:t>
      </w:r>
      <w:r w:rsidR="00136227" w:rsidRPr="00136227">
        <w:rPr>
          <w:rFonts w:ascii="Arial" w:hAnsi="Arial" w:cs="Arial"/>
          <w:sz w:val="23"/>
          <w:szCs w:val="23"/>
        </w:rPr>
        <w:t xml:space="preserve"> </w:t>
      </w:r>
      <w:r>
        <w:rPr>
          <w:rFonts w:ascii="Arial" w:hAnsi="Arial" w:cs="Arial"/>
          <w:sz w:val="23"/>
          <w:szCs w:val="23"/>
        </w:rPr>
        <w:t xml:space="preserve">framework </w:t>
      </w:r>
      <w:r w:rsidR="00136227" w:rsidRPr="00136227">
        <w:rPr>
          <w:rFonts w:ascii="Arial" w:hAnsi="Arial" w:cs="Arial"/>
          <w:sz w:val="23"/>
          <w:szCs w:val="23"/>
        </w:rPr>
        <w:t xml:space="preserve">fails </w:t>
      </w:r>
      <w:r w:rsidR="001726A4">
        <w:rPr>
          <w:rFonts w:ascii="Arial" w:hAnsi="Arial" w:cs="Arial"/>
          <w:sz w:val="23"/>
          <w:szCs w:val="23"/>
        </w:rPr>
        <w:t>to incorporate the business-as-usual properly</w:t>
      </w:r>
      <w:r>
        <w:rPr>
          <w:rFonts w:ascii="Arial" w:hAnsi="Arial" w:cs="Arial"/>
          <w:sz w:val="23"/>
          <w:szCs w:val="23"/>
        </w:rPr>
        <w:t xml:space="preserve"> and stresses cash flows</w:t>
      </w:r>
      <w:r w:rsidR="00136227" w:rsidRPr="00136227">
        <w:rPr>
          <w:rFonts w:ascii="Arial" w:hAnsi="Arial" w:cs="Arial"/>
          <w:sz w:val="23"/>
          <w:szCs w:val="23"/>
        </w:rPr>
        <w:t>. Failure to properly</w:t>
      </w:r>
      <w:r w:rsidR="003D018A">
        <w:rPr>
          <w:rFonts w:ascii="Arial" w:hAnsi="Arial" w:cs="Arial"/>
          <w:sz w:val="23"/>
          <w:szCs w:val="23"/>
        </w:rPr>
        <w:t xml:space="preserve"> </w:t>
      </w:r>
      <w:r>
        <w:rPr>
          <w:rFonts w:ascii="Arial" w:hAnsi="Arial" w:cs="Arial"/>
          <w:sz w:val="23"/>
          <w:szCs w:val="23"/>
        </w:rPr>
        <w:t xml:space="preserve">incorporate business-as-usual and stressed cash flows may result in insurers </w:t>
      </w:r>
      <w:r w:rsidR="00524395">
        <w:rPr>
          <w:rFonts w:ascii="Arial" w:hAnsi="Arial" w:cs="Arial"/>
          <w:sz w:val="23"/>
          <w:szCs w:val="23"/>
        </w:rPr>
        <w:t xml:space="preserve">not </w:t>
      </w:r>
      <w:r>
        <w:rPr>
          <w:rFonts w:ascii="Arial" w:hAnsi="Arial" w:cs="Arial"/>
          <w:sz w:val="23"/>
          <w:szCs w:val="23"/>
        </w:rPr>
        <w:t>fully accounting for the vulnerabilities they are exposed to from a liquidity risk perspective.</w:t>
      </w:r>
    </w:p>
    <w:p w14:paraId="00279D8E" w14:textId="676F3E12" w:rsidR="00D3211E" w:rsidRPr="001726A4" w:rsidRDefault="00D3211E" w:rsidP="00F71EB9">
      <w:pPr>
        <w:pStyle w:val="Heading1"/>
        <w:numPr>
          <w:ilvl w:val="1"/>
          <w:numId w:val="3"/>
        </w:numPr>
        <w:ind w:left="567" w:hanging="720"/>
        <w:rPr>
          <w:b w:val="0"/>
          <w:bCs w:val="0"/>
          <w:color w:val="auto"/>
        </w:rPr>
      </w:pPr>
      <w:r w:rsidRPr="001726A4">
        <w:rPr>
          <w:b w:val="0"/>
          <w:bCs w:val="0"/>
          <w:color w:val="auto"/>
        </w:rPr>
        <w:t>The need to quantify an Insurance Liquidity Ratio</w:t>
      </w:r>
    </w:p>
    <w:p w14:paraId="066E530C" w14:textId="77777777" w:rsidR="00F53361" w:rsidRDefault="00136227" w:rsidP="00F71EB9">
      <w:pPr>
        <w:pStyle w:val="ListParagraph"/>
        <w:numPr>
          <w:ilvl w:val="2"/>
          <w:numId w:val="3"/>
        </w:numPr>
        <w:autoSpaceDE w:val="0"/>
        <w:autoSpaceDN w:val="0"/>
        <w:adjustRightInd w:val="0"/>
        <w:spacing w:line="360" w:lineRule="auto"/>
        <w:contextualSpacing w:val="0"/>
        <w:jc w:val="both"/>
        <w:rPr>
          <w:rFonts w:ascii="Arial" w:hAnsi="Arial" w:cs="Arial"/>
          <w:sz w:val="23"/>
          <w:szCs w:val="23"/>
        </w:rPr>
      </w:pPr>
      <w:r w:rsidRPr="00136227">
        <w:rPr>
          <w:rFonts w:ascii="Arial" w:hAnsi="Arial" w:cs="Arial"/>
          <w:sz w:val="23"/>
          <w:szCs w:val="23"/>
        </w:rPr>
        <w:t xml:space="preserve">The updated </w:t>
      </w:r>
      <w:r w:rsidR="005C0C07">
        <w:rPr>
          <w:rFonts w:ascii="Arial" w:hAnsi="Arial" w:cs="Arial"/>
          <w:sz w:val="23"/>
          <w:szCs w:val="23"/>
        </w:rPr>
        <w:t>liquidity risk management</w:t>
      </w:r>
      <w:r w:rsidR="005C0C07" w:rsidRPr="00136227">
        <w:rPr>
          <w:rFonts w:ascii="Arial" w:hAnsi="Arial" w:cs="Arial"/>
          <w:sz w:val="23"/>
          <w:szCs w:val="23"/>
        </w:rPr>
        <w:t xml:space="preserve"> </w:t>
      </w:r>
      <w:r w:rsidRPr="00136227">
        <w:rPr>
          <w:rFonts w:ascii="Arial" w:hAnsi="Arial" w:cs="Arial"/>
          <w:sz w:val="23"/>
          <w:szCs w:val="23"/>
        </w:rPr>
        <w:t xml:space="preserve">framework seeks to ensure that </w:t>
      </w:r>
      <w:r w:rsidR="005C0C07">
        <w:rPr>
          <w:rFonts w:ascii="Arial" w:hAnsi="Arial" w:cs="Arial"/>
          <w:sz w:val="23"/>
          <w:szCs w:val="23"/>
        </w:rPr>
        <w:t>insurers hold a portfolio of high-quality liquid assets after applying discount rates to meet liquidity shortfalls when they arise. Furthermore, insurers are required to quantify an Insurance Liquidity Ratio (ILR)</w:t>
      </w:r>
      <w:r w:rsidR="00FB20A9">
        <w:rPr>
          <w:rFonts w:ascii="Arial" w:hAnsi="Arial" w:cs="Arial"/>
          <w:sz w:val="23"/>
          <w:szCs w:val="23"/>
        </w:rPr>
        <w:t>, the</w:t>
      </w:r>
      <w:r w:rsidR="005C0C07">
        <w:rPr>
          <w:rFonts w:ascii="Arial" w:hAnsi="Arial" w:cs="Arial"/>
          <w:sz w:val="23"/>
          <w:szCs w:val="23"/>
        </w:rPr>
        <w:t xml:space="preserve"> ratio of </w:t>
      </w:r>
      <w:r w:rsidR="002C4D76">
        <w:rPr>
          <w:rFonts w:ascii="Arial" w:hAnsi="Arial" w:cs="Arial"/>
          <w:sz w:val="23"/>
          <w:szCs w:val="23"/>
        </w:rPr>
        <w:t>Total Available Liquidity to Stressed Liquidity Requirements.</w:t>
      </w:r>
    </w:p>
    <w:p w14:paraId="415BE459" w14:textId="2230386C" w:rsidR="00D82F36" w:rsidRPr="001726A4" w:rsidRDefault="00D3211E" w:rsidP="00F71EB9">
      <w:pPr>
        <w:pStyle w:val="Heading1"/>
        <w:numPr>
          <w:ilvl w:val="1"/>
          <w:numId w:val="3"/>
        </w:numPr>
        <w:ind w:left="567" w:hanging="709"/>
        <w:rPr>
          <w:b w:val="0"/>
          <w:bCs w:val="0"/>
          <w:color w:val="auto"/>
        </w:rPr>
      </w:pPr>
      <w:r w:rsidRPr="001726A4">
        <w:rPr>
          <w:b w:val="0"/>
          <w:bCs w:val="0"/>
          <w:color w:val="auto"/>
        </w:rPr>
        <w:t xml:space="preserve">The need to accurately measure liquidity risk arising from margin and collateral </w:t>
      </w:r>
      <w:proofErr w:type="gramStart"/>
      <w:r w:rsidRPr="001726A4">
        <w:rPr>
          <w:b w:val="0"/>
          <w:bCs w:val="0"/>
          <w:color w:val="auto"/>
        </w:rPr>
        <w:t>calls</w:t>
      </w:r>
      <w:proofErr w:type="gramEnd"/>
      <w:r w:rsidRPr="001726A4">
        <w:rPr>
          <w:b w:val="0"/>
          <w:bCs w:val="0"/>
          <w:color w:val="auto"/>
        </w:rPr>
        <w:t xml:space="preserve">  </w:t>
      </w:r>
    </w:p>
    <w:p w14:paraId="0DAD2767" w14:textId="4946C616" w:rsidR="00136227" w:rsidRDefault="008B49E6" w:rsidP="00F71EB9">
      <w:pPr>
        <w:pStyle w:val="ListParagraph"/>
        <w:numPr>
          <w:ilvl w:val="2"/>
          <w:numId w:val="3"/>
        </w:numPr>
        <w:autoSpaceDE w:val="0"/>
        <w:autoSpaceDN w:val="0"/>
        <w:adjustRightInd w:val="0"/>
        <w:spacing w:line="360" w:lineRule="auto"/>
        <w:contextualSpacing w:val="0"/>
        <w:jc w:val="both"/>
        <w:rPr>
          <w:rFonts w:ascii="Arial" w:hAnsi="Arial" w:cs="Arial"/>
          <w:sz w:val="23"/>
          <w:szCs w:val="23"/>
        </w:rPr>
      </w:pPr>
      <w:r w:rsidRPr="008B49E6">
        <w:rPr>
          <w:rFonts w:ascii="Arial" w:hAnsi="Arial" w:cs="Arial"/>
          <w:sz w:val="23"/>
          <w:szCs w:val="23"/>
        </w:rPr>
        <w:t xml:space="preserve">The </w:t>
      </w:r>
      <w:r>
        <w:rPr>
          <w:rFonts w:ascii="Arial" w:hAnsi="Arial" w:cs="Arial"/>
          <w:sz w:val="23"/>
          <w:szCs w:val="23"/>
        </w:rPr>
        <w:t>current</w:t>
      </w:r>
      <w:r w:rsidRPr="008B49E6">
        <w:rPr>
          <w:rFonts w:ascii="Arial" w:hAnsi="Arial" w:cs="Arial"/>
          <w:sz w:val="23"/>
          <w:szCs w:val="23"/>
        </w:rPr>
        <w:t xml:space="preserve"> return does not </w:t>
      </w:r>
      <w:r>
        <w:rPr>
          <w:rFonts w:ascii="Arial" w:hAnsi="Arial" w:cs="Arial"/>
          <w:sz w:val="23"/>
          <w:szCs w:val="23"/>
        </w:rPr>
        <w:t>allow</w:t>
      </w:r>
      <w:r w:rsidRPr="008B49E6">
        <w:rPr>
          <w:rFonts w:ascii="Arial" w:hAnsi="Arial" w:cs="Arial"/>
          <w:sz w:val="23"/>
          <w:szCs w:val="23"/>
        </w:rPr>
        <w:t xml:space="preserve"> insurers to measure and report the liquidity risk from margin and collateral calls when derivatives are used. There may be instances where insurers face unexpected liquidity requirements due to these margin and collateral calls, </w:t>
      </w:r>
      <w:r w:rsidR="00994AB3">
        <w:rPr>
          <w:rFonts w:ascii="Arial" w:hAnsi="Arial" w:cs="Arial"/>
          <w:sz w:val="23"/>
          <w:szCs w:val="23"/>
        </w:rPr>
        <w:t>which should be considered</w:t>
      </w:r>
      <w:r w:rsidRPr="008B49E6">
        <w:rPr>
          <w:rFonts w:ascii="Arial" w:hAnsi="Arial" w:cs="Arial"/>
          <w:sz w:val="23"/>
          <w:szCs w:val="23"/>
        </w:rPr>
        <w:t xml:space="preserve">. Consequently, incorporating </w:t>
      </w:r>
      <w:r w:rsidR="00994AB3">
        <w:rPr>
          <w:rFonts w:ascii="Arial" w:hAnsi="Arial" w:cs="Arial"/>
          <w:sz w:val="23"/>
          <w:szCs w:val="23"/>
        </w:rPr>
        <w:t xml:space="preserve">this aspect of liquidity risks will provide a comprehensive understanding of the liquidity </w:t>
      </w:r>
      <w:r w:rsidR="0001556B">
        <w:rPr>
          <w:rFonts w:ascii="Arial" w:hAnsi="Arial" w:cs="Arial"/>
          <w:sz w:val="23"/>
          <w:szCs w:val="23"/>
        </w:rPr>
        <w:t>vulnerabilities</w:t>
      </w:r>
      <w:r w:rsidR="00994AB3">
        <w:rPr>
          <w:rFonts w:ascii="Arial" w:hAnsi="Arial" w:cs="Arial"/>
          <w:sz w:val="23"/>
          <w:szCs w:val="23"/>
        </w:rPr>
        <w:t xml:space="preserve"> of insurers.</w:t>
      </w:r>
    </w:p>
    <w:p w14:paraId="13CFAE8B" w14:textId="12092562" w:rsidR="00D3211E" w:rsidRPr="002D58E3" w:rsidRDefault="00D3211E" w:rsidP="00F71EB9">
      <w:pPr>
        <w:pStyle w:val="Heading1"/>
        <w:numPr>
          <w:ilvl w:val="1"/>
          <w:numId w:val="3"/>
        </w:numPr>
        <w:ind w:left="567" w:hanging="709"/>
        <w:rPr>
          <w:b w:val="0"/>
          <w:bCs w:val="0"/>
          <w:color w:val="auto"/>
        </w:rPr>
      </w:pPr>
      <w:r w:rsidRPr="002D58E3">
        <w:rPr>
          <w:b w:val="0"/>
          <w:bCs w:val="0"/>
          <w:color w:val="auto"/>
        </w:rPr>
        <w:lastRenderedPageBreak/>
        <w:t>The need to accurately measure liquidity risk arising from securities lending transactions (SLTs)</w:t>
      </w:r>
    </w:p>
    <w:p w14:paraId="6E9E75D4" w14:textId="77777777" w:rsidR="00D82F36" w:rsidRPr="00D3211E" w:rsidRDefault="00D82F36" w:rsidP="00D3211E">
      <w:pPr>
        <w:ind w:firstLine="567"/>
        <w:rPr>
          <w:rFonts w:ascii="Arial" w:hAnsi="Arial" w:cs="Arial"/>
          <w:sz w:val="23"/>
          <w:szCs w:val="23"/>
        </w:rPr>
      </w:pPr>
    </w:p>
    <w:p w14:paraId="7A9167B2" w14:textId="04EEEB74" w:rsidR="002C4D76" w:rsidRDefault="002C4D76" w:rsidP="00F71EB9">
      <w:pPr>
        <w:pStyle w:val="ListParagraph"/>
        <w:numPr>
          <w:ilvl w:val="2"/>
          <w:numId w:val="3"/>
        </w:numPr>
        <w:autoSpaceDE w:val="0"/>
        <w:autoSpaceDN w:val="0"/>
        <w:adjustRightInd w:val="0"/>
        <w:spacing w:line="360" w:lineRule="auto"/>
        <w:contextualSpacing w:val="0"/>
        <w:jc w:val="both"/>
        <w:rPr>
          <w:rFonts w:ascii="Arial" w:hAnsi="Arial" w:cs="Arial"/>
          <w:sz w:val="23"/>
          <w:szCs w:val="23"/>
        </w:rPr>
      </w:pPr>
      <w:r w:rsidRPr="00136227">
        <w:rPr>
          <w:rFonts w:ascii="Arial" w:hAnsi="Arial" w:cs="Arial"/>
          <w:sz w:val="23"/>
          <w:szCs w:val="23"/>
        </w:rPr>
        <w:t xml:space="preserve">Current </w:t>
      </w:r>
      <w:r>
        <w:rPr>
          <w:rFonts w:ascii="Arial" w:hAnsi="Arial" w:cs="Arial"/>
          <w:sz w:val="23"/>
          <w:szCs w:val="23"/>
        </w:rPr>
        <w:t xml:space="preserve">return does not </w:t>
      </w:r>
      <w:r w:rsidR="00A84D2B">
        <w:rPr>
          <w:rFonts w:ascii="Arial" w:hAnsi="Arial" w:cs="Arial"/>
          <w:sz w:val="23"/>
          <w:szCs w:val="23"/>
        </w:rPr>
        <w:t>allow</w:t>
      </w:r>
      <w:r>
        <w:rPr>
          <w:rFonts w:ascii="Arial" w:hAnsi="Arial" w:cs="Arial"/>
          <w:sz w:val="23"/>
          <w:szCs w:val="23"/>
        </w:rPr>
        <w:t xml:space="preserve"> insurers to quantify and report on liquidity risk arising from securities lending transactions (SLTs). Insurers may be exposed to sudden liquidity needs from recalls of funds received from SLTs</w:t>
      </w:r>
      <w:r w:rsidR="002D58E3">
        <w:rPr>
          <w:rFonts w:ascii="Arial" w:hAnsi="Arial" w:cs="Arial"/>
          <w:sz w:val="23"/>
          <w:szCs w:val="23"/>
        </w:rPr>
        <w:t>. Therefore</w:t>
      </w:r>
      <w:r>
        <w:rPr>
          <w:rFonts w:ascii="Arial" w:hAnsi="Arial" w:cs="Arial"/>
          <w:sz w:val="23"/>
          <w:szCs w:val="23"/>
        </w:rPr>
        <w:t xml:space="preserve">, this needs to be accounted for. </w:t>
      </w:r>
      <w:r w:rsidR="00A84D2B">
        <w:rPr>
          <w:rFonts w:ascii="Arial" w:hAnsi="Arial" w:cs="Arial"/>
          <w:sz w:val="23"/>
          <w:szCs w:val="23"/>
        </w:rPr>
        <w:t>Including these liquidity exposures will result in a complete view of insurers' liquidity vulnerabilities</w:t>
      </w:r>
      <w:r>
        <w:rPr>
          <w:rFonts w:ascii="Arial" w:hAnsi="Arial" w:cs="Arial"/>
          <w:sz w:val="23"/>
          <w:szCs w:val="23"/>
        </w:rPr>
        <w:t>.</w:t>
      </w:r>
    </w:p>
    <w:p w14:paraId="6378DF4F" w14:textId="690ED41A" w:rsidR="003D018A" w:rsidRPr="00D84FDE" w:rsidRDefault="00D3211E" w:rsidP="00F71EB9">
      <w:pPr>
        <w:pStyle w:val="Heading1"/>
        <w:numPr>
          <w:ilvl w:val="1"/>
          <w:numId w:val="3"/>
        </w:numPr>
        <w:ind w:left="567" w:hanging="709"/>
        <w:rPr>
          <w:b w:val="0"/>
          <w:bCs w:val="0"/>
          <w:color w:val="auto"/>
        </w:rPr>
      </w:pPr>
      <w:r w:rsidRPr="00D84FDE">
        <w:rPr>
          <w:b w:val="0"/>
          <w:bCs w:val="0"/>
          <w:color w:val="auto"/>
        </w:rPr>
        <w:t xml:space="preserve">The need to develop and implement a board or board sub-committee-approved contingency funding </w:t>
      </w:r>
      <w:proofErr w:type="gramStart"/>
      <w:r w:rsidRPr="00D84FDE">
        <w:rPr>
          <w:b w:val="0"/>
          <w:bCs w:val="0"/>
          <w:color w:val="auto"/>
        </w:rPr>
        <w:t>plan</w:t>
      </w:r>
      <w:proofErr w:type="gramEnd"/>
    </w:p>
    <w:p w14:paraId="09928378" w14:textId="77777777" w:rsidR="00D82F36" w:rsidRDefault="00D82F36" w:rsidP="00D82F36">
      <w:pPr>
        <w:ind w:firstLine="567"/>
        <w:rPr>
          <w:rFonts w:ascii="Arial" w:hAnsi="Arial" w:cs="Arial"/>
          <w:i/>
          <w:sz w:val="23"/>
          <w:szCs w:val="23"/>
        </w:rPr>
      </w:pPr>
    </w:p>
    <w:p w14:paraId="30A200F9" w14:textId="34503C48" w:rsidR="002571C3" w:rsidRDefault="002571C3" w:rsidP="00F71EB9">
      <w:pPr>
        <w:pStyle w:val="ListParagraph"/>
        <w:numPr>
          <w:ilvl w:val="2"/>
          <w:numId w:val="3"/>
        </w:numPr>
        <w:autoSpaceDE w:val="0"/>
        <w:autoSpaceDN w:val="0"/>
        <w:adjustRightInd w:val="0"/>
        <w:spacing w:line="360" w:lineRule="auto"/>
        <w:contextualSpacing w:val="0"/>
        <w:jc w:val="both"/>
        <w:rPr>
          <w:rFonts w:ascii="Arial" w:hAnsi="Arial" w:cs="Arial"/>
          <w:sz w:val="23"/>
          <w:szCs w:val="23"/>
        </w:rPr>
      </w:pPr>
      <w:r w:rsidRPr="002571C3">
        <w:rPr>
          <w:rFonts w:ascii="Arial" w:hAnsi="Arial" w:cs="Arial"/>
          <w:sz w:val="23"/>
          <w:szCs w:val="23"/>
        </w:rPr>
        <w:t>The current framework does not require insurers to document</w:t>
      </w:r>
      <w:r>
        <w:rPr>
          <w:rFonts w:ascii="Arial" w:hAnsi="Arial" w:cs="Arial"/>
          <w:sz w:val="23"/>
          <w:szCs w:val="23"/>
        </w:rPr>
        <w:t xml:space="preserve"> a</w:t>
      </w:r>
      <w:r w:rsidRPr="002571C3">
        <w:rPr>
          <w:rFonts w:ascii="Arial" w:hAnsi="Arial" w:cs="Arial"/>
          <w:sz w:val="23"/>
          <w:szCs w:val="23"/>
        </w:rPr>
        <w:t xml:space="preserve"> contingency funding plan</w:t>
      </w:r>
      <w:r w:rsidR="008456A2">
        <w:rPr>
          <w:rFonts w:ascii="Arial" w:hAnsi="Arial" w:cs="Arial"/>
          <w:sz w:val="23"/>
          <w:szCs w:val="23"/>
        </w:rPr>
        <w:t>, which should help the insurer address stress scenarios in which its liquid assets are insufficient or unexpectedly become illiquid</w:t>
      </w:r>
      <w:r w:rsidRPr="002571C3">
        <w:rPr>
          <w:rFonts w:ascii="Arial" w:hAnsi="Arial" w:cs="Arial"/>
          <w:sz w:val="23"/>
          <w:szCs w:val="23"/>
        </w:rPr>
        <w:t>.</w:t>
      </w:r>
      <w:r>
        <w:rPr>
          <w:rFonts w:ascii="Arial" w:hAnsi="Arial" w:cs="Arial"/>
          <w:sz w:val="23"/>
          <w:szCs w:val="23"/>
        </w:rPr>
        <w:t xml:space="preserve"> </w:t>
      </w:r>
    </w:p>
    <w:p w14:paraId="76144846" w14:textId="42AC160E" w:rsidR="00D82F36" w:rsidRPr="008456A2" w:rsidRDefault="00D3211E" w:rsidP="00F71EB9">
      <w:pPr>
        <w:pStyle w:val="Heading1"/>
        <w:numPr>
          <w:ilvl w:val="1"/>
          <w:numId w:val="3"/>
        </w:numPr>
        <w:ind w:left="567" w:hanging="709"/>
        <w:rPr>
          <w:b w:val="0"/>
          <w:bCs w:val="0"/>
          <w:color w:val="auto"/>
        </w:rPr>
      </w:pPr>
      <w:r w:rsidRPr="008456A2">
        <w:rPr>
          <w:b w:val="0"/>
          <w:bCs w:val="0"/>
          <w:color w:val="auto"/>
        </w:rPr>
        <w:t xml:space="preserve">The need to prepare and submit a liquidity risk management PA </w:t>
      </w:r>
      <w:proofErr w:type="gramStart"/>
      <w:r w:rsidRPr="008456A2">
        <w:rPr>
          <w:b w:val="0"/>
          <w:bCs w:val="0"/>
          <w:color w:val="auto"/>
        </w:rPr>
        <w:t>annually</w:t>
      </w:r>
      <w:proofErr w:type="gramEnd"/>
    </w:p>
    <w:p w14:paraId="0DE62071" w14:textId="0F734B64" w:rsidR="003D018A" w:rsidRPr="005878EC" w:rsidRDefault="002571C3" w:rsidP="003D018A">
      <w:pPr>
        <w:pStyle w:val="ListParagraph"/>
        <w:numPr>
          <w:ilvl w:val="2"/>
          <w:numId w:val="3"/>
        </w:numPr>
        <w:autoSpaceDE w:val="0"/>
        <w:autoSpaceDN w:val="0"/>
        <w:adjustRightInd w:val="0"/>
        <w:spacing w:line="360" w:lineRule="auto"/>
        <w:contextualSpacing w:val="0"/>
        <w:jc w:val="both"/>
        <w:rPr>
          <w:rFonts w:ascii="Arial" w:hAnsi="Arial" w:cs="Arial"/>
          <w:sz w:val="23"/>
          <w:szCs w:val="23"/>
        </w:rPr>
      </w:pPr>
      <w:r w:rsidRPr="008A1BE0">
        <w:rPr>
          <w:rFonts w:ascii="Arial" w:hAnsi="Arial" w:cs="Arial"/>
          <w:sz w:val="23"/>
          <w:szCs w:val="23"/>
        </w:rPr>
        <w:t xml:space="preserve">The current framework </w:t>
      </w:r>
      <w:r w:rsidR="001E555D" w:rsidRPr="008A1BE0">
        <w:rPr>
          <w:rFonts w:ascii="Arial" w:hAnsi="Arial" w:cs="Arial"/>
          <w:sz w:val="23"/>
          <w:szCs w:val="23"/>
        </w:rPr>
        <w:t xml:space="preserve">requires </w:t>
      </w:r>
      <w:r w:rsidR="008A1BE0" w:rsidRPr="008A1BE0">
        <w:rPr>
          <w:rFonts w:ascii="Arial" w:hAnsi="Arial" w:cs="Arial"/>
          <w:sz w:val="23"/>
          <w:szCs w:val="23"/>
        </w:rPr>
        <w:t>reporting</w:t>
      </w:r>
      <w:r w:rsidR="001E555D" w:rsidRPr="008A1BE0">
        <w:rPr>
          <w:rFonts w:ascii="Arial" w:hAnsi="Arial" w:cs="Arial"/>
          <w:sz w:val="23"/>
          <w:szCs w:val="23"/>
        </w:rPr>
        <w:t xml:space="preserve"> on liquidity risk as part of the ORSA, </w:t>
      </w:r>
      <w:r w:rsidR="008A1BE0" w:rsidRPr="008A1BE0">
        <w:rPr>
          <w:rFonts w:ascii="Arial" w:hAnsi="Arial" w:cs="Arial"/>
          <w:sz w:val="23"/>
          <w:szCs w:val="23"/>
        </w:rPr>
        <w:t>where relevant</w:t>
      </w:r>
      <w:r w:rsidR="001E555D" w:rsidRPr="008A1BE0">
        <w:rPr>
          <w:rFonts w:ascii="Arial" w:hAnsi="Arial" w:cs="Arial"/>
          <w:sz w:val="23"/>
          <w:szCs w:val="23"/>
        </w:rPr>
        <w:t>. This means that some insurers</w:t>
      </w:r>
      <w:r w:rsidR="00D52686">
        <w:rPr>
          <w:rFonts w:ascii="Arial" w:hAnsi="Arial" w:cs="Arial"/>
          <w:sz w:val="23"/>
          <w:szCs w:val="23"/>
        </w:rPr>
        <w:t xml:space="preserve"> who consider liquidity risk as not relevant</w:t>
      </w:r>
      <w:r w:rsidR="001E555D" w:rsidRPr="008A1BE0">
        <w:rPr>
          <w:rFonts w:ascii="Arial" w:hAnsi="Arial" w:cs="Arial"/>
          <w:sz w:val="23"/>
          <w:szCs w:val="23"/>
        </w:rPr>
        <w:t xml:space="preserve"> do not report on liquidity risk on the ORSA. Requiring insurers </w:t>
      </w:r>
      <w:r w:rsidR="003A4A2E">
        <w:rPr>
          <w:rFonts w:ascii="Arial" w:hAnsi="Arial" w:cs="Arial"/>
          <w:sz w:val="23"/>
          <w:szCs w:val="23"/>
        </w:rPr>
        <w:t>to prepare and submit a report</w:t>
      </w:r>
      <w:r w:rsidR="00D52686">
        <w:rPr>
          <w:rStyle w:val="FootnoteReference"/>
          <w:rFonts w:ascii="Arial" w:hAnsi="Arial" w:cs="Arial"/>
          <w:sz w:val="23"/>
          <w:szCs w:val="23"/>
        </w:rPr>
        <w:footnoteReference w:id="4"/>
      </w:r>
      <w:r w:rsidR="003A4A2E">
        <w:rPr>
          <w:rFonts w:ascii="Arial" w:hAnsi="Arial" w:cs="Arial"/>
          <w:sz w:val="23"/>
          <w:szCs w:val="23"/>
        </w:rPr>
        <w:t xml:space="preserve"> on liquidity risk annually</w:t>
      </w:r>
      <w:r w:rsidR="001E555D" w:rsidRPr="008A1BE0">
        <w:rPr>
          <w:rFonts w:ascii="Arial" w:hAnsi="Arial" w:cs="Arial"/>
          <w:sz w:val="23"/>
          <w:szCs w:val="23"/>
        </w:rPr>
        <w:t xml:space="preserve"> will ensure that insurers sufficiently assess their liquidity risk positions and report in accordance with the nature, scale, and complexity of their business.</w:t>
      </w:r>
      <w:bookmarkStart w:id="7" w:name="_Toc520056939"/>
      <w:bookmarkStart w:id="8" w:name="_Toc520056940"/>
      <w:bookmarkStart w:id="9" w:name="_Toc530487493"/>
      <w:bookmarkEnd w:id="7"/>
      <w:bookmarkEnd w:id="8"/>
      <w:bookmarkEnd w:id="9"/>
    </w:p>
    <w:p w14:paraId="1D67242E" w14:textId="77777777" w:rsidR="00D82F36" w:rsidRPr="003D018A" w:rsidRDefault="00D82F36" w:rsidP="003D018A"/>
    <w:p w14:paraId="3530E3F2" w14:textId="67842A92" w:rsidR="00097084" w:rsidRPr="0041712F" w:rsidRDefault="00097084" w:rsidP="007A5DF7">
      <w:pPr>
        <w:pStyle w:val="Heading1"/>
        <w:spacing w:line="240" w:lineRule="auto"/>
        <w:ind w:left="567" w:hanging="567"/>
        <w:rPr>
          <w:color w:val="auto"/>
        </w:rPr>
      </w:pPr>
      <w:bookmarkStart w:id="10" w:name="_Toc142983748"/>
      <w:r w:rsidRPr="0041712F">
        <w:rPr>
          <w:color w:val="auto"/>
        </w:rPr>
        <w:t>Statement of expected impact</w:t>
      </w:r>
      <w:r w:rsidR="001C0125" w:rsidRPr="0041712F">
        <w:rPr>
          <w:color w:val="auto"/>
        </w:rPr>
        <w:t>―</w:t>
      </w:r>
      <w:r w:rsidRPr="0041712F">
        <w:rPr>
          <w:color w:val="auto"/>
        </w:rPr>
        <w:t xml:space="preserve">Costs </w:t>
      </w:r>
      <w:r w:rsidR="00CA3DE9" w:rsidRPr="0041712F">
        <w:rPr>
          <w:color w:val="auto"/>
        </w:rPr>
        <w:t xml:space="preserve">&amp; </w:t>
      </w:r>
      <w:r w:rsidRPr="0041712F">
        <w:rPr>
          <w:color w:val="auto"/>
        </w:rPr>
        <w:t>benefits</w:t>
      </w:r>
      <w:r w:rsidR="00323397" w:rsidRPr="0041712F">
        <w:rPr>
          <w:color w:val="auto"/>
        </w:rPr>
        <w:t xml:space="preserve"> of implementing the framework</w:t>
      </w:r>
      <w:bookmarkEnd w:id="10"/>
    </w:p>
    <w:p w14:paraId="463573F6" w14:textId="7454DF8A" w:rsidR="00A95573" w:rsidRPr="00042153" w:rsidRDefault="000B5B5E" w:rsidP="00F71EB9">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sidRPr="0041712F">
        <w:rPr>
          <w:rFonts w:ascii="Arial" w:hAnsi="Arial" w:cs="Arial"/>
          <w:sz w:val="23"/>
          <w:szCs w:val="23"/>
        </w:rPr>
        <w:t xml:space="preserve">Under this section of the </w:t>
      </w:r>
      <w:r w:rsidR="00674F73">
        <w:rPr>
          <w:rFonts w:ascii="Arial" w:hAnsi="Arial" w:cs="Arial"/>
          <w:sz w:val="23"/>
          <w:szCs w:val="23"/>
        </w:rPr>
        <w:t>Statement</w:t>
      </w:r>
      <w:r w:rsidRPr="0041712F">
        <w:rPr>
          <w:rFonts w:ascii="Arial" w:hAnsi="Arial" w:cs="Arial"/>
          <w:sz w:val="23"/>
          <w:szCs w:val="23"/>
        </w:rPr>
        <w:t>, the impact, benefits</w:t>
      </w:r>
      <w:r w:rsidR="003D018A">
        <w:rPr>
          <w:rFonts w:ascii="Arial" w:hAnsi="Arial" w:cs="Arial"/>
          <w:sz w:val="23"/>
          <w:szCs w:val="23"/>
        </w:rPr>
        <w:t>,</w:t>
      </w:r>
      <w:r w:rsidRPr="0041712F">
        <w:rPr>
          <w:rFonts w:ascii="Arial" w:hAnsi="Arial" w:cs="Arial"/>
          <w:sz w:val="23"/>
          <w:szCs w:val="23"/>
        </w:rPr>
        <w:t xml:space="preserve"> and areas of concern for the updated </w:t>
      </w:r>
      <w:r w:rsidR="002C4D76">
        <w:rPr>
          <w:rFonts w:ascii="Arial" w:hAnsi="Arial" w:cs="Arial"/>
          <w:sz w:val="23"/>
          <w:szCs w:val="23"/>
        </w:rPr>
        <w:t>liquidity risk management</w:t>
      </w:r>
      <w:r w:rsidR="002C4D76" w:rsidRPr="0041712F">
        <w:rPr>
          <w:rFonts w:ascii="Arial" w:hAnsi="Arial" w:cs="Arial"/>
          <w:sz w:val="23"/>
          <w:szCs w:val="23"/>
        </w:rPr>
        <w:t xml:space="preserve"> </w:t>
      </w:r>
      <w:r w:rsidRPr="0041712F">
        <w:rPr>
          <w:rFonts w:ascii="Arial" w:hAnsi="Arial" w:cs="Arial"/>
          <w:sz w:val="23"/>
          <w:szCs w:val="23"/>
        </w:rPr>
        <w:t xml:space="preserve">framework </w:t>
      </w:r>
      <w:r w:rsidR="00674F73">
        <w:rPr>
          <w:rFonts w:ascii="Arial" w:hAnsi="Arial" w:cs="Arial"/>
          <w:sz w:val="23"/>
          <w:szCs w:val="23"/>
        </w:rPr>
        <w:t>will be</w:t>
      </w:r>
      <w:r w:rsidR="00674F73" w:rsidRPr="0041712F">
        <w:rPr>
          <w:rFonts w:ascii="Arial" w:hAnsi="Arial" w:cs="Arial"/>
          <w:sz w:val="23"/>
          <w:szCs w:val="23"/>
        </w:rPr>
        <w:t xml:space="preserve"> </w:t>
      </w:r>
      <w:r w:rsidRPr="0041712F">
        <w:rPr>
          <w:rFonts w:ascii="Arial" w:hAnsi="Arial" w:cs="Arial"/>
          <w:sz w:val="23"/>
          <w:szCs w:val="23"/>
        </w:rPr>
        <w:t xml:space="preserve">analysed. </w:t>
      </w:r>
      <w:r w:rsidR="00D3211E">
        <w:rPr>
          <w:rFonts w:ascii="Arial" w:hAnsi="Arial" w:cs="Arial"/>
          <w:sz w:val="23"/>
          <w:szCs w:val="23"/>
        </w:rPr>
        <w:t xml:space="preserve"> The final </w:t>
      </w:r>
      <w:r w:rsidR="00D3211E">
        <w:rPr>
          <w:rFonts w:ascii="Arial" w:hAnsi="Arial" w:cs="Arial"/>
          <w:sz w:val="23"/>
          <w:szCs w:val="23"/>
        </w:rPr>
        <w:lastRenderedPageBreak/>
        <w:t>quantification of the costs</w:t>
      </w:r>
      <w:r w:rsidR="008A1BE0">
        <w:rPr>
          <w:rFonts w:ascii="Arial" w:hAnsi="Arial" w:cs="Arial"/>
          <w:sz w:val="23"/>
          <w:szCs w:val="23"/>
        </w:rPr>
        <w:t xml:space="preserve"> and benefits</w:t>
      </w:r>
      <w:r w:rsidR="00D3211E">
        <w:rPr>
          <w:rFonts w:ascii="Arial" w:hAnsi="Arial" w:cs="Arial"/>
          <w:sz w:val="23"/>
          <w:szCs w:val="23"/>
        </w:rPr>
        <w:t xml:space="preserve"> will be finalised once the QIS results are received from insurers.</w:t>
      </w:r>
    </w:p>
    <w:p w14:paraId="2FA58CF6" w14:textId="77777777" w:rsidR="00941533" w:rsidRPr="0041712F" w:rsidRDefault="00212850" w:rsidP="00922D8C">
      <w:pPr>
        <w:pStyle w:val="Heading2"/>
        <w:rPr>
          <w:color w:val="auto"/>
        </w:rPr>
      </w:pPr>
      <w:bookmarkStart w:id="11" w:name="_Toc142983749"/>
      <w:r w:rsidRPr="0041712F">
        <w:rPr>
          <w:color w:val="auto"/>
        </w:rPr>
        <w:t xml:space="preserve">Scope and sample </w:t>
      </w:r>
      <w:r w:rsidR="00941533" w:rsidRPr="0041712F">
        <w:rPr>
          <w:color w:val="auto"/>
        </w:rPr>
        <w:t>of the impact study</w:t>
      </w:r>
      <w:bookmarkEnd w:id="11"/>
    </w:p>
    <w:p w14:paraId="6356CF5C" w14:textId="01DC6715" w:rsidR="003B6619" w:rsidRPr="006E23F9" w:rsidRDefault="003B6619" w:rsidP="00F71EB9">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color w:val="000000" w:themeColor="text1"/>
          <w:sz w:val="23"/>
          <w:szCs w:val="23"/>
        </w:rPr>
      </w:pPr>
      <w:r w:rsidRPr="006E23F9">
        <w:rPr>
          <w:rFonts w:ascii="Arial" w:hAnsi="Arial" w:cs="Arial"/>
          <w:color w:val="000000" w:themeColor="text1"/>
          <w:sz w:val="23"/>
          <w:szCs w:val="23"/>
        </w:rPr>
        <w:t xml:space="preserve">The purpose of the impact study </w:t>
      </w:r>
      <w:r w:rsidR="00D3211E">
        <w:rPr>
          <w:rFonts w:ascii="Arial" w:hAnsi="Arial" w:cs="Arial"/>
          <w:color w:val="000000" w:themeColor="text1"/>
          <w:sz w:val="23"/>
          <w:szCs w:val="23"/>
        </w:rPr>
        <w:t>is</w:t>
      </w:r>
      <w:r w:rsidR="00D3211E" w:rsidRPr="006E23F9">
        <w:rPr>
          <w:rFonts w:ascii="Arial" w:hAnsi="Arial" w:cs="Arial"/>
          <w:color w:val="000000" w:themeColor="text1"/>
          <w:sz w:val="23"/>
          <w:szCs w:val="23"/>
        </w:rPr>
        <w:t xml:space="preserve"> </w:t>
      </w:r>
      <w:r w:rsidRPr="006E23F9">
        <w:rPr>
          <w:rFonts w:ascii="Arial" w:hAnsi="Arial" w:cs="Arial"/>
          <w:color w:val="000000" w:themeColor="text1"/>
          <w:sz w:val="23"/>
          <w:szCs w:val="23"/>
        </w:rPr>
        <w:t>to allow the PA to assess the i</w:t>
      </w:r>
      <w:r w:rsidR="0086237D" w:rsidRPr="006E23F9">
        <w:rPr>
          <w:rFonts w:ascii="Arial" w:hAnsi="Arial" w:cs="Arial"/>
          <w:color w:val="000000" w:themeColor="text1"/>
          <w:sz w:val="23"/>
          <w:szCs w:val="23"/>
        </w:rPr>
        <w:t xml:space="preserve">mpact of the </w:t>
      </w:r>
      <w:r w:rsidR="00752B03" w:rsidRPr="006E23F9">
        <w:rPr>
          <w:rFonts w:ascii="Arial" w:hAnsi="Arial" w:cs="Arial"/>
          <w:color w:val="000000" w:themeColor="text1"/>
          <w:sz w:val="23"/>
          <w:szCs w:val="23"/>
        </w:rPr>
        <w:t xml:space="preserve">updated </w:t>
      </w:r>
      <w:r w:rsidR="006431B3">
        <w:rPr>
          <w:rFonts w:ascii="Arial" w:hAnsi="Arial" w:cs="Arial"/>
          <w:color w:val="000000" w:themeColor="text1"/>
          <w:sz w:val="23"/>
          <w:szCs w:val="23"/>
        </w:rPr>
        <w:t>liquidity risk management</w:t>
      </w:r>
      <w:r w:rsidR="0086237D" w:rsidRPr="006E23F9">
        <w:rPr>
          <w:rFonts w:ascii="Arial" w:hAnsi="Arial" w:cs="Arial"/>
          <w:color w:val="000000" w:themeColor="text1"/>
          <w:sz w:val="23"/>
          <w:szCs w:val="23"/>
        </w:rPr>
        <w:t xml:space="preserve"> framework</w:t>
      </w:r>
      <w:r w:rsidRPr="006E23F9">
        <w:rPr>
          <w:rFonts w:ascii="Arial" w:hAnsi="Arial" w:cs="Arial"/>
          <w:color w:val="000000" w:themeColor="text1"/>
          <w:sz w:val="23"/>
          <w:szCs w:val="23"/>
        </w:rPr>
        <w:t xml:space="preserve"> on </w:t>
      </w:r>
      <w:r w:rsidR="006431B3">
        <w:rPr>
          <w:rFonts w:ascii="Arial" w:hAnsi="Arial" w:cs="Arial"/>
          <w:color w:val="000000" w:themeColor="text1"/>
          <w:sz w:val="23"/>
          <w:szCs w:val="23"/>
        </w:rPr>
        <w:t>insurers</w:t>
      </w:r>
      <w:r w:rsidRPr="006E23F9">
        <w:rPr>
          <w:rFonts w:ascii="Arial" w:hAnsi="Arial" w:cs="Arial"/>
          <w:color w:val="000000" w:themeColor="text1"/>
          <w:sz w:val="23"/>
          <w:szCs w:val="23"/>
        </w:rPr>
        <w:t xml:space="preserve"> operating in South Africa, with specific reference to:</w:t>
      </w:r>
    </w:p>
    <w:p w14:paraId="7F070857" w14:textId="53DADFBC" w:rsidR="00E74CC6" w:rsidRPr="0041712F" w:rsidRDefault="006431B3" w:rsidP="00F71EB9">
      <w:pPr>
        <w:pStyle w:val="ListParagraph"/>
        <w:numPr>
          <w:ilvl w:val="0"/>
          <w:numId w:val="4"/>
        </w:numPr>
        <w:spacing w:line="360" w:lineRule="auto"/>
        <w:ind w:left="993" w:hanging="426"/>
        <w:rPr>
          <w:rFonts w:ascii="Arial" w:hAnsi="Arial" w:cs="Arial"/>
          <w:sz w:val="23"/>
          <w:szCs w:val="23"/>
          <w:lang w:val="en"/>
        </w:rPr>
      </w:pPr>
      <w:r>
        <w:rPr>
          <w:rFonts w:ascii="Arial" w:hAnsi="Arial" w:cs="Arial"/>
          <w:bCs/>
          <w:sz w:val="23"/>
          <w:szCs w:val="23"/>
        </w:rPr>
        <w:t>Business</w:t>
      </w:r>
      <w:r w:rsidR="00674F73">
        <w:rPr>
          <w:rFonts w:ascii="Arial" w:hAnsi="Arial" w:cs="Arial"/>
          <w:bCs/>
          <w:sz w:val="23"/>
          <w:szCs w:val="23"/>
        </w:rPr>
        <w:t>-</w:t>
      </w:r>
      <w:r>
        <w:rPr>
          <w:rFonts w:ascii="Arial" w:hAnsi="Arial" w:cs="Arial"/>
          <w:bCs/>
          <w:sz w:val="23"/>
          <w:szCs w:val="23"/>
        </w:rPr>
        <w:t>as</w:t>
      </w:r>
      <w:r w:rsidR="00674F73">
        <w:rPr>
          <w:rFonts w:ascii="Arial" w:hAnsi="Arial" w:cs="Arial"/>
          <w:bCs/>
          <w:sz w:val="23"/>
          <w:szCs w:val="23"/>
        </w:rPr>
        <w:t>-</w:t>
      </w:r>
      <w:r>
        <w:rPr>
          <w:rFonts w:ascii="Arial" w:hAnsi="Arial" w:cs="Arial"/>
          <w:bCs/>
          <w:sz w:val="23"/>
          <w:szCs w:val="23"/>
        </w:rPr>
        <w:t xml:space="preserve">usual and stressed cash </w:t>
      </w:r>
      <w:proofErr w:type="gramStart"/>
      <w:r>
        <w:rPr>
          <w:rFonts w:ascii="Arial" w:hAnsi="Arial" w:cs="Arial"/>
          <w:bCs/>
          <w:sz w:val="23"/>
          <w:szCs w:val="23"/>
        </w:rPr>
        <w:t>flows</w:t>
      </w:r>
      <w:r w:rsidR="00E74CC6" w:rsidRPr="0041712F">
        <w:rPr>
          <w:rFonts w:ascii="Arial" w:hAnsi="Arial" w:cs="Arial"/>
          <w:bCs/>
          <w:sz w:val="23"/>
          <w:szCs w:val="23"/>
        </w:rPr>
        <w:t>;</w:t>
      </w:r>
      <w:proofErr w:type="gramEnd"/>
    </w:p>
    <w:p w14:paraId="4BD7E020" w14:textId="7423DD0A" w:rsidR="000E49B5" w:rsidRPr="0041712F" w:rsidRDefault="006431B3" w:rsidP="00F71EB9">
      <w:pPr>
        <w:pStyle w:val="ListParagraph"/>
        <w:numPr>
          <w:ilvl w:val="0"/>
          <w:numId w:val="4"/>
        </w:numPr>
        <w:spacing w:line="360" w:lineRule="auto"/>
        <w:ind w:left="993" w:hanging="426"/>
        <w:rPr>
          <w:rFonts w:ascii="Arial" w:hAnsi="Arial" w:cs="Arial"/>
          <w:sz w:val="23"/>
          <w:szCs w:val="23"/>
          <w:lang w:val="en"/>
        </w:rPr>
      </w:pPr>
      <w:r>
        <w:rPr>
          <w:rFonts w:ascii="Arial" w:hAnsi="Arial" w:cs="Arial"/>
          <w:sz w:val="23"/>
          <w:szCs w:val="23"/>
          <w:lang w:val="en"/>
        </w:rPr>
        <w:t xml:space="preserve">Insurance Liquidity </w:t>
      </w:r>
      <w:proofErr w:type="gramStart"/>
      <w:r>
        <w:rPr>
          <w:rFonts w:ascii="Arial" w:hAnsi="Arial" w:cs="Arial"/>
          <w:sz w:val="23"/>
          <w:szCs w:val="23"/>
          <w:lang w:val="en"/>
        </w:rPr>
        <w:t>Ratio</w:t>
      </w:r>
      <w:r w:rsidR="00820823" w:rsidRPr="0041712F">
        <w:rPr>
          <w:rFonts w:ascii="Arial" w:hAnsi="Arial" w:cs="Arial"/>
          <w:sz w:val="23"/>
          <w:szCs w:val="23"/>
          <w:lang w:val="en"/>
        </w:rPr>
        <w:t>;</w:t>
      </w:r>
      <w:proofErr w:type="gramEnd"/>
      <w:r w:rsidR="00E74CC6" w:rsidRPr="0041712F">
        <w:rPr>
          <w:rFonts w:ascii="Arial" w:hAnsi="Arial" w:cs="Arial"/>
          <w:w w:val="95"/>
          <w:sz w:val="23"/>
          <w:szCs w:val="23"/>
        </w:rPr>
        <w:t xml:space="preserve"> </w:t>
      </w:r>
    </w:p>
    <w:p w14:paraId="050CEA9E" w14:textId="474E5D7D" w:rsidR="0086237D" w:rsidRDefault="006431B3" w:rsidP="00F71EB9">
      <w:pPr>
        <w:pStyle w:val="ListParagraph"/>
        <w:numPr>
          <w:ilvl w:val="0"/>
          <w:numId w:val="4"/>
        </w:numPr>
        <w:spacing w:line="360" w:lineRule="auto"/>
        <w:ind w:left="993" w:hanging="426"/>
        <w:rPr>
          <w:rFonts w:ascii="Arial" w:hAnsi="Arial" w:cs="Arial"/>
          <w:bCs/>
          <w:sz w:val="23"/>
          <w:szCs w:val="23"/>
        </w:rPr>
      </w:pPr>
      <w:r>
        <w:rPr>
          <w:rFonts w:ascii="Arial" w:hAnsi="Arial" w:cs="Arial"/>
          <w:bCs/>
          <w:sz w:val="23"/>
          <w:szCs w:val="23"/>
        </w:rPr>
        <w:t xml:space="preserve">Derivatives </w:t>
      </w:r>
      <w:proofErr w:type="gramStart"/>
      <w:r w:rsidR="008A1BE0">
        <w:rPr>
          <w:rFonts w:ascii="Arial" w:hAnsi="Arial" w:cs="Arial"/>
          <w:bCs/>
          <w:sz w:val="23"/>
          <w:szCs w:val="23"/>
        </w:rPr>
        <w:t>e</w:t>
      </w:r>
      <w:r>
        <w:rPr>
          <w:rFonts w:ascii="Arial" w:hAnsi="Arial" w:cs="Arial"/>
          <w:bCs/>
          <w:sz w:val="23"/>
          <w:szCs w:val="23"/>
        </w:rPr>
        <w:t>xposures</w:t>
      </w:r>
      <w:r w:rsidR="00752B03" w:rsidRPr="000E6EBB">
        <w:rPr>
          <w:rFonts w:ascii="Arial" w:hAnsi="Arial" w:cs="Arial"/>
          <w:bCs/>
          <w:sz w:val="23"/>
          <w:szCs w:val="23"/>
        </w:rPr>
        <w:t>;</w:t>
      </w:r>
      <w:proofErr w:type="gramEnd"/>
    </w:p>
    <w:p w14:paraId="7F39C904" w14:textId="6A1E5923" w:rsidR="008A1BE0" w:rsidRDefault="008A1BE0" w:rsidP="00F71EB9">
      <w:pPr>
        <w:pStyle w:val="ListParagraph"/>
        <w:numPr>
          <w:ilvl w:val="0"/>
          <w:numId w:val="4"/>
        </w:numPr>
        <w:spacing w:line="360" w:lineRule="auto"/>
        <w:ind w:left="993" w:hanging="426"/>
        <w:rPr>
          <w:rFonts w:ascii="Arial" w:hAnsi="Arial" w:cs="Arial"/>
          <w:bCs/>
          <w:sz w:val="23"/>
          <w:szCs w:val="23"/>
        </w:rPr>
      </w:pPr>
      <w:r>
        <w:rPr>
          <w:rFonts w:ascii="Arial" w:hAnsi="Arial" w:cs="Arial"/>
          <w:bCs/>
          <w:sz w:val="23"/>
          <w:szCs w:val="23"/>
        </w:rPr>
        <w:t xml:space="preserve">Securities lending </w:t>
      </w:r>
      <w:proofErr w:type="gramStart"/>
      <w:r>
        <w:rPr>
          <w:rFonts w:ascii="Arial" w:hAnsi="Arial" w:cs="Arial"/>
          <w:bCs/>
          <w:sz w:val="23"/>
          <w:szCs w:val="23"/>
        </w:rPr>
        <w:t>transactions;</w:t>
      </w:r>
      <w:proofErr w:type="gramEnd"/>
    </w:p>
    <w:p w14:paraId="7C039D8B" w14:textId="018F4B4F" w:rsidR="008A1BE0" w:rsidRDefault="008A1BE0" w:rsidP="00F71EB9">
      <w:pPr>
        <w:pStyle w:val="ListParagraph"/>
        <w:numPr>
          <w:ilvl w:val="0"/>
          <w:numId w:val="4"/>
        </w:numPr>
        <w:spacing w:line="360" w:lineRule="auto"/>
        <w:ind w:left="993" w:hanging="426"/>
        <w:rPr>
          <w:rFonts w:ascii="Arial" w:hAnsi="Arial" w:cs="Arial"/>
          <w:bCs/>
          <w:sz w:val="23"/>
          <w:szCs w:val="23"/>
        </w:rPr>
      </w:pPr>
      <w:r>
        <w:rPr>
          <w:rFonts w:ascii="Arial" w:hAnsi="Arial" w:cs="Arial"/>
          <w:bCs/>
          <w:sz w:val="23"/>
          <w:szCs w:val="23"/>
        </w:rPr>
        <w:t xml:space="preserve">Contingency funding </w:t>
      </w:r>
      <w:proofErr w:type="gramStart"/>
      <w:r>
        <w:rPr>
          <w:rFonts w:ascii="Arial" w:hAnsi="Arial" w:cs="Arial"/>
          <w:bCs/>
          <w:sz w:val="23"/>
          <w:szCs w:val="23"/>
        </w:rPr>
        <w:t>plan;</w:t>
      </w:r>
      <w:proofErr w:type="gramEnd"/>
    </w:p>
    <w:p w14:paraId="10059D0B" w14:textId="146B3198" w:rsidR="008A1BE0" w:rsidRPr="000E6EBB" w:rsidRDefault="008A1BE0" w:rsidP="00F71EB9">
      <w:pPr>
        <w:pStyle w:val="ListParagraph"/>
        <w:numPr>
          <w:ilvl w:val="0"/>
          <w:numId w:val="4"/>
        </w:numPr>
        <w:spacing w:line="360" w:lineRule="auto"/>
        <w:ind w:left="993" w:hanging="426"/>
        <w:rPr>
          <w:rFonts w:ascii="Arial" w:hAnsi="Arial" w:cs="Arial"/>
          <w:bCs/>
          <w:sz w:val="23"/>
          <w:szCs w:val="23"/>
        </w:rPr>
      </w:pPr>
      <w:r>
        <w:rPr>
          <w:rFonts w:ascii="Arial" w:hAnsi="Arial" w:cs="Arial"/>
          <w:bCs/>
          <w:sz w:val="23"/>
          <w:szCs w:val="23"/>
        </w:rPr>
        <w:t xml:space="preserve">Liquidity risk management </w:t>
      </w:r>
      <w:proofErr w:type="gramStart"/>
      <w:r>
        <w:rPr>
          <w:rFonts w:ascii="Arial" w:hAnsi="Arial" w:cs="Arial"/>
          <w:bCs/>
          <w:sz w:val="23"/>
          <w:szCs w:val="23"/>
        </w:rPr>
        <w:t>report;</w:t>
      </w:r>
      <w:proofErr w:type="gramEnd"/>
    </w:p>
    <w:p w14:paraId="5BE7FF17" w14:textId="77777777" w:rsidR="00941533" w:rsidRPr="0041712F" w:rsidRDefault="00941533" w:rsidP="00922D8C">
      <w:pPr>
        <w:pStyle w:val="Heading2"/>
        <w:rPr>
          <w:color w:val="auto"/>
        </w:rPr>
      </w:pPr>
      <w:bookmarkStart w:id="12" w:name="_Toc142983750"/>
      <w:r w:rsidRPr="0041712F">
        <w:rPr>
          <w:color w:val="auto"/>
        </w:rPr>
        <w:t>Methodology</w:t>
      </w:r>
      <w:bookmarkEnd w:id="12"/>
    </w:p>
    <w:p w14:paraId="47B42D29" w14:textId="77777777" w:rsidR="00D0348E" w:rsidRDefault="00A275E4" w:rsidP="00D0348E">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sidRPr="008A1BE0">
        <w:rPr>
          <w:rFonts w:ascii="Arial" w:hAnsi="Arial" w:cs="Arial"/>
          <w:sz w:val="23"/>
          <w:szCs w:val="23"/>
        </w:rPr>
        <w:t>The a</w:t>
      </w:r>
      <w:r w:rsidR="00655106" w:rsidRPr="008A1BE0">
        <w:rPr>
          <w:rFonts w:ascii="Arial" w:hAnsi="Arial" w:cs="Arial"/>
          <w:sz w:val="23"/>
          <w:szCs w:val="23"/>
        </w:rPr>
        <w:t xml:space="preserve">ssessment of the impact </w:t>
      </w:r>
      <w:r w:rsidR="00D82F36">
        <w:rPr>
          <w:rFonts w:ascii="Arial" w:hAnsi="Arial" w:cs="Arial"/>
          <w:sz w:val="23"/>
          <w:szCs w:val="23"/>
        </w:rPr>
        <w:t>will be carried out once the completed QIS templates are received from insurers.</w:t>
      </w:r>
      <w:bookmarkStart w:id="13" w:name="_Toc51018276"/>
      <w:bookmarkStart w:id="14" w:name="_Toc142983751"/>
    </w:p>
    <w:p w14:paraId="68B3A5C6" w14:textId="5F68A332" w:rsidR="007B11F1" w:rsidRPr="00410460" w:rsidRDefault="00042153" w:rsidP="007B11F1">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sz w:val="23"/>
          <w:szCs w:val="23"/>
        </w:rPr>
      </w:pPr>
      <w:r w:rsidRPr="00410460">
        <w:rPr>
          <w:rFonts w:ascii="Arial" w:hAnsi="Arial" w:cs="Arial"/>
          <w:bCs/>
          <w:iCs/>
        </w:rPr>
        <w:t>Impact of implementing the updated FSI 6 liquidity risk management in South Africa</w:t>
      </w:r>
      <w:bookmarkEnd w:id="13"/>
      <w:bookmarkEnd w:id="14"/>
    </w:p>
    <w:p w14:paraId="7C2C78B3" w14:textId="6076E7D1" w:rsidR="00042153" w:rsidRPr="00042153" w:rsidRDefault="00042153" w:rsidP="00410460">
      <w:pPr>
        <w:pStyle w:val="ListParagraph"/>
        <w:numPr>
          <w:ilvl w:val="2"/>
          <w:numId w:val="3"/>
        </w:numPr>
        <w:autoSpaceDE w:val="0"/>
        <w:autoSpaceDN w:val="0"/>
        <w:adjustRightInd w:val="0"/>
        <w:spacing w:after="240" w:line="360" w:lineRule="auto"/>
        <w:contextualSpacing w:val="0"/>
        <w:jc w:val="both"/>
        <w:rPr>
          <w:rFonts w:ascii="Arial" w:hAnsi="Arial" w:cs="Arial"/>
          <w:sz w:val="23"/>
          <w:szCs w:val="23"/>
        </w:rPr>
      </w:pPr>
      <w:r w:rsidRPr="00042153">
        <w:rPr>
          <w:rFonts w:ascii="Arial" w:hAnsi="Arial" w:cs="Arial"/>
          <w:sz w:val="23"/>
          <w:szCs w:val="23"/>
        </w:rPr>
        <w:t>During the consultation on the guidance notice 1 of 2022, the industry concurred that there is a need to update and review the liquidity risk management framework in South Africa. The current framework does not fully address the liquidity risk faced by insurers.</w:t>
      </w:r>
    </w:p>
    <w:p w14:paraId="68BD4085" w14:textId="78838835" w:rsidR="00042153" w:rsidRDefault="00042153" w:rsidP="00410460">
      <w:pPr>
        <w:pStyle w:val="ListParagraph"/>
        <w:numPr>
          <w:ilvl w:val="2"/>
          <w:numId w:val="3"/>
        </w:numPr>
        <w:autoSpaceDE w:val="0"/>
        <w:autoSpaceDN w:val="0"/>
        <w:adjustRightInd w:val="0"/>
        <w:spacing w:after="240" w:line="360" w:lineRule="auto"/>
        <w:contextualSpacing w:val="0"/>
        <w:jc w:val="both"/>
        <w:rPr>
          <w:rFonts w:ascii="Arial" w:hAnsi="Arial" w:cs="Arial"/>
          <w:sz w:val="23"/>
          <w:szCs w:val="23"/>
        </w:rPr>
      </w:pPr>
      <w:r w:rsidRPr="00042153">
        <w:rPr>
          <w:rFonts w:ascii="Arial" w:hAnsi="Arial" w:cs="Arial"/>
          <w:sz w:val="23"/>
          <w:szCs w:val="23"/>
        </w:rPr>
        <w:t xml:space="preserve">However, the industry raised concerns that additional system configuration and enhancements would be required to cater </w:t>
      </w:r>
      <w:r w:rsidR="00EC59F8">
        <w:rPr>
          <w:rFonts w:ascii="Arial" w:hAnsi="Arial" w:cs="Arial"/>
          <w:sz w:val="23"/>
          <w:szCs w:val="23"/>
        </w:rPr>
        <w:t>to</w:t>
      </w:r>
      <w:r w:rsidRPr="00042153">
        <w:rPr>
          <w:rFonts w:ascii="Arial" w:hAnsi="Arial" w:cs="Arial"/>
          <w:sz w:val="23"/>
          <w:szCs w:val="23"/>
        </w:rPr>
        <w:t xml:space="preserve"> the </w:t>
      </w:r>
      <w:r w:rsidR="00EC59F8">
        <w:rPr>
          <w:rFonts w:ascii="Arial" w:hAnsi="Arial" w:cs="Arial"/>
          <w:sz w:val="23"/>
          <w:szCs w:val="23"/>
        </w:rPr>
        <w:t>newly</w:t>
      </w:r>
      <w:r w:rsidRPr="00042153">
        <w:rPr>
          <w:rFonts w:ascii="Arial" w:hAnsi="Arial" w:cs="Arial"/>
          <w:sz w:val="23"/>
          <w:szCs w:val="23"/>
        </w:rPr>
        <w:t xml:space="preserve"> updated reporting.</w:t>
      </w:r>
      <w:r w:rsidR="00EC59F8">
        <w:rPr>
          <w:rFonts w:ascii="Arial" w:hAnsi="Arial" w:cs="Arial"/>
          <w:sz w:val="23"/>
          <w:szCs w:val="23"/>
        </w:rPr>
        <w:t xml:space="preserve"> Furthermore, some insurers raised concerns that the proposed requirements are extremely onerous, especially requiring an insurer to report </w:t>
      </w:r>
      <w:r w:rsidR="00972910">
        <w:rPr>
          <w:rFonts w:ascii="Arial" w:hAnsi="Arial" w:cs="Arial"/>
          <w:sz w:val="23"/>
          <w:szCs w:val="23"/>
        </w:rPr>
        <w:t>monthly</w:t>
      </w:r>
      <w:r w:rsidR="00EC59F8">
        <w:rPr>
          <w:rFonts w:ascii="Arial" w:hAnsi="Arial" w:cs="Arial"/>
          <w:sz w:val="23"/>
          <w:szCs w:val="23"/>
        </w:rPr>
        <w:t>, and that consideration should be given to the nature, scale, and complexity of the insurer.</w:t>
      </w:r>
    </w:p>
    <w:p w14:paraId="6E894357" w14:textId="77777777" w:rsidR="001C688D" w:rsidRDefault="00EC59F8" w:rsidP="00410460">
      <w:pPr>
        <w:pStyle w:val="ListParagraph"/>
        <w:numPr>
          <w:ilvl w:val="2"/>
          <w:numId w:val="3"/>
        </w:numPr>
        <w:autoSpaceDE w:val="0"/>
        <w:autoSpaceDN w:val="0"/>
        <w:adjustRightInd w:val="0"/>
        <w:spacing w:after="240" w:line="360" w:lineRule="auto"/>
        <w:contextualSpacing w:val="0"/>
        <w:jc w:val="both"/>
        <w:rPr>
          <w:rFonts w:ascii="Arial" w:hAnsi="Arial" w:cs="Arial"/>
          <w:sz w:val="23"/>
          <w:szCs w:val="23"/>
        </w:rPr>
      </w:pPr>
      <w:r>
        <w:rPr>
          <w:rFonts w:ascii="Arial" w:hAnsi="Arial" w:cs="Arial"/>
          <w:sz w:val="23"/>
          <w:szCs w:val="23"/>
        </w:rPr>
        <w:t xml:space="preserve">The industry further raised concerns about the lack of prescription by the PA of the stresses to be applied, emphasising that this will result in inconsistencies in reporting to the PA. Some insurers were of the view that </w:t>
      </w:r>
      <w:r>
        <w:rPr>
          <w:rFonts w:ascii="Arial" w:hAnsi="Arial" w:cs="Arial"/>
          <w:sz w:val="23"/>
          <w:szCs w:val="23"/>
        </w:rPr>
        <w:lastRenderedPageBreak/>
        <w:t>the current approach taken by the PA, of not prescribing stresses, will be beneficial for the insurance sector since the business models differ</w:t>
      </w:r>
      <w:r w:rsidR="007B11F1">
        <w:rPr>
          <w:rFonts w:ascii="Arial" w:hAnsi="Arial" w:cs="Arial"/>
          <w:sz w:val="23"/>
          <w:szCs w:val="23"/>
        </w:rPr>
        <w:t>.</w:t>
      </w:r>
    </w:p>
    <w:p w14:paraId="739D97CF" w14:textId="647819F9" w:rsidR="00FC451F" w:rsidRPr="000332E8" w:rsidRDefault="00FC451F" w:rsidP="001C688D">
      <w:pPr>
        <w:pStyle w:val="ListParagraph"/>
        <w:numPr>
          <w:ilvl w:val="1"/>
          <w:numId w:val="3"/>
        </w:numPr>
        <w:autoSpaceDE w:val="0"/>
        <w:autoSpaceDN w:val="0"/>
        <w:adjustRightInd w:val="0"/>
        <w:spacing w:after="240" w:line="360" w:lineRule="auto"/>
        <w:ind w:left="567" w:hanging="567"/>
        <w:contextualSpacing w:val="0"/>
        <w:jc w:val="both"/>
        <w:rPr>
          <w:rFonts w:ascii="Arial" w:hAnsi="Arial" w:cs="Arial"/>
        </w:rPr>
      </w:pPr>
      <w:r w:rsidRPr="000332E8">
        <w:rPr>
          <w:rFonts w:ascii="Arial" w:hAnsi="Arial" w:cs="Arial"/>
          <w:bCs/>
        </w:rPr>
        <w:t xml:space="preserve">Overall </w:t>
      </w:r>
      <w:r w:rsidR="0055422B" w:rsidRPr="000332E8">
        <w:rPr>
          <w:rFonts w:ascii="Arial" w:hAnsi="Arial" w:cs="Arial"/>
          <w:bCs/>
        </w:rPr>
        <w:t xml:space="preserve">liquidity risk management </w:t>
      </w:r>
      <w:r w:rsidRPr="000332E8">
        <w:rPr>
          <w:rFonts w:ascii="Arial" w:hAnsi="Arial" w:cs="Arial"/>
          <w:bCs/>
        </w:rPr>
        <w:t>implementation costs</w:t>
      </w:r>
    </w:p>
    <w:p w14:paraId="0464DB83" w14:textId="5B796DAD" w:rsidR="006B1FC9" w:rsidRPr="001807C0" w:rsidRDefault="006E575D" w:rsidP="00AC78CD">
      <w:pPr>
        <w:pStyle w:val="ListParagraph"/>
        <w:numPr>
          <w:ilvl w:val="2"/>
          <w:numId w:val="3"/>
        </w:numPr>
        <w:autoSpaceDE w:val="0"/>
        <w:autoSpaceDN w:val="0"/>
        <w:adjustRightInd w:val="0"/>
        <w:spacing w:line="360" w:lineRule="auto"/>
        <w:contextualSpacing w:val="0"/>
        <w:jc w:val="both"/>
        <w:rPr>
          <w:rFonts w:ascii="Arial" w:hAnsi="Arial" w:cs="Arial"/>
          <w:bCs/>
          <w:color w:val="000000" w:themeColor="text1"/>
          <w:sz w:val="23"/>
          <w:szCs w:val="23"/>
        </w:rPr>
      </w:pPr>
      <w:r>
        <w:rPr>
          <w:rFonts w:ascii="Arial" w:hAnsi="Arial" w:cs="Arial"/>
          <w:bCs/>
          <w:color w:val="000000" w:themeColor="text1"/>
          <w:sz w:val="23"/>
          <w:szCs w:val="23"/>
        </w:rPr>
        <w:t>Implementing the updated liquidity risk management framework in South Africa is expected to result in additional costs and administrative requirements associated with system configurations, model enhancements, and</w:t>
      </w:r>
      <w:r w:rsidR="0027647E" w:rsidRPr="0027647E">
        <w:rPr>
          <w:rFonts w:ascii="Arial" w:hAnsi="Arial" w:cs="Arial"/>
          <w:bCs/>
          <w:color w:val="000000" w:themeColor="text1"/>
          <w:sz w:val="23"/>
          <w:szCs w:val="23"/>
        </w:rPr>
        <w:t xml:space="preserve"> additional reporting. </w:t>
      </w:r>
      <w:r w:rsidR="0055422B">
        <w:rPr>
          <w:rFonts w:ascii="Arial" w:hAnsi="Arial" w:cs="Arial"/>
          <w:bCs/>
          <w:color w:val="000000" w:themeColor="text1"/>
          <w:sz w:val="23"/>
          <w:szCs w:val="23"/>
        </w:rPr>
        <w:t>The implementation cost for the insurance sector is yet to be determined.</w:t>
      </w:r>
    </w:p>
    <w:p w14:paraId="376857F3" w14:textId="77777777" w:rsidR="00097084" w:rsidRPr="006246EF" w:rsidRDefault="00097084" w:rsidP="007A5DF7">
      <w:pPr>
        <w:pStyle w:val="Heading1"/>
        <w:spacing w:line="240" w:lineRule="auto"/>
        <w:ind w:left="567" w:hanging="567"/>
        <w:rPr>
          <w:color w:val="000000" w:themeColor="text1"/>
        </w:rPr>
      </w:pPr>
      <w:bookmarkStart w:id="15" w:name="_Toc142983752"/>
      <w:r w:rsidRPr="006246EF">
        <w:rPr>
          <w:color w:val="000000" w:themeColor="text1"/>
        </w:rPr>
        <w:t>Statement of intended operation</w:t>
      </w:r>
      <w:r w:rsidR="001C0125" w:rsidRPr="006246EF">
        <w:rPr>
          <w:color w:val="000000" w:themeColor="text1"/>
        </w:rPr>
        <w:t xml:space="preserve"> ― </w:t>
      </w:r>
      <w:r w:rsidRPr="006246EF">
        <w:rPr>
          <w:color w:val="000000" w:themeColor="text1"/>
        </w:rPr>
        <w:t>Implementation and evaluation</w:t>
      </w:r>
      <w:bookmarkEnd w:id="15"/>
      <w:r w:rsidRPr="006246EF">
        <w:rPr>
          <w:color w:val="000000" w:themeColor="text1"/>
        </w:rPr>
        <w:t xml:space="preserve"> </w:t>
      </w:r>
    </w:p>
    <w:p w14:paraId="3B1177C8" w14:textId="3F4A972B" w:rsidR="001049A0" w:rsidRPr="00061EDF" w:rsidRDefault="003F5A85" w:rsidP="00F71EB9">
      <w:pPr>
        <w:pStyle w:val="ListParagraph"/>
        <w:numPr>
          <w:ilvl w:val="1"/>
          <w:numId w:val="3"/>
        </w:numPr>
        <w:autoSpaceDE w:val="0"/>
        <w:autoSpaceDN w:val="0"/>
        <w:adjustRightInd w:val="0"/>
        <w:spacing w:line="360" w:lineRule="auto"/>
        <w:ind w:left="567" w:hanging="567"/>
        <w:contextualSpacing w:val="0"/>
        <w:jc w:val="both"/>
        <w:rPr>
          <w:rFonts w:ascii="Arial" w:hAnsi="Arial" w:cs="Arial"/>
          <w:bCs/>
          <w:color w:val="000000" w:themeColor="text1"/>
          <w:sz w:val="23"/>
          <w:szCs w:val="23"/>
        </w:rPr>
      </w:pPr>
      <w:r w:rsidRPr="00061EDF">
        <w:rPr>
          <w:rFonts w:ascii="Arial" w:hAnsi="Arial" w:cs="Arial"/>
          <w:bCs/>
          <w:color w:val="000000" w:themeColor="text1"/>
          <w:sz w:val="23"/>
          <w:szCs w:val="23"/>
        </w:rPr>
        <w:t xml:space="preserve">The </w:t>
      </w:r>
      <w:r w:rsidR="00812925" w:rsidRPr="00061EDF">
        <w:rPr>
          <w:rFonts w:ascii="Arial" w:hAnsi="Arial" w:cs="Arial"/>
          <w:bCs/>
          <w:color w:val="000000" w:themeColor="text1"/>
          <w:sz w:val="23"/>
          <w:szCs w:val="23"/>
        </w:rPr>
        <w:t xml:space="preserve">FSI 6 </w:t>
      </w:r>
      <w:r w:rsidR="006431B3" w:rsidRPr="00061EDF">
        <w:rPr>
          <w:rFonts w:ascii="Arial" w:hAnsi="Arial" w:cs="Arial"/>
          <w:bCs/>
          <w:color w:val="000000" w:themeColor="text1"/>
          <w:sz w:val="23"/>
          <w:szCs w:val="23"/>
        </w:rPr>
        <w:t xml:space="preserve">liquidity risk management </w:t>
      </w:r>
      <w:r w:rsidR="00812925" w:rsidRPr="00061EDF">
        <w:rPr>
          <w:rFonts w:ascii="Arial" w:hAnsi="Arial" w:cs="Arial"/>
          <w:bCs/>
          <w:color w:val="000000" w:themeColor="text1"/>
          <w:sz w:val="23"/>
          <w:szCs w:val="23"/>
        </w:rPr>
        <w:t>standard</w:t>
      </w:r>
      <w:r w:rsidRPr="00061EDF">
        <w:rPr>
          <w:rFonts w:ascii="Arial" w:hAnsi="Arial" w:cs="Arial"/>
          <w:bCs/>
          <w:color w:val="000000" w:themeColor="text1"/>
          <w:sz w:val="23"/>
          <w:szCs w:val="23"/>
        </w:rPr>
        <w:t xml:space="preserve"> applies to all </w:t>
      </w:r>
      <w:r w:rsidR="006431B3" w:rsidRPr="00061EDF">
        <w:rPr>
          <w:rFonts w:ascii="Arial" w:hAnsi="Arial" w:cs="Arial"/>
          <w:bCs/>
          <w:color w:val="000000" w:themeColor="text1"/>
          <w:sz w:val="23"/>
          <w:szCs w:val="23"/>
        </w:rPr>
        <w:t xml:space="preserve">insurers </w:t>
      </w:r>
      <w:r w:rsidRPr="00061EDF">
        <w:rPr>
          <w:rFonts w:ascii="Arial" w:hAnsi="Arial" w:cs="Arial"/>
          <w:bCs/>
          <w:color w:val="000000" w:themeColor="text1"/>
          <w:sz w:val="23"/>
          <w:szCs w:val="23"/>
        </w:rPr>
        <w:t>operating in South Africa</w:t>
      </w:r>
      <w:r w:rsidR="00812925" w:rsidRPr="00061EDF">
        <w:rPr>
          <w:rFonts w:ascii="Arial" w:hAnsi="Arial" w:cs="Arial"/>
          <w:bCs/>
          <w:color w:val="000000" w:themeColor="text1"/>
          <w:sz w:val="23"/>
          <w:szCs w:val="23"/>
        </w:rPr>
        <w:t xml:space="preserve">, </w:t>
      </w:r>
      <w:r w:rsidR="00812925" w:rsidRPr="00061EDF">
        <w:rPr>
          <w:rFonts w:ascii="Arial" w:hAnsi="Arial" w:cs="Arial"/>
          <w:sz w:val="23"/>
          <w:szCs w:val="23"/>
        </w:rPr>
        <w:t xml:space="preserve">other than </w:t>
      </w:r>
      <w:r w:rsidR="00261EC2" w:rsidRPr="00061EDF">
        <w:rPr>
          <w:rFonts w:ascii="Arial" w:hAnsi="Arial" w:cs="Arial"/>
          <w:sz w:val="23"/>
          <w:szCs w:val="23"/>
        </w:rPr>
        <w:t>micro</w:t>
      </w:r>
      <w:r w:rsidR="00261EC2">
        <w:rPr>
          <w:rFonts w:ascii="Arial" w:hAnsi="Arial" w:cs="Arial"/>
          <w:sz w:val="23"/>
          <w:szCs w:val="23"/>
        </w:rPr>
        <w:t>-</w:t>
      </w:r>
      <w:r w:rsidR="00261EC2" w:rsidRPr="00061EDF">
        <w:rPr>
          <w:rFonts w:ascii="Arial" w:hAnsi="Arial" w:cs="Arial"/>
          <w:sz w:val="23"/>
          <w:szCs w:val="23"/>
        </w:rPr>
        <w:t>insurers</w:t>
      </w:r>
      <w:r w:rsidR="00812925" w:rsidRPr="00061EDF">
        <w:rPr>
          <w:rFonts w:ascii="Arial" w:hAnsi="Arial" w:cs="Arial"/>
          <w:sz w:val="23"/>
          <w:szCs w:val="23"/>
        </w:rPr>
        <w:t xml:space="preserve">, Lloyd’s, and branches of foreign reinsurers, </w:t>
      </w:r>
      <w:r w:rsidRPr="00061EDF">
        <w:rPr>
          <w:rFonts w:ascii="Arial" w:hAnsi="Arial" w:cs="Arial"/>
          <w:bCs/>
          <w:color w:val="000000" w:themeColor="text1"/>
          <w:sz w:val="23"/>
          <w:szCs w:val="23"/>
        </w:rPr>
        <w:t>and the fra</w:t>
      </w:r>
      <w:r w:rsidR="00E40027" w:rsidRPr="00061EDF">
        <w:rPr>
          <w:rFonts w:ascii="Arial" w:hAnsi="Arial" w:cs="Arial"/>
          <w:bCs/>
          <w:color w:val="000000" w:themeColor="text1"/>
          <w:sz w:val="23"/>
          <w:szCs w:val="23"/>
        </w:rPr>
        <w:t>mework</w:t>
      </w:r>
      <w:r w:rsidR="001049A0" w:rsidRPr="00061EDF">
        <w:rPr>
          <w:rFonts w:ascii="Arial" w:hAnsi="Arial" w:cs="Arial"/>
          <w:bCs/>
          <w:color w:val="000000" w:themeColor="text1"/>
          <w:sz w:val="23"/>
          <w:szCs w:val="23"/>
        </w:rPr>
        <w:t xml:space="preserve"> will be </w:t>
      </w:r>
      <w:r w:rsidRPr="00061EDF">
        <w:rPr>
          <w:rFonts w:ascii="Arial" w:hAnsi="Arial" w:cs="Arial"/>
          <w:bCs/>
          <w:color w:val="000000" w:themeColor="text1"/>
          <w:sz w:val="23"/>
          <w:szCs w:val="23"/>
        </w:rPr>
        <w:t xml:space="preserve">incorporated into the domestic regulatory framework </w:t>
      </w:r>
      <w:r w:rsidR="001049A0" w:rsidRPr="00061EDF">
        <w:rPr>
          <w:rFonts w:ascii="Arial" w:hAnsi="Arial" w:cs="Arial"/>
          <w:bCs/>
          <w:color w:val="000000" w:themeColor="text1"/>
          <w:sz w:val="23"/>
          <w:szCs w:val="23"/>
        </w:rPr>
        <w:t xml:space="preserve">through amendments to the </w:t>
      </w:r>
      <w:r w:rsidR="006431B3" w:rsidRPr="00061EDF">
        <w:rPr>
          <w:rFonts w:ascii="Arial" w:hAnsi="Arial" w:cs="Arial"/>
          <w:bCs/>
          <w:color w:val="000000" w:themeColor="text1"/>
          <w:sz w:val="23"/>
          <w:szCs w:val="23"/>
        </w:rPr>
        <w:t>FSI 6 Liquidity Risk Assessment standard</w:t>
      </w:r>
      <w:r w:rsidR="001049A0" w:rsidRPr="00061EDF">
        <w:rPr>
          <w:rFonts w:ascii="Arial" w:hAnsi="Arial" w:cs="Arial"/>
          <w:bCs/>
          <w:color w:val="000000" w:themeColor="text1"/>
          <w:sz w:val="23"/>
          <w:szCs w:val="23"/>
        </w:rPr>
        <w:t>.</w:t>
      </w:r>
    </w:p>
    <w:p w14:paraId="63CD4E69" w14:textId="4584551A" w:rsidR="001049A0" w:rsidRPr="00061EDF" w:rsidRDefault="001049A0" w:rsidP="00F71EB9">
      <w:pPr>
        <w:pStyle w:val="ListParagraph"/>
        <w:numPr>
          <w:ilvl w:val="1"/>
          <w:numId w:val="3"/>
        </w:numPr>
        <w:autoSpaceDE w:val="0"/>
        <w:autoSpaceDN w:val="0"/>
        <w:adjustRightInd w:val="0"/>
        <w:spacing w:line="360" w:lineRule="auto"/>
        <w:ind w:left="567" w:hanging="567"/>
        <w:contextualSpacing w:val="0"/>
        <w:jc w:val="both"/>
        <w:rPr>
          <w:rFonts w:ascii="Arial" w:hAnsi="Arial" w:cs="Arial"/>
          <w:bCs/>
          <w:color w:val="000000" w:themeColor="text1"/>
          <w:sz w:val="23"/>
          <w:szCs w:val="23"/>
        </w:rPr>
      </w:pPr>
      <w:r w:rsidRPr="00061EDF">
        <w:rPr>
          <w:rFonts w:ascii="Arial" w:hAnsi="Arial" w:cs="Arial"/>
          <w:bCs/>
          <w:color w:val="000000" w:themeColor="text1"/>
          <w:sz w:val="23"/>
          <w:szCs w:val="23"/>
        </w:rPr>
        <w:t xml:space="preserve">The envisaged commencement date </w:t>
      </w:r>
      <w:r w:rsidR="00494CB3" w:rsidRPr="00061EDF">
        <w:rPr>
          <w:rFonts w:ascii="Arial" w:hAnsi="Arial" w:cs="Arial"/>
          <w:bCs/>
          <w:color w:val="000000" w:themeColor="text1"/>
          <w:sz w:val="23"/>
          <w:szCs w:val="23"/>
        </w:rPr>
        <w:t>for</w:t>
      </w:r>
      <w:r w:rsidR="00E40027" w:rsidRPr="00061EDF">
        <w:rPr>
          <w:rFonts w:ascii="Arial" w:hAnsi="Arial" w:cs="Arial"/>
          <w:bCs/>
          <w:color w:val="000000" w:themeColor="text1"/>
          <w:sz w:val="23"/>
          <w:szCs w:val="23"/>
        </w:rPr>
        <w:t xml:space="preserve"> the </w:t>
      </w:r>
      <w:r w:rsidR="006431B3" w:rsidRPr="00061EDF">
        <w:rPr>
          <w:rFonts w:ascii="Arial" w:hAnsi="Arial" w:cs="Arial"/>
          <w:bCs/>
          <w:color w:val="000000" w:themeColor="text1"/>
          <w:sz w:val="23"/>
          <w:szCs w:val="23"/>
        </w:rPr>
        <w:t xml:space="preserve">liquidity risk management </w:t>
      </w:r>
      <w:r w:rsidRPr="00061EDF">
        <w:rPr>
          <w:rFonts w:ascii="Arial" w:hAnsi="Arial" w:cs="Arial"/>
          <w:bCs/>
          <w:color w:val="000000" w:themeColor="text1"/>
          <w:sz w:val="23"/>
          <w:szCs w:val="23"/>
        </w:rPr>
        <w:t xml:space="preserve">framework </w:t>
      </w:r>
      <w:r w:rsidR="00E40027" w:rsidRPr="00061EDF">
        <w:rPr>
          <w:rFonts w:ascii="Arial" w:hAnsi="Arial" w:cs="Arial"/>
          <w:bCs/>
          <w:color w:val="000000" w:themeColor="text1"/>
          <w:sz w:val="23"/>
          <w:szCs w:val="23"/>
        </w:rPr>
        <w:t xml:space="preserve">is </w:t>
      </w:r>
      <w:r w:rsidR="006431B3" w:rsidRPr="00061EDF">
        <w:rPr>
          <w:rFonts w:ascii="Arial" w:hAnsi="Arial" w:cs="Arial"/>
          <w:bCs/>
          <w:color w:val="000000" w:themeColor="text1"/>
          <w:sz w:val="23"/>
          <w:szCs w:val="23"/>
        </w:rPr>
        <w:t>yet to be communicated</w:t>
      </w:r>
      <w:r w:rsidRPr="00061EDF">
        <w:rPr>
          <w:rFonts w:ascii="Arial" w:hAnsi="Arial" w:cs="Arial"/>
          <w:bCs/>
          <w:color w:val="000000" w:themeColor="text1"/>
          <w:sz w:val="23"/>
          <w:szCs w:val="23"/>
        </w:rPr>
        <w:t>.</w:t>
      </w:r>
      <w:r w:rsidR="004C124A" w:rsidRPr="00061EDF">
        <w:rPr>
          <w:rFonts w:ascii="Arial" w:hAnsi="Arial" w:cs="Arial"/>
          <w:bCs/>
          <w:color w:val="000000" w:themeColor="text1"/>
          <w:sz w:val="23"/>
          <w:szCs w:val="23"/>
        </w:rPr>
        <w:t xml:space="preserve"> </w:t>
      </w:r>
    </w:p>
    <w:p w14:paraId="55695DF9" w14:textId="19C439BC" w:rsidR="004F04BE" w:rsidRPr="00061EDF" w:rsidRDefault="00F95D89" w:rsidP="00F71EB9">
      <w:pPr>
        <w:pStyle w:val="ListParagraph"/>
        <w:numPr>
          <w:ilvl w:val="1"/>
          <w:numId w:val="3"/>
        </w:numPr>
        <w:autoSpaceDE w:val="0"/>
        <w:autoSpaceDN w:val="0"/>
        <w:adjustRightInd w:val="0"/>
        <w:spacing w:line="360" w:lineRule="auto"/>
        <w:ind w:left="567" w:hanging="567"/>
        <w:contextualSpacing w:val="0"/>
        <w:jc w:val="both"/>
        <w:rPr>
          <w:rFonts w:ascii="Arial" w:hAnsi="Arial" w:cs="Arial"/>
          <w:bCs/>
          <w:color w:val="000000" w:themeColor="text1"/>
          <w:sz w:val="23"/>
          <w:szCs w:val="23"/>
        </w:rPr>
      </w:pPr>
      <w:r w:rsidRPr="00061EDF">
        <w:rPr>
          <w:rFonts w:ascii="Arial" w:hAnsi="Arial" w:cs="Arial"/>
          <w:bCs/>
          <w:color w:val="000000" w:themeColor="text1"/>
          <w:sz w:val="23"/>
          <w:szCs w:val="23"/>
        </w:rPr>
        <w:t xml:space="preserve">The </w:t>
      </w:r>
      <w:r w:rsidR="00663E2C" w:rsidRPr="00061EDF">
        <w:rPr>
          <w:rFonts w:ascii="Arial" w:hAnsi="Arial" w:cs="Arial"/>
          <w:bCs/>
          <w:color w:val="000000" w:themeColor="text1"/>
          <w:sz w:val="23"/>
          <w:szCs w:val="23"/>
        </w:rPr>
        <w:t>QIS</w:t>
      </w:r>
      <w:r w:rsidRPr="00061EDF">
        <w:rPr>
          <w:rFonts w:ascii="Arial" w:hAnsi="Arial" w:cs="Arial"/>
          <w:bCs/>
          <w:color w:val="000000" w:themeColor="text1"/>
          <w:sz w:val="23"/>
          <w:szCs w:val="23"/>
        </w:rPr>
        <w:t xml:space="preserve"> undertaken by the PA </w:t>
      </w:r>
      <w:r w:rsidR="006431B3" w:rsidRPr="00061EDF">
        <w:rPr>
          <w:rFonts w:ascii="Arial" w:hAnsi="Arial" w:cs="Arial"/>
          <w:bCs/>
          <w:color w:val="000000" w:themeColor="text1"/>
          <w:sz w:val="23"/>
          <w:szCs w:val="23"/>
        </w:rPr>
        <w:t xml:space="preserve">is </w:t>
      </w:r>
      <w:r w:rsidRPr="00061EDF">
        <w:rPr>
          <w:rFonts w:ascii="Arial" w:hAnsi="Arial" w:cs="Arial"/>
          <w:bCs/>
          <w:color w:val="000000" w:themeColor="text1"/>
          <w:sz w:val="23"/>
          <w:szCs w:val="23"/>
        </w:rPr>
        <w:t xml:space="preserve">aimed at </w:t>
      </w:r>
      <w:r w:rsidR="004F04BE" w:rsidRPr="00061EDF">
        <w:rPr>
          <w:rFonts w:ascii="Arial" w:hAnsi="Arial" w:cs="Arial"/>
          <w:bCs/>
          <w:color w:val="000000" w:themeColor="text1"/>
          <w:sz w:val="23"/>
          <w:szCs w:val="23"/>
        </w:rPr>
        <w:t>assess</w:t>
      </w:r>
      <w:r w:rsidRPr="00061EDF">
        <w:rPr>
          <w:rFonts w:ascii="Arial" w:hAnsi="Arial" w:cs="Arial"/>
          <w:bCs/>
          <w:color w:val="000000" w:themeColor="text1"/>
          <w:sz w:val="23"/>
          <w:szCs w:val="23"/>
        </w:rPr>
        <w:t xml:space="preserve">ing </w:t>
      </w:r>
      <w:r w:rsidR="004F04BE" w:rsidRPr="00061EDF">
        <w:rPr>
          <w:rFonts w:ascii="Arial" w:hAnsi="Arial" w:cs="Arial"/>
          <w:bCs/>
          <w:color w:val="000000" w:themeColor="text1"/>
          <w:sz w:val="23"/>
          <w:szCs w:val="23"/>
        </w:rPr>
        <w:t xml:space="preserve">the impact of the </w:t>
      </w:r>
      <w:r w:rsidRPr="00061EDF">
        <w:rPr>
          <w:rFonts w:ascii="Arial" w:hAnsi="Arial" w:cs="Arial"/>
          <w:bCs/>
          <w:color w:val="000000" w:themeColor="text1"/>
          <w:sz w:val="23"/>
          <w:szCs w:val="23"/>
        </w:rPr>
        <w:t xml:space="preserve">proposed regulatory reforms and </w:t>
      </w:r>
      <w:r w:rsidR="00D82F36" w:rsidRPr="00061EDF">
        <w:rPr>
          <w:rFonts w:ascii="Arial" w:hAnsi="Arial" w:cs="Arial"/>
          <w:bCs/>
          <w:color w:val="000000" w:themeColor="text1"/>
          <w:sz w:val="23"/>
          <w:szCs w:val="23"/>
        </w:rPr>
        <w:t>understanding</w:t>
      </w:r>
      <w:r w:rsidR="004F04BE" w:rsidRPr="00061EDF">
        <w:rPr>
          <w:rFonts w:ascii="Arial" w:hAnsi="Arial" w:cs="Arial"/>
          <w:bCs/>
          <w:color w:val="000000" w:themeColor="text1"/>
          <w:sz w:val="23"/>
          <w:szCs w:val="23"/>
        </w:rPr>
        <w:t xml:space="preserve"> the impact of the </w:t>
      </w:r>
      <w:r w:rsidR="00441842" w:rsidRPr="00061EDF">
        <w:rPr>
          <w:rFonts w:ascii="Arial" w:hAnsi="Arial" w:cs="Arial"/>
          <w:bCs/>
          <w:color w:val="000000" w:themeColor="text1"/>
          <w:sz w:val="23"/>
          <w:szCs w:val="23"/>
        </w:rPr>
        <w:t xml:space="preserve">proposed framework </w:t>
      </w:r>
      <w:r w:rsidR="004F04BE" w:rsidRPr="00061EDF">
        <w:rPr>
          <w:rFonts w:ascii="Arial" w:hAnsi="Arial" w:cs="Arial"/>
          <w:bCs/>
          <w:color w:val="000000" w:themeColor="text1"/>
          <w:sz w:val="23"/>
          <w:szCs w:val="23"/>
        </w:rPr>
        <w:t xml:space="preserve">before </w:t>
      </w:r>
      <w:r w:rsidR="00441842" w:rsidRPr="00061EDF">
        <w:rPr>
          <w:rFonts w:ascii="Arial" w:hAnsi="Arial" w:cs="Arial"/>
          <w:bCs/>
          <w:color w:val="000000" w:themeColor="text1"/>
          <w:sz w:val="23"/>
          <w:szCs w:val="23"/>
        </w:rPr>
        <w:t>it is</w:t>
      </w:r>
      <w:r w:rsidR="00E70629" w:rsidRPr="00061EDF">
        <w:rPr>
          <w:rFonts w:ascii="Arial" w:hAnsi="Arial" w:cs="Arial"/>
          <w:bCs/>
          <w:color w:val="000000" w:themeColor="text1"/>
          <w:sz w:val="23"/>
          <w:szCs w:val="23"/>
        </w:rPr>
        <w:t xml:space="preserve"> </w:t>
      </w:r>
      <w:r w:rsidR="001E29E3" w:rsidRPr="00061EDF">
        <w:rPr>
          <w:rFonts w:ascii="Arial" w:hAnsi="Arial" w:cs="Arial"/>
          <w:bCs/>
          <w:color w:val="000000" w:themeColor="text1"/>
          <w:sz w:val="23"/>
          <w:szCs w:val="23"/>
        </w:rPr>
        <w:t>implemented on</w:t>
      </w:r>
      <w:r w:rsidR="00E70629" w:rsidRPr="00061EDF">
        <w:rPr>
          <w:rFonts w:ascii="Arial" w:hAnsi="Arial" w:cs="Arial"/>
          <w:bCs/>
          <w:color w:val="000000" w:themeColor="text1"/>
          <w:sz w:val="23"/>
          <w:szCs w:val="23"/>
        </w:rPr>
        <w:t xml:space="preserve"> South African </w:t>
      </w:r>
      <w:r w:rsidR="006431B3" w:rsidRPr="00061EDF">
        <w:rPr>
          <w:rFonts w:ascii="Arial" w:hAnsi="Arial" w:cs="Arial"/>
          <w:bCs/>
          <w:color w:val="000000" w:themeColor="text1"/>
          <w:sz w:val="23"/>
          <w:szCs w:val="23"/>
        </w:rPr>
        <w:t>insurers</w:t>
      </w:r>
      <w:r w:rsidR="004F04BE" w:rsidRPr="00061EDF">
        <w:rPr>
          <w:rFonts w:ascii="Arial" w:hAnsi="Arial" w:cs="Arial"/>
          <w:bCs/>
          <w:color w:val="000000" w:themeColor="text1"/>
          <w:sz w:val="23"/>
          <w:szCs w:val="23"/>
        </w:rPr>
        <w:t>.</w:t>
      </w:r>
    </w:p>
    <w:p w14:paraId="3E4026D0" w14:textId="7434B35A" w:rsidR="007B11F1" w:rsidRPr="00D8103A" w:rsidRDefault="00E70629" w:rsidP="00F71EB9">
      <w:pPr>
        <w:pStyle w:val="ListParagraph"/>
        <w:numPr>
          <w:ilvl w:val="1"/>
          <w:numId w:val="3"/>
        </w:numPr>
        <w:autoSpaceDE w:val="0"/>
        <w:autoSpaceDN w:val="0"/>
        <w:adjustRightInd w:val="0"/>
        <w:spacing w:line="360" w:lineRule="auto"/>
        <w:ind w:left="567" w:hanging="567"/>
        <w:contextualSpacing w:val="0"/>
        <w:jc w:val="both"/>
        <w:rPr>
          <w:rFonts w:ascii="Arial" w:hAnsi="Arial" w:cs="Arial"/>
          <w:bCs/>
          <w:color w:val="000000" w:themeColor="text1"/>
          <w:sz w:val="23"/>
          <w:szCs w:val="23"/>
        </w:rPr>
      </w:pPr>
      <w:r w:rsidRPr="00061EDF">
        <w:rPr>
          <w:rFonts w:ascii="Arial" w:hAnsi="Arial" w:cs="Arial"/>
          <w:bCs/>
          <w:color w:val="000000" w:themeColor="text1"/>
          <w:sz w:val="23"/>
          <w:szCs w:val="23"/>
        </w:rPr>
        <w:t>Following</w:t>
      </w:r>
      <w:r w:rsidR="004553E5" w:rsidRPr="00061EDF">
        <w:rPr>
          <w:rFonts w:ascii="Arial" w:hAnsi="Arial" w:cs="Arial"/>
          <w:bCs/>
          <w:color w:val="000000" w:themeColor="text1"/>
          <w:sz w:val="23"/>
          <w:szCs w:val="23"/>
        </w:rPr>
        <w:t xml:space="preserve"> the implementation of the </w:t>
      </w:r>
      <w:r w:rsidR="006431B3" w:rsidRPr="00061EDF">
        <w:rPr>
          <w:rFonts w:ascii="Arial" w:hAnsi="Arial" w:cs="Arial"/>
          <w:bCs/>
          <w:color w:val="000000" w:themeColor="text1"/>
          <w:sz w:val="23"/>
          <w:szCs w:val="23"/>
        </w:rPr>
        <w:t xml:space="preserve">liquidity </w:t>
      </w:r>
      <w:r w:rsidR="00597D72" w:rsidRPr="00061EDF">
        <w:rPr>
          <w:rFonts w:ascii="Arial" w:hAnsi="Arial" w:cs="Arial"/>
          <w:bCs/>
          <w:color w:val="000000" w:themeColor="text1"/>
          <w:sz w:val="23"/>
          <w:szCs w:val="23"/>
        </w:rPr>
        <w:t xml:space="preserve">risk </w:t>
      </w:r>
      <w:r w:rsidR="006431B3" w:rsidRPr="00061EDF">
        <w:rPr>
          <w:rFonts w:ascii="Arial" w:hAnsi="Arial" w:cs="Arial"/>
          <w:bCs/>
          <w:color w:val="000000" w:themeColor="text1"/>
          <w:sz w:val="23"/>
          <w:szCs w:val="23"/>
        </w:rPr>
        <w:t xml:space="preserve">management </w:t>
      </w:r>
      <w:r w:rsidR="004553E5" w:rsidRPr="00061EDF">
        <w:rPr>
          <w:rFonts w:ascii="Arial" w:hAnsi="Arial" w:cs="Arial"/>
          <w:bCs/>
          <w:color w:val="000000" w:themeColor="text1"/>
          <w:sz w:val="23"/>
          <w:szCs w:val="23"/>
        </w:rPr>
        <w:t>framework,</w:t>
      </w:r>
      <w:r w:rsidRPr="00061EDF">
        <w:rPr>
          <w:rFonts w:ascii="Arial" w:hAnsi="Arial" w:cs="Arial"/>
          <w:bCs/>
          <w:color w:val="000000" w:themeColor="text1"/>
          <w:sz w:val="23"/>
          <w:szCs w:val="23"/>
        </w:rPr>
        <w:t xml:space="preserve"> the PA will monitor, </w:t>
      </w:r>
      <w:r w:rsidR="003B24A5" w:rsidRPr="00061EDF">
        <w:rPr>
          <w:rFonts w:ascii="Arial" w:hAnsi="Arial" w:cs="Arial"/>
          <w:bCs/>
          <w:color w:val="000000" w:themeColor="text1"/>
          <w:sz w:val="23"/>
          <w:szCs w:val="23"/>
        </w:rPr>
        <w:t>assess,</w:t>
      </w:r>
      <w:r w:rsidRPr="00061EDF">
        <w:rPr>
          <w:rFonts w:ascii="Arial" w:hAnsi="Arial" w:cs="Arial"/>
          <w:bCs/>
          <w:color w:val="000000" w:themeColor="text1"/>
          <w:sz w:val="23"/>
          <w:szCs w:val="23"/>
        </w:rPr>
        <w:t xml:space="preserve"> and evaluate the effect of the proposed reforms </w:t>
      </w:r>
      <w:r w:rsidR="00E24EB3" w:rsidRPr="00061EDF">
        <w:rPr>
          <w:rFonts w:ascii="Arial" w:hAnsi="Arial" w:cs="Arial"/>
          <w:bCs/>
          <w:color w:val="000000" w:themeColor="text1"/>
          <w:sz w:val="23"/>
          <w:szCs w:val="23"/>
        </w:rPr>
        <w:t>continuously</w:t>
      </w:r>
      <w:r w:rsidR="00494CB3" w:rsidRPr="00061EDF">
        <w:rPr>
          <w:rFonts w:ascii="Arial" w:hAnsi="Arial" w:cs="Arial"/>
          <w:bCs/>
          <w:color w:val="000000" w:themeColor="text1"/>
          <w:sz w:val="23"/>
          <w:szCs w:val="23"/>
        </w:rPr>
        <w:t xml:space="preserve"> as part of </w:t>
      </w:r>
      <w:r w:rsidR="001E29E3" w:rsidRPr="00061EDF">
        <w:rPr>
          <w:rFonts w:ascii="Arial" w:hAnsi="Arial" w:cs="Arial"/>
          <w:bCs/>
          <w:color w:val="000000" w:themeColor="text1"/>
          <w:sz w:val="23"/>
          <w:szCs w:val="23"/>
        </w:rPr>
        <w:t xml:space="preserve">its </w:t>
      </w:r>
      <w:r w:rsidRPr="00061EDF">
        <w:rPr>
          <w:rFonts w:ascii="Arial" w:hAnsi="Arial" w:cs="Arial"/>
          <w:bCs/>
          <w:color w:val="000000" w:themeColor="text1"/>
          <w:sz w:val="23"/>
          <w:szCs w:val="23"/>
        </w:rPr>
        <w:t>regulatory and supervisory responsibilities</w:t>
      </w:r>
      <w:r w:rsidR="001E29E3" w:rsidRPr="00061EDF">
        <w:rPr>
          <w:rFonts w:ascii="Arial" w:hAnsi="Arial" w:cs="Arial"/>
          <w:bCs/>
          <w:color w:val="000000" w:themeColor="text1"/>
          <w:sz w:val="23"/>
          <w:szCs w:val="23"/>
        </w:rPr>
        <w:t xml:space="preserve"> </w:t>
      </w:r>
      <w:r w:rsidRPr="00061EDF">
        <w:rPr>
          <w:rFonts w:ascii="Arial" w:hAnsi="Arial" w:cs="Arial"/>
          <w:bCs/>
          <w:color w:val="000000" w:themeColor="text1"/>
          <w:sz w:val="23"/>
          <w:szCs w:val="23"/>
        </w:rPr>
        <w:t xml:space="preserve">to </w:t>
      </w:r>
      <w:r w:rsidR="00441842" w:rsidRPr="00061EDF">
        <w:rPr>
          <w:rFonts w:ascii="Arial" w:hAnsi="Arial" w:cs="Arial"/>
          <w:bCs/>
          <w:color w:val="000000" w:themeColor="text1"/>
          <w:sz w:val="23"/>
          <w:szCs w:val="23"/>
        </w:rPr>
        <w:t xml:space="preserve">mitigate any </w:t>
      </w:r>
      <w:r w:rsidRPr="00061EDF">
        <w:rPr>
          <w:rFonts w:ascii="Arial" w:hAnsi="Arial" w:cs="Arial"/>
          <w:bCs/>
          <w:color w:val="000000" w:themeColor="text1"/>
          <w:sz w:val="23"/>
          <w:szCs w:val="23"/>
        </w:rPr>
        <w:t xml:space="preserve">unintended consequences </w:t>
      </w:r>
      <w:r w:rsidR="001E29E3" w:rsidRPr="00061EDF">
        <w:rPr>
          <w:rFonts w:ascii="Arial" w:hAnsi="Arial" w:cs="Arial"/>
          <w:bCs/>
          <w:color w:val="000000" w:themeColor="text1"/>
          <w:sz w:val="23"/>
          <w:szCs w:val="23"/>
        </w:rPr>
        <w:t xml:space="preserve">of </w:t>
      </w:r>
      <w:r w:rsidR="0029268B" w:rsidRPr="00061EDF">
        <w:rPr>
          <w:rFonts w:ascii="Arial" w:hAnsi="Arial" w:cs="Arial"/>
          <w:bCs/>
          <w:color w:val="000000" w:themeColor="text1"/>
          <w:sz w:val="23"/>
          <w:szCs w:val="23"/>
        </w:rPr>
        <w:t xml:space="preserve">implementing </w:t>
      </w:r>
      <w:r w:rsidR="00494CB3" w:rsidRPr="00061EDF">
        <w:rPr>
          <w:rFonts w:ascii="Arial" w:hAnsi="Arial" w:cs="Arial"/>
          <w:bCs/>
          <w:color w:val="000000" w:themeColor="text1"/>
          <w:sz w:val="23"/>
          <w:szCs w:val="23"/>
        </w:rPr>
        <w:t>the framework</w:t>
      </w:r>
      <w:r w:rsidRPr="00061EDF">
        <w:rPr>
          <w:rFonts w:ascii="Arial" w:hAnsi="Arial" w:cs="Arial"/>
          <w:bCs/>
          <w:color w:val="000000" w:themeColor="text1"/>
          <w:sz w:val="23"/>
          <w:szCs w:val="23"/>
        </w:rPr>
        <w:t>.</w:t>
      </w:r>
    </w:p>
    <w:p w14:paraId="42ED0EE6" w14:textId="77777777" w:rsidR="00097084" w:rsidRPr="006246EF" w:rsidRDefault="00097084" w:rsidP="007A5DF7">
      <w:pPr>
        <w:pStyle w:val="Heading1"/>
        <w:spacing w:line="240" w:lineRule="auto"/>
        <w:ind w:left="567" w:hanging="567"/>
        <w:rPr>
          <w:color w:val="000000" w:themeColor="text1"/>
        </w:rPr>
      </w:pPr>
      <w:bookmarkStart w:id="16" w:name="_Toc142983753"/>
      <w:r w:rsidRPr="006246EF">
        <w:rPr>
          <w:color w:val="000000" w:themeColor="text1"/>
        </w:rPr>
        <w:t>Conclusion</w:t>
      </w:r>
      <w:bookmarkEnd w:id="16"/>
    </w:p>
    <w:p w14:paraId="3E350B67" w14:textId="31C6678B" w:rsidR="009A09D9" w:rsidRPr="006246EF" w:rsidRDefault="007F6665" w:rsidP="009A09D9">
      <w:pPr>
        <w:autoSpaceDE w:val="0"/>
        <w:autoSpaceDN w:val="0"/>
        <w:adjustRightInd w:val="0"/>
        <w:spacing w:after="0" w:line="360" w:lineRule="auto"/>
        <w:ind w:left="567"/>
        <w:jc w:val="both"/>
        <w:rPr>
          <w:rFonts w:ascii="Arial" w:hAnsi="Arial" w:cs="Arial"/>
          <w:bCs/>
          <w:color w:val="000000" w:themeColor="text1"/>
          <w:sz w:val="23"/>
          <w:szCs w:val="23"/>
        </w:rPr>
      </w:pPr>
      <w:r w:rsidRPr="006246EF">
        <w:rPr>
          <w:rFonts w:ascii="Arial" w:hAnsi="Arial" w:cs="Arial"/>
          <w:color w:val="000000" w:themeColor="text1"/>
          <w:sz w:val="23"/>
          <w:szCs w:val="23"/>
        </w:rPr>
        <w:t xml:space="preserve">This </w:t>
      </w:r>
      <w:r w:rsidR="00674F73">
        <w:rPr>
          <w:rFonts w:ascii="Arial" w:hAnsi="Arial" w:cs="Arial"/>
          <w:color w:val="000000" w:themeColor="text1"/>
          <w:sz w:val="23"/>
          <w:szCs w:val="23"/>
        </w:rPr>
        <w:t>Statement</w:t>
      </w:r>
      <w:r w:rsidR="00674F73" w:rsidRPr="006246EF">
        <w:rPr>
          <w:rFonts w:ascii="Arial" w:hAnsi="Arial" w:cs="Arial"/>
          <w:color w:val="000000" w:themeColor="text1"/>
          <w:sz w:val="23"/>
          <w:szCs w:val="23"/>
        </w:rPr>
        <w:t xml:space="preserve"> </w:t>
      </w:r>
      <w:r w:rsidR="009A09D9" w:rsidRPr="006246EF">
        <w:rPr>
          <w:rFonts w:ascii="Arial" w:hAnsi="Arial" w:cs="Arial"/>
          <w:color w:val="000000" w:themeColor="text1"/>
          <w:sz w:val="23"/>
          <w:szCs w:val="23"/>
        </w:rPr>
        <w:t>covers the need for, expected impact</w:t>
      </w:r>
      <w:r w:rsidR="00D82F36">
        <w:rPr>
          <w:rFonts w:ascii="Arial" w:hAnsi="Arial" w:cs="Arial"/>
          <w:color w:val="000000" w:themeColor="text1"/>
          <w:sz w:val="23"/>
          <w:szCs w:val="23"/>
        </w:rPr>
        <w:t>,</w:t>
      </w:r>
      <w:r w:rsidR="009A09D9" w:rsidRPr="006246EF">
        <w:rPr>
          <w:rFonts w:ascii="Arial" w:hAnsi="Arial" w:cs="Arial"/>
          <w:color w:val="000000" w:themeColor="text1"/>
          <w:sz w:val="23"/>
          <w:szCs w:val="23"/>
        </w:rPr>
        <w:t xml:space="preserve"> and intended operation of the proposed </w:t>
      </w:r>
      <w:r w:rsidR="00D82F36">
        <w:rPr>
          <w:rFonts w:ascii="Arial" w:hAnsi="Arial" w:cs="Arial"/>
          <w:color w:val="000000" w:themeColor="text1"/>
          <w:sz w:val="23"/>
          <w:szCs w:val="23"/>
        </w:rPr>
        <w:t>liquidity risk management</w:t>
      </w:r>
      <w:r w:rsidR="009A09D9" w:rsidRPr="006246EF">
        <w:rPr>
          <w:rFonts w:ascii="Arial" w:hAnsi="Arial" w:cs="Arial"/>
          <w:color w:val="000000" w:themeColor="text1"/>
          <w:sz w:val="23"/>
          <w:szCs w:val="23"/>
        </w:rPr>
        <w:t xml:space="preserve"> framework and</w:t>
      </w:r>
      <w:r w:rsidR="001E29E3" w:rsidRPr="006246EF">
        <w:rPr>
          <w:rFonts w:ascii="Arial" w:hAnsi="Arial" w:cs="Arial"/>
          <w:color w:val="000000" w:themeColor="text1"/>
          <w:sz w:val="23"/>
          <w:szCs w:val="23"/>
        </w:rPr>
        <w:t xml:space="preserve"> </w:t>
      </w:r>
      <w:r w:rsidR="00D82F36">
        <w:rPr>
          <w:rFonts w:ascii="Arial" w:hAnsi="Arial" w:cs="Arial"/>
          <w:color w:val="000000" w:themeColor="text1"/>
          <w:sz w:val="23"/>
          <w:szCs w:val="23"/>
        </w:rPr>
        <w:t xml:space="preserve">will </w:t>
      </w:r>
      <w:r w:rsidR="00261EC2" w:rsidRPr="006246EF">
        <w:rPr>
          <w:rFonts w:ascii="Arial" w:hAnsi="Arial" w:cs="Arial"/>
          <w:color w:val="000000" w:themeColor="text1"/>
          <w:sz w:val="23"/>
          <w:szCs w:val="23"/>
        </w:rPr>
        <w:t>consider</w:t>
      </w:r>
      <w:r w:rsidRPr="006246EF">
        <w:rPr>
          <w:rFonts w:ascii="Arial" w:hAnsi="Arial" w:cs="Arial"/>
          <w:color w:val="000000" w:themeColor="text1"/>
          <w:sz w:val="23"/>
          <w:szCs w:val="23"/>
        </w:rPr>
        <w:t xml:space="preserve"> all the responses that w</w:t>
      </w:r>
      <w:r w:rsidR="00D82F36">
        <w:rPr>
          <w:rFonts w:ascii="Arial" w:hAnsi="Arial" w:cs="Arial"/>
          <w:color w:val="000000" w:themeColor="text1"/>
          <w:sz w:val="23"/>
          <w:szCs w:val="23"/>
        </w:rPr>
        <w:t>ill be</w:t>
      </w:r>
      <w:r w:rsidRPr="006246EF">
        <w:rPr>
          <w:rFonts w:ascii="Arial" w:hAnsi="Arial" w:cs="Arial"/>
          <w:color w:val="000000" w:themeColor="text1"/>
          <w:sz w:val="23"/>
          <w:szCs w:val="23"/>
        </w:rPr>
        <w:t xml:space="preserve"> received through the QI</w:t>
      </w:r>
      <w:r w:rsidR="009A09D9" w:rsidRPr="006246EF">
        <w:rPr>
          <w:rFonts w:ascii="Arial" w:hAnsi="Arial" w:cs="Arial"/>
          <w:color w:val="000000" w:themeColor="text1"/>
          <w:sz w:val="23"/>
          <w:szCs w:val="23"/>
        </w:rPr>
        <w:t xml:space="preserve">S </w:t>
      </w:r>
      <w:r w:rsidR="00261EC2">
        <w:rPr>
          <w:rFonts w:ascii="Arial" w:hAnsi="Arial" w:cs="Arial"/>
          <w:color w:val="000000" w:themeColor="text1"/>
          <w:sz w:val="23"/>
          <w:szCs w:val="23"/>
        </w:rPr>
        <w:t>and</w:t>
      </w:r>
      <w:r w:rsidR="009A09D9" w:rsidRPr="006246EF">
        <w:rPr>
          <w:rFonts w:ascii="Arial" w:hAnsi="Arial" w:cs="Arial"/>
          <w:color w:val="000000" w:themeColor="text1"/>
          <w:sz w:val="23"/>
          <w:szCs w:val="23"/>
        </w:rPr>
        <w:t xml:space="preserve"> the questionnaire. Following the public consultation process, the PA will make the necessary changes to the proposed amended </w:t>
      </w:r>
      <w:r w:rsidR="00D82F36">
        <w:rPr>
          <w:rFonts w:ascii="Arial" w:hAnsi="Arial" w:cs="Arial"/>
          <w:color w:val="000000" w:themeColor="text1"/>
          <w:sz w:val="23"/>
          <w:szCs w:val="23"/>
        </w:rPr>
        <w:t>standard</w:t>
      </w:r>
      <w:r w:rsidR="009A09D9" w:rsidRPr="006246EF">
        <w:rPr>
          <w:rFonts w:ascii="Arial" w:hAnsi="Arial" w:cs="Arial"/>
          <w:color w:val="000000" w:themeColor="text1"/>
          <w:sz w:val="23"/>
          <w:szCs w:val="23"/>
        </w:rPr>
        <w:t xml:space="preserve"> as well as this </w:t>
      </w:r>
      <w:r w:rsidR="00E92969">
        <w:rPr>
          <w:rFonts w:ascii="Arial" w:hAnsi="Arial" w:cs="Arial"/>
          <w:color w:val="000000" w:themeColor="text1"/>
          <w:sz w:val="23"/>
          <w:szCs w:val="23"/>
        </w:rPr>
        <w:t>Statement</w:t>
      </w:r>
      <w:r w:rsidR="009A09D9" w:rsidRPr="006246EF">
        <w:rPr>
          <w:rFonts w:ascii="Arial" w:hAnsi="Arial" w:cs="Arial"/>
          <w:color w:val="000000" w:themeColor="text1"/>
          <w:sz w:val="23"/>
          <w:szCs w:val="23"/>
        </w:rPr>
        <w:t xml:space="preserve">, </w:t>
      </w:r>
      <w:r w:rsidR="00261EC2" w:rsidRPr="006246EF">
        <w:rPr>
          <w:rFonts w:ascii="Arial" w:hAnsi="Arial" w:cs="Arial"/>
          <w:color w:val="000000" w:themeColor="text1"/>
          <w:sz w:val="23"/>
          <w:szCs w:val="23"/>
        </w:rPr>
        <w:t>considering</w:t>
      </w:r>
      <w:r w:rsidR="009A09D9" w:rsidRPr="006246EF">
        <w:rPr>
          <w:rFonts w:ascii="Arial" w:hAnsi="Arial" w:cs="Arial"/>
          <w:color w:val="000000" w:themeColor="text1"/>
          <w:sz w:val="23"/>
          <w:szCs w:val="23"/>
        </w:rPr>
        <w:t xml:space="preserve"> all submissions received. </w:t>
      </w:r>
    </w:p>
    <w:p w14:paraId="2C2C4F8C" w14:textId="77777777" w:rsidR="00497480" w:rsidRDefault="00497480" w:rsidP="00E24EB3">
      <w:pPr>
        <w:pStyle w:val="ListParagraph"/>
        <w:autoSpaceDE w:val="0"/>
        <w:autoSpaceDN w:val="0"/>
        <w:adjustRightInd w:val="0"/>
        <w:spacing w:after="0" w:line="360" w:lineRule="auto"/>
        <w:ind w:left="927"/>
        <w:jc w:val="both"/>
        <w:rPr>
          <w:rFonts w:ascii="Arial" w:hAnsi="Arial" w:cs="Arial"/>
          <w:sz w:val="23"/>
          <w:szCs w:val="23"/>
        </w:rPr>
      </w:pPr>
    </w:p>
    <w:sectPr w:rsidR="00497480" w:rsidSect="007017E6">
      <w:headerReference w:type="default" r:id="rId12"/>
      <w:footerReference w:type="defaul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FB721" w14:textId="77777777" w:rsidR="004E49F1" w:rsidRDefault="004E49F1" w:rsidP="00097084">
      <w:pPr>
        <w:spacing w:after="0" w:line="240" w:lineRule="auto"/>
      </w:pPr>
      <w:r>
        <w:separator/>
      </w:r>
    </w:p>
  </w:endnote>
  <w:endnote w:type="continuationSeparator" w:id="0">
    <w:p w14:paraId="6148EBCC" w14:textId="77777777" w:rsidR="004E49F1" w:rsidRDefault="004E49F1" w:rsidP="00097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liss Pro Extra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2437414"/>
      <w:docPartObj>
        <w:docPartGallery w:val="Page Numbers (Bottom of Page)"/>
        <w:docPartUnique/>
      </w:docPartObj>
    </w:sdtPr>
    <w:sdtContent>
      <w:sdt>
        <w:sdtPr>
          <w:id w:val="84268405"/>
          <w:docPartObj>
            <w:docPartGallery w:val="Page Numbers (Top of Page)"/>
            <w:docPartUnique/>
          </w:docPartObj>
        </w:sdtPr>
        <w:sdtContent>
          <w:p w14:paraId="5F3E5D18" w14:textId="77777777" w:rsidR="005C651F" w:rsidRDefault="005C651F" w:rsidP="002E428B">
            <w:pPr>
              <w:pStyle w:val="Footer"/>
              <w:jc w:val="right"/>
            </w:pPr>
            <w:r w:rsidRPr="00097084">
              <w:rPr>
                <w:rFonts w:ascii="Arial" w:hAnsi="Arial" w:cs="Arial"/>
                <w:sz w:val="18"/>
              </w:rPr>
              <w:t xml:space="preserve">Page </w:t>
            </w:r>
            <w:r w:rsidRPr="00097084">
              <w:rPr>
                <w:rFonts w:ascii="Arial" w:hAnsi="Arial" w:cs="Arial"/>
                <w:bCs/>
                <w:sz w:val="18"/>
              </w:rPr>
              <w:fldChar w:fldCharType="begin"/>
            </w:r>
            <w:r w:rsidRPr="00097084">
              <w:rPr>
                <w:rFonts w:ascii="Arial" w:hAnsi="Arial" w:cs="Arial"/>
                <w:bCs/>
                <w:sz w:val="18"/>
              </w:rPr>
              <w:instrText xml:space="preserve"> PAGE </w:instrText>
            </w:r>
            <w:r w:rsidRPr="00097084">
              <w:rPr>
                <w:rFonts w:ascii="Arial" w:hAnsi="Arial" w:cs="Arial"/>
                <w:bCs/>
                <w:sz w:val="18"/>
              </w:rPr>
              <w:fldChar w:fldCharType="separate"/>
            </w:r>
            <w:r w:rsidR="00194DF6">
              <w:rPr>
                <w:rFonts w:ascii="Arial" w:hAnsi="Arial" w:cs="Arial"/>
                <w:bCs/>
                <w:noProof/>
                <w:sz w:val="18"/>
              </w:rPr>
              <w:t>12</w:t>
            </w:r>
            <w:r w:rsidRPr="00097084">
              <w:rPr>
                <w:rFonts w:ascii="Arial" w:hAnsi="Arial" w:cs="Arial"/>
                <w:bCs/>
                <w:sz w:val="18"/>
              </w:rPr>
              <w:fldChar w:fldCharType="end"/>
            </w:r>
            <w:r w:rsidRPr="00097084">
              <w:rPr>
                <w:rFonts w:ascii="Arial" w:hAnsi="Arial" w:cs="Arial"/>
                <w:sz w:val="18"/>
              </w:rPr>
              <w:t xml:space="preserve"> of </w:t>
            </w:r>
            <w:r w:rsidRPr="00097084">
              <w:rPr>
                <w:rFonts w:ascii="Arial" w:hAnsi="Arial" w:cs="Arial"/>
                <w:bCs/>
                <w:sz w:val="18"/>
              </w:rPr>
              <w:fldChar w:fldCharType="begin"/>
            </w:r>
            <w:r w:rsidRPr="00097084">
              <w:rPr>
                <w:rFonts w:ascii="Arial" w:hAnsi="Arial" w:cs="Arial"/>
                <w:bCs/>
                <w:sz w:val="18"/>
              </w:rPr>
              <w:instrText xml:space="preserve"> NUMPAGES  </w:instrText>
            </w:r>
            <w:r w:rsidRPr="00097084">
              <w:rPr>
                <w:rFonts w:ascii="Arial" w:hAnsi="Arial" w:cs="Arial"/>
                <w:bCs/>
                <w:sz w:val="18"/>
              </w:rPr>
              <w:fldChar w:fldCharType="separate"/>
            </w:r>
            <w:r w:rsidR="00194DF6">
              <w:rPr>
                <w:rFonts w:ascii="Arial" w:hAnsi="Arial" w:cs="Arial"/>
                <w:bCs/>
                <w:noProof/>
                <w:sz w:val="18"/>
              </w:rPr>
              <w:t>25</w:t>
            </w:r>
            <w:r w:rsidRPr="00097084">
              <w:rPr>
                <w:rFonts w:ascii="Arial" w:hAnsi="Arial" w:cs="Arial"/>
                <w:bCs/>
                <w:sz w:val="18"/>
              </w:rPr>
              <w:fldChar w:fldCharType="end"/>
            </w:r>
          </w:p>
        </w:sdtContent>
      </w:sdt>
    </w:sdtContent>
  </w:sdt>
  <w:p w14:paraId="768638EF" w14:textId="77777777" w:rsidR="005C651F" w:rsidRDefault="005C65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A2AB" w14:textId="77777777" w:rsidR="004E49F1" w:rsidRDefault="004E49F1" w:rsidP="00097084">
      <w:pPr>
        <w:spacing w:after="0" w:line="240" w:lineRule="auto"/>
      </w:pPr>
      <w:r>
        <w:separator/>
      </w:r>
    </w:p>
  </w:footnote>
  <w:footnote w:type="continuationSeparator" w:id="0">
    <w:p w14:paraId="381826E9" w14:textId="77777777" w:rsidR="004E49F1" w:rsidRDefault="004E49F1" w:rsidP="00097084">
      <w:pPr>
        <w:spacing w:after="0" w:line="240" w:lineRule="auto"/>
      </w:pPr>
      <w:r>
        <w:continuationSeparator/>
      </w:r>
    </w:p>
  </w:footnote>
  <w:footnote w:id="1">
    <w:p w14:paraId="18FC7357" w14:textId="6243E1D5" w:rsidR="00E2162A" w:rsidRDefault="00E2162A" w:rsidP="00DB63B9">
      <w:pPr>
        <w:pStyle w:val="FootnoteText"/>
        <w:jc w:val="both"/>
      </w:pPr>
      <w:r>
        <w:rPr>
          <w:rStyle w:val="FootnoteReference"/>
        </w:rPr>
        <w:footnoteRef/>
      </w:r>
      <w:r>
        <w:t xml:space="preserve"> C</w:t>
      </w:r>
      <w:r w:rsidRPr="00E2162A">
        <w:t>ollateral and margin calls posted for mark-to-market movements refer to the requirement for an investor</w:t>
      </w:r>
      <w:r w:rsidR="00DB63B9">
        <w:t>/borrower</w:t>
      </w:r>
      <w:r w:rsidRPr="00E2162A">
        <w:t xml:space="preserve"> to add additional funds or securities to their margin account when the market value of their open position decreases significantly. This </w:t>
      </w:r>
      <w:r w:rsidR="00DB63B9">
        <w:t>ensures</w:t>
      </w:r>
      <w:r w:rsidRPr="00E2162A">
        <w:t xml:space="preserve"> that the investor has sufficient collateral to cover potential losses.</w:t>
      </w:r>
    </w:p>
  </w:footnote>
  <w:footnote w:id="2">
    <w:p w14:paraId="7CE5E14D" w14:textId="0BAE4EC2" w:rsidR="005C651F" w:rsidRDefault="005C651F">
      <w:pPr>
        <w:pStyle w:val="FootnoteText"/>
      </w:pPr>
      <w:r>
        <w:rPr>
          <w:rStyle w:val="FootnoteReference"/>
        </w:rPr>
        <w:footnoteRef/>
      </w:r>
      <w:r>
        <w:t xml:space="preserve"> </w:t>
      </w:r>
      <w:hyperlink r:id="rId1" w:history="1">
        <w:r w:rsidR="00335214">
          <w:rPr>
            <w:rStyle w:val="Hyperlink"/>
          </w:rPr>
          <w:t>Guidance Notice 1 of 2022 (resbank.co.za)</w:t>
        </w:r>
      </w:hyperlink>
    </w:p>
  </w:footnote>
  <w:footnote w:id="3">
    <w:p w14:paraId="3B61CCE9" w14:textId="50D2047F" w:rsidR="00115C36" w:rsidRDefault="00115C36">
      <w:pPr>
        <w:pStyle w:val="FootnoteText"/>
      </w:pPr>
      <w:r>
        <w:rPr>
          <w:rStyle w:val="FootnoteReference"/>
        </w:rPr>
        <w:footnoteRef/>
      </w:r>
      <w:r>
        <w:t xml:space="preserve"> </w:t>
      </w:r>
      <w:hyperlink r:id="rId2" w:history="1">
        <w:r>
          <w:rPr>
            <w:rStyle w:val="Hyperlink"/>
          </w:rPr>
          <w:t>Public Consultation on the Development of Liquidity Metrics: Phase 2 - International Association of Insurance Supervisors (iaisweb.org)</w:t>
        </w:r>
      </w:hyperlink>
    </w:p>
  </w:footnote>
  <w:footnote w:id="4">
    <w:p w14:paraId="28800619" w14:textId="69C732A6" w:rsidR="00D52686" w:rsidRDefault="00D52686">
      <w:pPr>
        <w:pStyle w:val="FootnoteText"/>
      </w:pPr>
      <w:r>
        <w:rPr>
          <w:rStyle w:val="FootnoteReference"/>
        </w:rPr>
        <w:footnoteRef/>
      </w:r>
      <w:r>
        <w:t xml:space="preserve"> </w:t>
      </w:r>
      <w:r w:rsidR="00F71EB9" w:rsidRPr="00F71EB9">
        <w:t>Kindly be aware that this report is not the same as the monthly return. Instead, it is an annual detailed report that covers the insurer’s liquidity activities from both a funding and market liquidity standpoint.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5B317" w14:textId="77777777" w:rsidR="005C651F" w:rsidRPr="00D71949" w:rsidRDefault="005C651F" w:rsidP="00B83302">
    <w:pPr>
      <w:spacing w:line="240" w:lineRule="auto"/>
      <w:ind w:right="114"/>
      <w:jc w:val="center"/>
      <w:rPr>
        <w:rFonts w:ascii="Arial" w:hAnsi="Arial" w:cs="Arial"/>
        <w:sz w:val="2"/>
        <w:szCs w:val="33"/>
      </w:rPr>
    </w:pPr>
  </w:p>
  <w:p w14:paraId="782768F4" w14:textId="2E793E2C" w:rsidR="005C651F" w:rsidRPr="00B83302" w:rsidRDefault="005C651F" w:rsidP="00B83302">
    <w:pPr>
      <w:spacing w:line="240" w:lineRule="auto"/>
      <w:ind w:right="114"/>
      <w:jc w:val="center"/>
      <w:rPr>
        <w:rFonts w:ascii="Arial" w:hAnsi="Arial" w:cs="Arial"/>
        <w:sz w:val="14"/>
        <w:szCs w:val="33"/>
      </w:rPr>
    </w:pPr>
    <w:r w:rsidRPr="00B83302">
      <w:rPr>
        <w:rFonts w:ascii="Arial" w:hAnsi="Arial" w:cs="Arial"/>
        <w:sz w:val="14"/>
        <w:szCs w:val="33"/>
      </w:rPr>
      <w:t>Statement of the need for, expected impact</w:t>
    </w:r>
    <w:r w:rsidR="0091503F">
      <w:rPr>
        <w:rFonts w:ascii="Arial" w:hAnsi="Arial" w:cs="Arial"/>
        <w:sz w:val="14"/>
        <w:szCs w:val="33"/>
      </w:rPr>
      <w:t>,</w:t>
    </w:r>
    <w:r w:rsidRPr="00B83302">
      <w:rPr>
        <w:rFonts w:ascii="Arial" w:hAnsi="Arial" w:cs="Arial"/>
        <w:sz w:val="14"/>
        <w:szCs w:val="33"/>
      </w:rPr>
      <w:t xml:space="preserve"> and intended operation of the proposed framework for </w:t>
    </w:r>
    <w:r w:rsidR="0091503F">
      <w:rPr>
        <w:rFonts w:ascii="Arial" w:hAnsi="Arial" w:cs="Arial"/>
        <w:sz w:val="14"/>
        <w:szCs w:val="33"/>
      </w:rPr>
      <w:t xml:space="preserve">liquidity risk management for </w:t>
    </w:r>
    <w:r w:rsidR="00406C7E">
      <w:rPr>
        <w:rFonts w:ascii="Arial" w:hAnsi="Arial" w:cs="Arial"/>
        <w:sz w:val="14"/>
        <w:szCs w:val="33"/>
      </w:rPr>
      <w:t>insurers.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354968"/>
    <w:multiLevelType w:val="multilevel"/>
    <w:tmpl w:val="CAD6099A"/>
    <w:lvl w:ilvl="0">
      <w:start w:val="1"/>
      <w:numFmt w:val="decimal"/>
      <w:lvlText w:val="%1"/>
      <w:lvlJc w:val="left"/>
      <w:pPr>
        <w:ind w:left="360" w:hanging="360"/>
      </w:pPr>
      <w:rPr>
        <w:rFonts w:hint="default"/>
        <w:b w:val="0"/>
      </w:rPr>
    </w:lvl>
    <w:lvl w:ilvl="1">
      <w:start w:val="1"/>
      <w:numFmt w:val="decimal"/>
      <w:pStyle w:val="Style3"/>
      <w:lvlText w:val="%1.%2"/>
      <w:lvlJc w:val="left"/>
      <w:pPr>
        <w:ind w:left="928"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3F85185F"/>
    <w:multiLevelType w:val="hybridMultilevel"/>
    <w:tmpl w:val="36DCEBD2"/>
    <w:lvl w:ilvl="0" w:tplc="9FC867F2">
      <w:start w:val="1"/>
      <w:numFmt w:val="lowerLetter"/>
      <w:lvlText w:val="(%1)"/>
      <w:lvlJc w:val="left"/>
      <w:pPr>
        <w:ind w:left="1211" w:hanging="360"/>
      </w:pPr>
      <w:rPr>
        <w:rFonts w:hint="default"/>
      </w:rPr>
    </w:lvl>
    <w:lvl w:ilvl="1" w:tplc="1C090019" w:tentative="1">
      <w:start w:val="1"/>
      <w:numFmt w:val="lowerLetter"/>
      <w:lvlText w:val="%2."/>
      <w:lvlJc w:val="left"/>
      <w:pPr>
        <w:ind w:left="1931" w:hanging="360"/>
      </w:pPr>
    </w:lvl>
    <w:lvl w:ilvl="2" w:tplc="1C09001B" w:tentative="1">
      <w:start w:val="1"/>
      <w:numFmt w:val="lowerRoman"/>
      <w:lvlText w:val="%3."/>
      <w:lvlJc w:val="right"/>
      <w:pPr>
        <w:ind w:left="2651" w:hanging="180"/>
      </w:pPr>
    </w:lvl>
    <w:lvl w:ilvl="3" w:tplc="1C09000F" w:tentative="1">
      <w:start w:val="1"/>
      <w:numFmt w:val="decimal"/>
      <w:lvlText w:val="%4."/>
      <w:lvlJc w:val="left"/>
      <w:pPr>
        <w:ind w:left="3371" w:hanging="360"/>
      </w:pPr>
    </w:lvl>
    <w:lvl w:ilvl="4" w:tplc="1C090019" w:tentative="1">
      <w:start w:val="1"/>
      <w:numFmt w:val="lowerLetter"/>
      <w:lvlText w:val="%5."/>
      <w:lvlJc w:val="left"/>
      <w:pPr>
        <w:ind w:left="4091" w:hanging="360"/>
      </w:pPr>
    </w:lvl>
    <w:lvl w:ilvl="5" w:tplc="1C09001B" w:tentative="1">
      <w:start w:val="1"/>
      <w:numFmt w:val="lowerRoman"/>
      <w:lvlText w:val="%6."/>
      <w:lvlJc w:val="right"/>
      <w:pPr>
        <w:ind w:left="4811" w:hanging="180"/>
      </w:pPr>
    </w:lvl>
    <w:lvl w:ilvl="6" w:tplc="1C09000F" w:tentative="1">
      <w:start w:val="1"/>
      <w:numFmt w:val="decimal"/>
      <w:lvlText w:val="%7."/>
      <w:lvlJc w:val="left"/>
      <w:pPr>
        <w:ind w:left="5531" w:hanging="360"/>
      </w:pPr>
    </w:lvl>
    <w:lvl w:ilvl="7" w:tplc="1C090019" w:tentative="1">
      <w:start w:val="1"/>
      <w:numFmt w:val="lowerLetter"/>
      <w:lvlText w:val="%8."/>
      <w:lvlJc w:val="left"/>
      <w:pPr>
        <w:ind w:left="6251" w:hanging="360"/>
      </w:pPr>
    </w:lvl>
    <w:lvl w:ilvl="8" w:tplc="1C09001B" w:tentative="1">
      <w:start w:val="1"/>
      <w:numFmt w:val="lowerRoman"/>
      <w:lvlText w:val="%9."/>
      <w:lvlJc w:val="right"/>
      <w:pPr>
        <w:ind w:left="6971" w:hanging="180"/>
      </w:pPr>
    </w:lvl>
  </w:abstractNum>
  <w:abstractNum w:abstractNumId="2" w15:restartNumberingAfterBreak="0">
    <w:nsid w:val="64F269E7"/>
    <w:multiLevelType w:val="multilevel"/>
    <w:tmpl w:val="4B34A224"/>
    <w:lvl w:ilvl="0">
      <w:start w:val="1"/>
      <w:numFmt w:val="decimal"/>
      <w:pStyle w:val="Heading1"/>
      <w:lvlText w:val="%1"/>
      <w:lvlJc w:val="left"/>
      <w:pPr>
        <w:ind w:left="360" w:hanging="360"/>
      </w:pPr>
      <w:rPr>
        <w:rFonts w:hint="default"/>
      </w:rPr>
    </w:lvl>
    <w:lvl w:ilvl="1">
      <w:start w:val="1"/>
      <w:numFmt w:val="decimal"/>
      <w:lvlText w:val="%1.%2"/>
      <w:lvlJc w:val="left"/>
      <w:pPr>
        <w:ind w:left="720" w:hanging="360"/>
      </w:pPr>
      <w:rPr>
        <w:rFonts w:ascii="Arial" w:hAnsi="Arial" w:cs="Arial" w:hint="default"/>
        <w:i w:val="0"/>
        <w:color w:val="auto"/>
        <w:sz w:val="23"/>
        <w:szCs w:val="23"/>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2142822"/>
    <w:multiLevelType w:val="multilevel"/>
    <w:tmpl w:val="6D02637A"/>
    <w:name w:val="Num123"/>
    <w:lvl w:ilvl="0">
      <w:start w:val="1"/>
      <w:numFmt w:val="decimal"/>
      <w:lvlRestart w:val="0"/>
      <w:pStyle w:val="Num1"/>
      <w:lvlText w:val="%1."/>
      <w:lvlJc w:val="left"/>
      <w:pPr>
        <w:tabs>
          <w:tab w:val="num" w:pos="1134"/>
        </w:tabs>
        <w:ind w:left="1134" w:hanging="1134"/>
      </w:pPr>
      <w:rPr>
        <w:rFonts w:ascii="Arial" w:eastAsia="Times New Roman" w:hAnsi="Arial" w:cs="Arial"/>
        <w:b w:val="0"/>
        <w:i w:val="0"/>
        <w:sz w:val="24"/>
        <w:szCs w:val="22"/>
        <w:u w:val="none"/>
      </w:rPr>
    </w:lvl>
    <w:lvl w:ilvl="1">
      <w:start w:val="1"/>
      <w:numFmt w:val="decimal"/>
      <w:pStyle w:val="Num2"/>
      <w:lvlText w:val="%1.%2"/>
      <w:lvlJc w:val="left"/>
      <w:pPr>
        <w:tabs>
          <w:tab w:val="num" w:pos="1134"/>
        </w:tabs>
        <w:ind w:left="1134" w:hanging="1134"/>
      </w:pPr>
      <w:rPr>
        <w:rFonts w:ascii="Arial" w:hAnsi="Arial" w:cs="Arial" w:hint="default"/>
        <w:b w:val="0"/>
        <w:i w:val="0"/>
        <w:sz w:val="24"/>
        <w:szCs w:val="24"/>
      </w:rPr>
    </w:lvl>
    <w:lvl w:ilvl="2">
      <w:start w:val="1"/>
      <w:numFmt w:val="decimal"/>
      <w:pStyle w:val="Num3"/>
      <w:lvlText w:val="%1.%2.%3"/>
      <w:lvlJc w:val="left"/>
      <w:pPr>
        <w:tabs>
          <w:tab w:val="num" w:pos="1134"/>
        </w:tabs>
        <w:ind w:left="1134" w:hanging="1134"/>
      </w:pPr>
      <w:rPr>
        <w:rFonts w:ascii="Arial" w:hAnsi="Arial" w:cs="Arial" w:hint="default"/>
        <w:b w:val="0"/>
        <w:i w:val="0"/>
        <w:sz w:val="22"/>
        <w:szCs w:val="22"/>
      </w:rPr>
    </w:lvl>
    <w:lvl w:ilvl="3">
      <w:start w:val="1"/>
      <w:numFmt w:val="decimal"/>
      <w:lvlText w:val="%1.%2.%3.%4"/>
      <w:lvlJc w:val="left"/>
      <w:pPr>
        <w:tabs>
          <w:tab w:val="num" w:pos="1134"/>
        </w:tabs>
        <w:ind w:left="1134" w:hanging="1134"/>
      </w:pPr>
      <w:rPr>
        <w:rFonts w:asciiTheme="minorHAnsi" w:hAnsiTheme="minorHAnsi" w:cs="Arial" w:hint="default"/>
        <w:b w:val="0"/>
        <w:i w:val="0"/>
        <w:sz w:val="22"/>
        <w:szCs w:val="22"/>
      </w:rPr>
    </w:lvl>
    <w:lvl w:ilvl="4">
      <w:start w:val="1"/>
      <w:numFmt w:val="lowerRoman"/>
      <w:lvlText w:val="%5)"/>
      <w:lvlJc w:val="left"/>
      <w:pPr>
        <w:tabs>
          <w:tab w:val="num" w:pos="1134"/>
        </w:tabs>
        <w:ind w:left="1134" w:hanging="1134"/>
      </w:pPr>
      <w:rPr>
        <w:rFonts w:ascii="Arial" w:hAnsi="Arial" w:cs="Arial" w:hint="default"/>
        <w:b w:val="0"/>
        <w:i w:val="0"/>
        <w:sz w:val="24"/>
      </w:rPr>
    </w:lvl>
    <w:lvl w:ilvl="5">
      <w:start w:val="1"/>
      <w:numFmt w:val="lowerLetter"/>
      <w:lvlText w:val="%6)"/>
      <w:lvlJc w:val="left"/>
      <w:pPr>
        <w:tabs>
          <w:tab w:val="num" w:pos="1134"/>
        </w:tabs>
        <w:ind w:left="1134" w:hanging="1134"/>
      </w:pPr>
      <w:rPr>
        <w:rFonts w:hint="default"/>
        <w:sz w:val="24"/>
      </w:rPr>
    </w:lvl>
    <w:lvl w:ilvl="6">
      <w:start w:val="1"/>
      <w:numFmt w:val="decimal"/>
      <w:lvlText w:val="%7"/>
      <w:lvlJc w:val="left"/>
      <w:pPr>
        <w:tabs>
          <w:tab w:val="num" w:pos="0"/>
        </w:tabs>
        <w:ind w:left="0" w:firstLine="0"/>
      </w:pPr>
      <w:rPr>
        <w:rFonts w:hint="default"/>
      </w:rPr>
    </w:lvl>
    <w:lvl w:ilvl="7">
      <w:start w:val="1"/>
      <w:numFmt w:val="lowerLetter"/>
      <w:lvlText w:val="%8"/>
      <w:lvlJc w:val="left"/>
      <w:pPr>
        <w:tabs>
          <w:tab w:val="num" w:pos="1134"/>
        </w:tabs>
        <w:ind w:left="1134" w:hanging="1134"/>
      </w:pPr>
      <w:rPr>
        <w:rFonts w:hint="default"/>
      </w:rPr>
    </w:lvl>
    <w:lvl w:ilvl="8">
      <w:start w:val="1"/>
      <w:numFmt w:val="lowerRoman"/>
      <w:lvlText w:val="%9"/>
      <w:lvlJc w:val="left"/>
      <w:pPr>
        <w:tabs>
          <w:tab w:val="num" w:pos="1134"/>
        </w:tabs>
        <w:ind w:left="1134" w:hanging="1134"/>
      </w:pPr>
      <w:rPr>
        <w:rFonts w:hint="default"/>
      </w:rPr>
    </w:lvl>
  </w:abstractNum>
  <w:abstractNum w:abstractNumId="4" w15:restartNumberingAfterBreak="0">
    <w:nsid w:val="772527AB"/>
    <w:multiLevelType w:val="multilevel"/>
    <w:tmpl w:val="41D88280"/>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i w:val="0"/>
        <w:color w:val="auto"/>
        <w:sz w:val="23"/>
        <w:szCs w:val="23"/>
      </w:rPr>
    </w:lvl>
    <w:lvl w:ilvl="2">
      <w:start w:val="1"/>
      <w:numFmt w:val="bullet"/>
      <w:lvlText w:val=""/>
      <w:lvlJc w:val="left"/>
      <w:pPr>
        <w:ind w:left="1080" w:hanging="36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14297952">
    <w:abstractNumId w:val="3"/>
  </w:num>
  <w:num w:numId="2" w16cid:durableId="1502624219">
    <w:abstractNumId w:val="0"/>
  </w:num>
  <w:num w:numId="3" w16cid:durableId="1940602102">
    <w:abstractNumId w:val="2"/>
  </w:num>
  <w:num w:numId="4" w16cid:durableId="1156914596">
    <w:abstractNumId w:val="1"/>
  </w:num>
  <w:num w:numId="5" w16cid:durableId="6685403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IyNjQ3MjK0NDMxtTRW0lEKTi0uzszPAykwMqwFAE3xIpctAAAA"/>
  </w:docVars>
  <w:rsids>
    <w:rsidRoot w:val="00097084"/>
    <w:rsid w:val="00000321"/>
    <w:rsid w:val="000015E0"/>
    <w:rsid w:val="0000295B"/>
    <w:rsid w:val="00002BC8"/>
    <w:rsid w:val="00002E13"/>
    <w:rsid w:val="00002E15"/>
    <w:rsid w:val="00002EE6"/>
    <w:rsid w:val="000036DF"/>
    <w:rsid w:val="00004381"/>
    <w:rsid w:val="00005613"/>
    <w:rsid w:val="000070E9"/>
    <w:rsid w:val="00007498"/>
    <w:rsid w:val="00010376"/>
    <w:rsid w:val="000105A3"/>
    <w:rsid w:val="00010BF4"/>
    <w:rsid w:val="00011B3A"/>
    <w:rsid w:val="00012092"/>
    <w:rsid w:val="000122E5"/>
    <w:rsid w:val="00012C4B"/>
    <w:rsid w:val="0001332C"/>
    <w:rsid w:val="00013C4C"/>
    <w:rsid w:val="00015378"/>
    <w:rsid w:val="0001556B"/>
    <w:rsid w:val="000204DB"/>
    <w:rsid w:val="000212FB"/>
    <w:rsid w:val="00023339"/>
    <w:rsid w:val="0002335F"/>
    <w:rsid w:val="00023603"/>
    <w:rsid w:val="0002362A"/>
    <w:rsid w:val="000236E6"/>
    <w:rsid w:val="000239E8"/>
    <w:rsid w:val="00024203"/>
    <w:rsid w:val="00025DF8"/>
    <w:rsid w:val="00025E06"/>
    <w:rsid w:val="00026D06"/>
    <w:rsid w:val="000272F7"/>
    <w:rsid w:val="0002744F"/>
    <w:rsid w:val="000300B3"/>
    <w:rsid w:val="00030609"/>
    <w:rsid w:val="0003186A"/>
    <w:rsid w:val="00032F4E"/>
    <w:rsid w:val="000332E8"/>
    <w:rsid w:val="00033462"/>
    <w:rsid w:val="00033933"/>
    <w:rsid w:val="00033C8D"/>
    <w:rsid w:val="000344E9"/>
    <w:rsid w:val="00035695"/>
    <w:rsid w:val="000379E6"/>
    <w:rsid w:val="000403C4"/>
    <w:rsid w:val="000410DD"/>
    <w:rsid w:val="00041DDB"/>
    <w:rsid w:val="00042153"/>
    <w:rsid w:val="0004272F"/>
    <w:rsid w:val="00042CF2"/>
    <w:rsid w:val="0004320F"/>
    <w:rsid w:val="0004358D"/>
    <w:rsid w:val="00043E32"/>
    <w:rsid w:val="000442F3"/>
    <w:rsid w:val="00044496"/>
    <w:rsid w:val="000445B1"/>
    <w:rsid w:val="00045808"/>
    <w:rsid w:val="00045C34"/>
    <w:rsid w:val="00046F33"/>
    <w:rsid w:val="0004774C"/>
    <w:rsid w:val="0005083E"/>
    <w:rsid w:val="000518E2"/>
    <w:rsid w:val="00053B3A"/>
    <w:rsid w:val="000542F6"/>
    <w:rsid w:val="00055CF0"/>
    <w:rsid w:val="000561FC"/>
    <w:rsid w:val="000576BC"/>
    <w:rsid w:val="000576DA"/>
    <w:rsid w:val="00057A40"/>
    <w:rsid w:val="00060990"/>
    <w:rsid w:val="00060A05"/>
    <w:rsid w:val="00061A71"/>
    <w:rsid w:val="00061E19"/>
    <w:rsid w:val="00061EDF"/>
    <w:rsid w:val="00062454"/>
    <w:rsid w:val="00062E18"/>
    <w:rsid w:val="00063887"/>
    <w:rsid w:val="00064466"/>
    <w:rsid w:val="00065345"/>
    <w:rsid w:val="000655DB"/>
    <w:rsid w:val="00065AB4"/>
    <w:rsid w:val="00066860"/>
    <w:rsid w:val="00066FD3"/>
    <w:rsid w:val="0006768D"/>
    <w:rsid w:val="00067944"/>
    <w:rsid w:val="000679F9"/>
    <w:rsid w:val="000700A3"/>
    <w:rsid w:val="00070338"/>
    <w:rsid w:val="0007139A"/>
    <w:rsid w:val="00072941"/>
    <w:rsid w:val="0007436A"/>
    <w:rsid w:val="000756FB"/>
    <w:rsid w:val="00075F76"/>
    <w:rsid w:val="00075FC5"/>
    <w:rsid w:val="000773B7"/>
    <w:rsid w:val="00080027"/>
    <w:rsid w:val="00080576"/>
    <w:rsid w:val="000813DC"/>
    <w:rsid w:val="00083B09"/>
    <w:rsid w:val="00084115"/>
    <w:rsid w:val="00084755"/>
    <w:rsid w:val="0008554C"/>
    <w:rsid w:val="000859AF"/>
    <w:rsid w:val="00085B23"/>
    <w:rsid w:val="000867CD"/>
    <w:rsid w:val="000873D9"/>
    <w:rsid w:val="000874C3"/>
    <w:rsid w:val="00087E53"/>
    <w:rsid w:val="000909E5"/>
    <w:rsid w:val="000917A2"/>
    <w:rsid w:val="0009192F"/>
    <w:rsid w:val="00091EDC"/>
    <w:rsid w:val="00092E74"/>
    <w:rsid w:val="000931EB"/>
    <w:rsid w:val="00093402"/>
    <w:rsid w:val="00093B1C"/>
    <w:rsid w:val="00097084"/>
    <w:rsid w:val="00097165"/>
    <w:rsid w:val="000977EA"/>
    <w:rsid w:val="000977F7"/>
    <w:rsid w:val="000A03E3"/>
    <w:rsid w:val="000A0BCC"/>
    <w:rsid w:val="000A1590"/>
    <w:rsid w:val="000A39B5"/>
    <w:rsid w:val="000A45F0"/>
    <w:rsid w:val="000A4967"/>
    <w:rsid w:val="000A53ED"/>
    <w:rsid w:val="000A58FC"/>
    <w:rsid w:val="000A5A47"/>
    <w:rsid w:val="000A636B"/>
    <w:rsid w:val="000A6DE4"/>
    <w:rsid w:val="000A77D8"/>
    <w:rsid w:val="000A78E1"/>
    <w:rsid w:val="000B0443"/>
    <w:rsid w:val="000B0AEA"/>
    <w:rsid w:val="000B16BC"/>
    <w:rsid w:val="000B3AB6"/>
    <w:rsid w:val="000B5B5E"/>
    <w:rsid w:val="000B6A50"/>
    <w:rsid w:val="000B79DF"/>
    <w:rsid w:val="000B7E13"/>
    <w:rsid w:val="000C0643"/>
    <w:rsid w:val="000C1298"/>
    <w:rsid w:val="000C131E"/>
    <w:rsid w:val="000C1553"/>
    <w:rsid w:val="000C15B3"/>
    <w:rsid w:val="000C1941"/>
    <w:rsid w:val="000C1D6E"/>
    <w:rsid w:val="000C2348"/>
    <w:rsid w:val="000C271B"/>
    <w:rsid w:val="000C30D3"/>
    <w:rsid w:val="000C36B3"/>
    <w:rsid w:val="000C3810"/>
    <w:rsid w:val="000C3841"/>
    <w:rsid w:val="000C50BE"/>
    <w:rsid w:val="000C53DC"/>
    <w:rsid w:val="000C7711"/>
    <w:rsid w:val="000C7F47"/>
    <w:rsid w:val="000D0209"/>
    <w:rsid w:val="000D079B"/>
    <w:rsid w:val="000D088B"/>
    <w:rsid w:val="000D0B28"/>
    <w:rsid w:val="000D0EDF"/>
    <w:rsid w:val="000D1D0F"/>
    <w:rsid w:val="000D26AE"/>
    <w:rsid w:val="000D2C45"/>
    <w:rsid w:val="000D55DF"/>
    <w:rsid w:val="000D5B3B"/>
    <w:rsid w:val="000D6A52"/>
    <w:rsid w:val="000D6AC1"/>
    <w:rsid w:val="000D6FBD"/>
    <w:rsid w:val="000E0877"/>
    <w:rsid w:val="000E0E7B"/>
    <w:rsid w:val="000E0FC7"/>
    <w:rsid w:val="000E23E6"/>
    <w:rsid w:val="000E2731"/>
    <w:rsid w:val="000E2820"/>
    <w:rsid w:val="000E49B5"/>
    <w:rsid w:val="000E4C8C"/>
    <w:rsid w:val="000E55A5"/>
    <w:rsid w:val="000E5618"/>
    <w:rsid w:val="000E5E86"/>
    <w:rsid w:val="000E6EBB"/>
    <w:rsid w:val="000E701F"/>
    <w:rsid w:val="000E7190"/>
    <w:rsid w:val="000E7592"/>
    <w:rsid w:val="000F0B04"/>
    <w:rsid w:val="000F1160"/>
    <w:rsid w:val="000F1F6D"/>
    <w:rsid w:val="000F25E6"/>
    <w:rsid w:val="000F2A3E"/>
    <w:rsid w:val="000F2F9C"/>
    <w:rsid w:val="000F39DD"/>
    <w:rsid w:val="000F56E3"/>
    <w:rsid w:val="000F5867"/>
    <w:rsid w:val="000F5C07"/>
    <w:rsid w:val="000F6B3A"/>
    <w:rsid w:val="000F6B55"/>
    <w:rsid w:val="000F6DFC"/>
    <w:rsid w:val="000F6F5E"/>
    <w:rsid w:val="000F7015"/>
    <w:rsid w:val="00101A13"/>
    <w:rsid w:val="00101A9E"/>
    <w:rsid w:val="00101E75"/>
    <w:rsid w:val="00101F01"/>
    <w:rsid w:val="0010375A"/>
    <w:rsid w:val="00104077"/>
    <w:rsid w:val="001046EF"/>
    <w:rsid w:val="001049A0"/>
    <w:rsid w:val="00104AD5"/>
    <w:rsid w:val="00104D92"/>
    <w:rsid w:val="001067D2"/>
    <w:rsid w:val="00107383"/>
    <w:rsid w:val="00110B68"/>
    <w:rsid w:val="00110BB7"/>
    <w:rsid w:val="0011129B"/>
    <w:rsid w:val="00111ADB"/>
    <w:rsid w:val="001124E8"/>
    <w:rsid w:val="00112524"/>
    <w:rsid w:val="00112BEB"/>
    <w:rsid w:val="00113AE0"/>
    <w:rsid w:val="001150C9"/>
    <w:rsid w:val="00115C36"/>
    <w:rsid w:val="00116B2E"/>
    <w:rsid w:val="00120E1A"/>
    <w:rsid w:val="00122851"/>
    <w:rsid w:val="00123EC9"/>
    <w:rsid w:val="00123F6D"/>
    <w:rsid w:val="001260B7"/>
    <w:rsid w:val="00126109"/>
    <w:rsid w:val="0012659D"/>
    <w:rsid w:val="00126F44"/>
    <w:rsid w:val="001271E6"/>
    <w:rsid w:val="00127E1A"/>
    <w:rsid w:val="00127EC6"/>
    <w:rsid w:val="001302EE"/>
    <w:rsid w:val="00130E99"/>
    <w:rsid w:val="001318B5"/>
    <w:rsid w:val="0013191F"/>
    <w:rsid w:val="0013236B"/>
    <w:rsid w:val="001330E2"/>
    <w:rsid w:val="001333A7"/>
    <w:rsid w:val="00133E86"/>
    <w:rsid w:val="00134271"/>
    <w:rsid w:val="00134B0E"/>
    <w:rsid w:val="00136227"/>
    <w:rsid w:val="00137DBA"/>
    <w:rsid w:val="0014031D"/>
    <w:rsid w:val="001407CC"/>
    <w:rsid w:val="00140BCB"/>
    <w:rsid w:val="00141E01"/>
    <w:rsid w:val="0014228F"/>
    <w:rsid w:val="00142ED3"/>
    <w:rsid w:val="0014354A"/>
    <w:rsid w:val="001446FB"/>
    <w:rsid w:val="00145870"/>
    <w:rsid w:val="0014615D"/>
    <w:rsid w:val="00151B35"/>
    <w:rsid w:val="0015392E"/>
    <w:rsid w:val="00154468"/>
    <w:rsid w:val="00154621"/>
    <w:rsid w:val="001556CF"/>
    <w:rsid w:val="0015655F"/>
    <w:rsid w:val="001567F8"/>
    <w:rsid w:val="00156D58"/>
    <w:rsid w:val="00157182"/>
    <w:rsid w:val="00160D78"/>
    <w:rsid w:val="00166B5B"/>
    <w:rsid w:val="00166C12"/>
    <w:rsid w:val="00166E5F"/>
    <w:rsid w:val="0017087F"/>
    <w:rsid w:val="001726A4"/>
    <w:rsid w:val="00172A51"/>
    <w:rsid w:val="001736DD"/>
    <w:rsid w:val="00174E45"/>
    <w:rsid w:val="00176601"/>
    <w:rsid w:val="00176DE9"/>
    <w:rsid w:val="001776AD"/>
    <w:rsid w:val="001803FC"/>
    <w:rsid w:val="001807C0"/>
    <w:rsid w:val="001817DB"/>
    <w:rsid w:val="00181AE9"/>
    <w:rsid w:val="0018351E"/>
    <w:rsid w:val="00184830"/>
    <w:rsid w:val="00184D11"/>
    <w:rsid w:val="00185866"/>
    <w:rsid w:val="00185B8D"/>
    <w:rsid w:val="001860F1"/>
    <w:rsid w:val="00186925"/>
    <w:rsid w:val="00187AC3"/>
    <w:rsid w:val="0019045B"/>
    <w:rsid w:val="0019164F"/>
    <w:rsid w:val="00192C34"/>
    <w:rsid w:val="00194BF1"/>
    <w:rsid w:val="00194DF6"/>
    <w:rsid w:val="001965CB"/>
    <w:rsid w:val="001967FC"/>
    <w:rsid w:val="0019757A"/>
    <w:rsid w:val="0019790D"/>
    <w:rsid w:val="001A213B"/>
    <w:rsid w:val="001A26A7"/>
    <w:rsid w:val="001A2C35"/>
    <w:rsid w:val="001A48ED"/>
    <w:rsid w:val="001A5C35"/>
    <w:rsid w:val="001A75FB"/>
    <w:rsid w:val="001A7CC1"/>
    <w:rsid w:val="001A7E72"/>
    <w:rsid w:val="001B0D0C"/>
    <w:rsid w:val="001B15C3"/>
    <w:rsid w:val="001B18AB"/>
    <w:rsid w:val="001B2997"/>
    <w:rsid w:val="001B2CC4"/>
    <w:rsid w:val="001B3CDA"/>
    <w:rsid w:val="001B4BBA"/>
    <w:rsid w:val="001B6760"/>
    <w:rsid w:val="001B69C5"/>
    <w:rsid w:val="001B6E3C"/>
    <w:rsid w:val="001C0125"/>
    <w:rsid w:val="001C1C79"/>
    <w:rsid w:val="001C26C4"/>
    <w:rsid w:val="001C2EB7"/>
    <w:rsid w:val="001C32C1"/>
    <w:rsid w:val="001C55AF"/>
    <w:rsid w:val="001C5834"/>
    <w:rsid w:val="001C62AC"/>
    <w:rsid w:val="001C688D"/>
    <w:rsid w:val="001D0170"/>
    <w:rsid w:val="001D0FD4"/>
    <w:rsid w:val="001D1406"/>
    <w:rsid w:val="001D146B"/>
    <w:rsid w:val="001D307D"/>
    <w:rsid w:val="001D4AA9"/>
    <w:rsid w:val="001D4F72"/>
    <w:rsid w:val="001D5536"/>
    <w:rsid w:val="001D5BC6"/>
    <w:rsid w:val="001D6A60"/>
    <w:rsid w:val="001E001D"/>
    <w:rsid w:val="001E0173"/>
    <w:rsid w:val="001E0D23"/>
    <w:rsid w:val="001E17E8"/>
    <w:rsid w:val="001E29E3"/>
    <w:rsid w:val="001E2C90"/>
    <w:rsid w:val="001E40D4"/>
    <w:rsid w:val="001E42AF"/>
    <w:rsid w:val="001E475A"/>
    <w:rsid w:val="001E555D"/>
    <w:rsid w:val="001E6451"/>
    <w:rsid w:val="001E7BD5"/>
    <w:rsid w:val="001F000C"/>
    <w:rsid w:val="001F1317"/>
    <w:rsid w:val="001F3152"/>
    <w:rsid w:val="001F44B4"/>
    <w:rsid w:val="001F704A"/>
    <w:rsid w:val="002005FD"/>
    <w:rsid w:val="00200AED"/>
    <w:rsid w:val="0020237E"/>
    <w:rsid w:val="0020369B"/>
    <w:rsid w:val="00203F4A"/>
    <w:rsid w:val="00204130"/>
    <w:rsid w:val="00204670"/>
    <w:rsid w:val="00204942"/>
    <w:rsid w:val="00205736"/>
    <w:rsid w:val="00205A5B"/>
    <w:rsid w:val="0020675C"/>
    <w:rsid w:val="00212850"/>
    <w:rsid w:val="002139A8"/>
    <w:rsid w:val="0021409C"/>
    <w:rsid w:val="002146B0"/>
    <w:rsid w:val="00217A60"/>
    <w:rsid w:val="00217A76"/>
    <w:rsid w:val="002202CA"/>
    <w:rsid w:val="00220C7D"/>
    <w:rsid w:val="0022193D"/>
    <w:rsid w:val="0022298E"/>
    <w:rsid w:val="00224F12"/>
    <w:rsid w:val="00227888"/>
    <w:rsid w:val="00230076"/>
    <w:rsid w:val="00230C14"/>
    <w:rsid w:val="00230D6E"/>
    <w:rsid w:val="002312F9"/>
    <w:rsid w:val="002326ED"/>
    <w:rsid w:val="00233B3D"/>
    <w:rsid w:val="00233B63"/>
    <w:rsid w:val="00235ED2"/>
    <w:rsid w:val="00236B3C"/>
    <w:rsid w:val="00237602"/>
    <w:rsid w:val="002404A3"/>
    <w:rsid w:val="002408BF"/>
    <w:rsid w:val="00241395"/>
    <w:rsid w:val="00242ABE"/>
    <w:rsid w:val="0024440B"/>
    <w:rsid w:val="002447D8"/>
    <w:rsid w:val="002451FB"/>
    <w:rsid w:val="002453DF"/>
    <w:rsid w:val="002462A1"/>
    <w:rsid w:val="002463C8"/>
    <w:rsid w:val="002469DE"/>
    <w:rsid w:val="00250501"/>
    <w:rsid w:val="0025058A"/>
    <w:rsid w:val="00250D29"/>
    <w:rsid w:val="002526CE"/>
    <w:rsid w:val="00252C24"/>
    <w:rsid w:val="002533B9"/>
    <w:rsid w:val="002536AF"/>
    <w:rsid w:val="00256B24"/>
    <w:rsid w:val="002571C3"/>
    <w:rsid w:val="00257AA5"/>
    <w:rsid w:val="00261AE7"/>
    <w:rsid w:val="00261EC2"/>
    <w:rsid w:val="00262F76"/>
    <w:rsid w:val="0026303A"/>
    <w:rsid w:val="00263954"/>
    <w:rsid w:val="00263EB2"/>
    <w:rsid w:val="002640B1"/>
    <w:rsid w:val="00265991"/>
    <w:rsid w:val="00266270"/>
    <w:rsid w:val="00266E71"/>
    <w:rsid w:val="00267746"/>
    <w:rsid w:val="00267B14"/>
    <w:rsid w:val="0027036A"/>
    <w:rsid w:val="0027128F"/>
    <w:rsid w:val="002736D8"/>
    <w:rsid w:val="00273CFA"/>
    <w:rsid w:val="002748E6"/>
    <w:rsid w:val="00275B7F"/>
    <w:rsid w:val="00276170"/>
    <w:rsid w:val="0027647E"/>
    <w:rsid w:val="00277367"/>
    <w:rsid w:val="00280B22"/>
    <w:rsid w:val="002812C0"/>
    <w:rsid w:val="00281B2A"/>
    <w:rsid w:val="00281CAE"/>
    <w:rsid w:val="002832E2"/>
    <w:rsid w:val="00284BAF"/>
    <w:rsid w:val="002871FC"/>
    <w:rsid w:val="00287934"/>
    <w:rsid w:val="00290B21"/>
    <w:rsid w:val="0029268B"/>
    <w:rsid w:val="0029637F"/>
    <w:rsid w:val="00297591"/>
    <w:rsid w:val="002A0548"/>
    <w:rsid w:val="002A09DC"/>
    <w:rsid w:val="002A1084"/>
    <w:rsid w:val="002A4257"/>
    <w:rsid w:val="002A5E03"/>
    <w:rsid w:val="002A7E1C"/>
    <w:rsid w:val="002B24CF"/>
    <w:rsid w:val="002B2710"/>
    <w:rsid w:val="002B2E93"/>
    <w:rsid w:val="002B37F6"/>
    <w:rsid w:val="002B3933"/>
    <w:rsid w:val="002B53C7"/>
    <w:rsid w:val="002B5715"/>
    <w:rsid w:val="002B67CF"/>
    <w:rsid w:val="002B75FF"/>
    <w:rsid w:val="002B7893"/>
    <w:rsid w:val="002C030E"/>
    <w:rsid w:val="002C07B4"/>
    <w:rsid w:val="002C1096"/>
    <w:rsid w:val="002C1874"/>
    <w:rsid w:val="002C1D1E"/>
    <w:rsid w:val="002C20CF"/>
    <w:rsid w:val="002C21E6"/>
    <w:rsid w:val="002C2BF1"/>
    <w:rsid w:val="002C3FC3"/>
    <w:rsid w:val="002C4813"/>
    <w:rsid w:val="002C4D76"/>
    <w:rsid w:val="002C635B"/>
    <w:rsid w:val="002C7411"/>
    <w:rsid w:val="002C7CF9"/>
    <w:rsid w:val="002D0803"/>
    <w:rsid w:val="002D0954"/>
    <w:rsid w:val="002D1166"/>
    <w:rsid w:val="002D16A4"/>
    <w:rsid w:val="002D239E"/>
    <w:rsid w:val="002D2BBE"/>
    <w:rsid w:val="002D2CDE"/>
    <w:rsid w:val="002D3407"/>
    <w:rsid w:val="002D34E3"/>
    <w:rsid w:val="002D3979"/>
    <w:rsid w:val="002D5705"/>
    <w:rsid w:val="002D58E3"/>
    <w:rsid w:val="002D5C42"/>
    <w:rsid w:val="002D7421"/>
    <w:rsid w:val="002E04D8"/>
    <w:rsid w:val="002E0FFB"/>
    <w:rsid w:val="002E1398"/>
    <w:rsid w:val="002E29B0"/>
    <w:rsid w:val="002E2C2E"/>
    <w:rsid w:val="002E3932"/>
    <w:rsid w:val="002E428B"/>
    <w:rsid w:val="002E473B"/>
    <w:rsid w:val="002E4786"/>
    <w:rsid w:val="002E4911"/>
    <w:rsid w:val="002E4F61"/>
    <w:rsid w:val="002E6443"/>
    <w:rsid w:val="002E6477"/>
    <w:rsid w:val="002E6990"/>
    <w:rsid w:val="002E716A"/>
    <w:rsid w:val="002F01F9"/>
    <w:rsid w:val="002F0426"/>
    <w:rsid w:val="002F0785"/>
    <w:rsid w:val="002F0A57"/>
    <w:rsid w:val="002F0A74"/>
    <w:rsid w:val="002F1D6D"/>
    <w:rsid w:val="002F1DA3"/>
    <w:rsid w:val="002F1E12"/>
    <w:rsid w:val="002F3BBF"/>
    <w:rsid w:val="002F4146"/>
    <w:rsid w:val="002F491E"/>
    <w:rsid w:val="002F5331"/>
    <w:rsid w:val="002F6857"/>
    <w:rsid w:val="002F6CD0"/>
    <w:rsid w:val="002F7B36"/>
    <w:rsid w:val="0030038C"/>
    <w:rsid w:val="003004C3"/>
    <w:rsid w:val="0030132A"/>
    <w:rsid w:val="00301858"/>
    <w:rsid w:val="00302C5F"/>
    <w:rsid w:val="0030312E"/>
    <w:rsid w:val="003058B8"/>
    <w:rsid w:val="003064B8"/>
    <w:rsid w:val="003074D5"/>
    <w:rsid w:val="003078CA"/>
    <w:rsid w:val="0031052A"/>
    <w:rsid w:val="003114A6"/>
    <w:rsid w:val="00311893"/>
    <w:rsid w:val="00311C2E"/>
    <w:rsid w:val="00313B94"/>
    <w:rsid w:val="00313F5F"/>
    <w:rsid w:val="00314A0A"/>
    <w:rsid w:val="00314EEC"/>
    <w:rsid w:val="00314F57"/>
    <w:rsid w:val="003150FE"/>
    <w:rsid w:val="003159D1"/>
    <w:rsid w:val="00315A1A"/>
    <w:rsid w:val="0032009F"/>
    <w:rsid w:val="00320D77"/>
    <w:rsid w:val="003213C7"/>
    <w:rsid w:val="003219AB"/>
    <w:rsid w:val="00323397"/>
    <w:rsid w:val="003314F7"/>
    <w:rsid w:val="0033263E"/>
    <w:rsid w:val="00332774"/>
    <w:rsid w:val="00332C3A"/>
    <w:rsid w:val="00333868"/>
    <w:rsid w:val="00334185"/>
    <w:rsid w:val="00334CE6"/>
    <w:rsid w:val="00334F9A"/>
    <w:rsid w:val="00335101"/>
    <w:rsid w:val="00335214"/>
    <w:rsid w:val="003353CB"/>
    <w:rsid w:val="003354AB"/>
    <w:rsid w:val="0033687D"/>
    <w:rsid w:val="003368F6"/>
    <w:rsid w:val="00336BF5"/>
    <w:rsid w:val="0033777D"/>
    <w:rsid w:val="0033795D"/>
    <w:rsid w:val="0034041C"/>
    <w:rsid w:val="0034187A"/>
    <w:rsid w:val="00341C89"/>
    <w:rsid w:val="00342186"/>
    <w:rsid w:val="003429E2"/>
    <w:rsid w:val="00342C05"/>
    <w:rsid w:val="00345630"/>
    <w:rsid w:val="00345C9A"/>
    <w:rsid w:val="00345FDF"/>
    <w:rsid w:val="00347994"/>
    <w:rsid w:val="00347D44"/>
    <w:rsid w:val="003500C4"/>
    <w:rsid w:val="0035033E"/>
    <w:rsid w:val="0035052F"/>
    <w:rsid w:val="00351407"/>
    <w:rsid w:val="0035144B"/>
    <w:rsid w:val="00351565"/>
    <w:rsid w:val="003538F1"/>
    <w:rsid w:val="003543FD"/>
    <w:rsid w:val="00354A15"/>
    <w:rsid w:val="00354F48"/>
    <w:rsid w:val="003554FA"/>
    <w:rsid w:val="00357FA8"/>
    <w:rsid w:val="003608EB"/>
    <w:rsid w:val="003622B7"/>
    <w:rsid w:val="00362ACC"/>
    <w:rsid w:val="00362CE1"/>
    <w:rsid w:val="00363238"/>
    <w:rsid w:val="00363C46"/>
    <w:rsid w:val="0036502B"/>
    <w:rsid w:val="0036564D"/>
    <w:rsid w:val="003679EB"/>
    <w:rsid w:val="00367E5C"/>
    <w:rsid w:val="00370792"/>
    <w:rsid w:val="00372C8B"/>
    <w:rsid w:val="00373BC5"/>
    <w:rsid w:val="0037697A"/>
    <w:rsid w:val="00376B25"/>
    <w:rsid w:val="00376D5F"/>
    <w:rsid w:val="003804ED"/>
    <w:rsid w:val="003812B5"/>
    <w:rsid w:val="00381442"/>
    <w:rsid w:val="00381D2B"/>
    <w:rsid w:val="003824D2"/>
    <w:rsid w:val="0038494A"/>
    <w:rsid w:val="00385020"/>
    <w:rsid w:val="003850FD"/>
    <w:rsid w:val="003851EB"/>
    <w:rsid w:val="003855D6"/>
    <w:rsid w:val="00386855"/>
    <w:rsid w:val="00386C80"/>
    <w:rsid w:val="00386EC3"/>
    <w:rsid w:val="00387C11"/>
    <w:rsid w:val="003902E0"/>
    <w:rsid w:val="00392DE2"/>
    <w:rsid w:val="00393286"/>
    <w:rsid w:val="00393DE8"/>
    <w:rsid w:val="00393F42"/>
    <w:rsid w:val="00394895"/>
    <w:rsid w:val="00395AD6"/>
    <w:rsid w:val="0039632C"/>
    <w:rsid w:val="00396600"/>
    <w:rsid w:val="003A1198"/>
    <w:rsid w:val="003A1AEE"/>
    <w:rsid w:val="003A4A2E"/>
    <w:rsid w:val="003A56B8"/>
    <w:rsid w:val="003A6BD7"/>
    <w:rsid w:val="003A7C26"/>
    <w:rsid w:val="003B0268"/>
    <w:rsid w:val="003B0345"/>
    <w:rsid w:val="003B0C4C"/>
    <w:rsid w:val="003B24A5"/>
    <w:rsid w:val="003B267B"/>
    <w:rsid w:val="003B2A30"/>
    <w:rsid w:val="003B33D7"/>
    <w:rsid w:val="003B3A2C"/>
    <w:rsid w:val="003B3A65"/>
    <w:rsid w:val="003B526C"/>
    <w:rsid w:val="003B5617"/>
    <w:rsid w:val="003B6619"/>
    <w:rsid w:val="003B6D6C"/>
    <w:rsid w:val="003B7991"/>
    <w:rsid w:val="003C0CDB"/>
    <w:rsid w:val="003C135C"/>
    <w:rsid w:val="003C28C7"/>
    <w:rsid w:val="003C2A04"/>
    <w:rsid w:val="003C3238"/>
    <w:rsid w:val="003C4E15"/>
    <w:rsid w:val="003C508A"/>
    <w:rsid w:val="003C5236"/>
    <w:rsid w:val="003C5A0A"/>
    <w:rsid w:val="003C781B"/>
    <w:rsid w:val="003D018A"/>
    <w:rsid w:val="003D11BF"/>
    <w:rsid w:val="003D1E49"/>
    <w:rsid w:val="003D2857"/>
    <w:rsid w:val="003D2E34"/>
    <w:rsid w:val="003D326F"/>
    <w:rsid w:val="003D3298"/>
    <w:rsid w:val="003D4D6F"/>
    <w:rsid w:val="003D5235"/>
    <w:rsid w:val="003D56B0"/>
    <w:rsid w:val="003D621F"/>
    <w:rsid w:val="003D79DB"/>
    <w:rsid w:val="003E300A"/>
    <w:rsid w:val="003E35DF"/>
    <w:rsid w:val="003E3620"/>
    <w:rsid w:val="003E3A69"/>
    <w:rsid w:val="003E3F5E"/>
    <w:rsid w:val="003E6A67"/>
    <w:rsid w:val="003E738C"/>
    <w:rsid w:val="003F0F78"/>
    <w:rsid w:val="003F1487"/>
    <w:rsid w:val="003F1552"/>
    <w:rsid w:val="003F2630"/>
    <w:rsid w:val="003F43EA"/>
    <w:rsid w:val="003F573F"/>
    <w:rsid w:val="003F5A85"/>
    <w:rsid w:val="003F71FA"/>
    <w:rsid w:val="00400B75"/>
    <w:rsid w:val="0040118F"/>
    <w:rsid w:val="00402CAA"/>
    <w:rsid w:val="00403CEF"/>
    <w:rsid w:val="004049D0"/>
    <w:rsid w:val="00405160"/>
    <w:rsid w:val="00405789"/>
    <w:rsid w:val="00405F6F"/>
    <w:rsid w:val="00406C7E"/>
    <w:rsid w:val="00410460"/>
    <w:rsid w:val="004114B3"/>
    <w:rsid w:val="0041177A"/>
    <w:rsid w:val="00411B63"/>
    <w:rsid w:val="0041289C"/>
    <w:rsid w:val="00413F09"/>
    <w:rsid w:val="00414E5A"/>
    <w:rsid w:val="00415A3B"/>
    <w:rsid w:val="00416269"/>
    <w:rsid w:val="0041712F"/>
    <w:rsid w:val="00417184"/>
    <w:rsid w:val="004174D9"/>
    <w:rsid w:val="0041771C"/>
    <w:rsid w:val="004200E0"/>
    <w:rsid w:val="00421DE9"/>
    <w:rsid w:val="004224BB"/>
    <w:rsid w:val="004239E8"/>
    <w:rsid w:val="00423F02"/>
    <w:rsid w:val="00430898"/>
    <w:rsid w:val="00430FD8"/>
    <w:rsid w:val="004321B2"/>
    <w:rsid w:val="004324A8"/>
    <w:rsid w:val="00433714"/>
    <w:rsid w:val="0043395A"/>
    <w:rsid w:val="0043461B"/>
    <w:rsid w:val="0043479D"/>
    <w:rsid w:val="0043547F"/>
    <w:rsid w:val="00437296"/>
    <w:rsid w:val="004411B9"/>
    <w:rsid w:val="004413A7"/>
    <w:rsid w:val="00441842"/>
    <w:rsid w:val="0044274E"/>
    <w:rsid w:val="004428BD"/>
    <w:rsid w:val="00443F61"/>
    <w:rsid w:val="00444D07"/>
    <w:rsid w:val="004456D7"/>
    <w:rsid w:val="00446C2D"/>
    <w:rsid w:val="0045068A"/>
    <w:rsid w:val="0045242B"/>
    <w:rsid w:val="00452E8B"/>
    <w:rsid w:val="00453097"/>
    <w:rsid w:val="00453D7E"/>
    <w:rsid w:val="00453E16"/>
    <w:rsid w:val="004553E5"/>
    <w:rsid w:val="00455F82"/>
    <w:rsid w:val="004560AD"/>
    <w:rsid w:val="00456AF8"/>
    <w:rsid w:val="0045763D"/>
    <w:rsid w:val="00457C67"/>
    <w:rsid w:val="00460A6B"/>
    <w:rsid w:val="00461BB4"/>
    <w:rsid w:val="00461EF3"/>
    <w:rsid w:val="004626C5"/>
    <w:rsid w:val="00462B5E"/>
    <w:rsid w:val="00465270"/>
    <w:rsid w:val="00466485"/>
    <w:rsid w:val="00467D38"/>
    <w:rsid w:val="004715EA"/>
    <w:rsid w:val="004717C8"/>
    <w:rsid w:val="00471C73"/>
    <w:rsid w:val="00472930"/>
    <w:rsid w:val="0047380A"/>
    <w:rsid w:val="00474ED7"/>
    <w:rsid w:val="00475480"/>
    <w:rsid w:val="00476FD3"/>
    <w:rsid w:val="0047764B"/>
    <w:rsid w:val="00480F70"/>
    <w:rsid w:val="00483EF1"/>
    <w:rsid w:val="00485B72"/>
    <w:rsid w:val="00486B7C"/>
    <w:rsid w:val="00486DF2"/>
    <w:rsid w:val="004872F2"/>
    <w:rsid w:val="0048771D"/>
    <w:rsid w:val="0048776C"/>
    <w:rsid w:val="004877B4"/>
    <w:rsid w:val="00487A1A"/>
    <w:rsid w:val="004903CB"/>
    <w:rsid w:val="0049360A"/>
    <w:rsid w:val="00494CB3"/>
    <w:rsid w:val="00496090"/>
    <w:rsid w:val="004962C3"/>
    <w:rsid w:val="00496A68"/>
    <w:rsid w:val="00497480"/>
    <w:rsid w:val="004A184C"/>
    <w:rsid w:val="004A31C2"/>
    <w:rsid w:val="004A42D1"/>
    <w:rsid w:val="004A464E"/>
    <w:rsid w:val="004A4D7D"/>
    <w:rsid w:val="004A4E8D"/>
    <w:rsid w:val="004A634A"/>
    <w:rsid w:val="004A65B7"/>
    <w:rsid w:val="004A6B64"/>
    <w:rsid w:val="004B056F"/>
    <w:rsid w:val="004B08CD"/>
    <w:rsid w:val="004B0BB8"/>
    <w:rsid w:val="004B1655"/>
    <w:rsid w:val="004B2349"/>
    <w:rsid w:val="004B2591"/>
    <w:rsid w:val="004B25F0"/>
    <w:rsid w:val="004B2827"/>
    <w:rsid w:val="004B400C"/>
    <w:rsid w:val="004B42FF"/>
    <w:rsid w:val="004B5C12"/>
    <w:rsid w:val="004B63A4"/>
    <w:rsid w:val="004B7B54"/>
    <w:rsid w:val="004C08EC"/>
    <w:rsid w:val="004C124A"/>
    <w:rsid w:val="004C21BE"/>
    <w:rsid w:val="004C32FB"/>
    <w:rsid w:val="004C4DBC"/>
    <w:rsid w:val="004C54FA"/>
    <w:rsid w:val="004C6538"/>
    <w:rsid w:val="004C7066"/>
    <w:rsid w:val="004D0FD5"/>
    <w:rsid w:val="004D153D"/>
    <w:rsid w:val="004D1C45"/>
    <w:rsid w:val="004D3096"/>
    <w:rsid w:val="004D32C6"/>
    <w:rsid w:val="004D3953"/>
    <w:rsid w:val="004D4084"/>
    <w:rsid w:val="004D4944"/>
    <w:rsid w:val="004D6557"/>
    <w:rsid w:val="004D6693"/>
    <w:rsid w:val="004D6D20"/>
    <w:rsid w:val="004E0C5C"/>
    <w:rsid w:val="004E0DA3"/>
    <w:rsid w:val="004E1427"/>
    <w:rsid w:val="004E2845"/>
    <w:rsid w:val="004E33FC"/>
    <w:rsid w:val="004E40DF"/>
    <w:rsid w:val="004E40F3"/>
    <w:rsid w:val="004E49F1"/>
    <w:rsid w:val="004E58DD"/>
    <w:rsid w:val="004E652A"/>
    <w:rsid w:val="004E6E16"/>
    <w:rsid w:val="004F04BE"/>
    <w:rsid w:val="004F08EC"/>
    <w:rsid w:val="004F2AD2"/>
    <w:rsid w:val="004F2FEB"/>
    <w:rsid w:val="004F35AF"/>
    <w:rsid w:val="004F433C"/>
    <w:rsid w:val="004F4E4E"/>
    <w:rsid w:val="004F6472"/>
    <w:rsid w:val="004F74BC"/>
    <w:rsid w:val="004F74C7"/>
    <w:rsid w:val="00500A5E"/>
    <w:rsid w:val="00501081"/>
    <w:rsid w:val="00501389"/>
    <w:rsid w:val="00501F60"/>
    <w:rsid w:val="00503517"/>
    <w:rsid w:val="00504C93"/>
    <w:rsid w:val="00507D02"/>
    <w:rsid w:val="0051017B"/>
    <w:rsid w:val="00511A19"/>
    <w:rsid w:val="00511BBF"/>
    <w:rsid w:val="00512D63"/>
    <w:rsid w:val="00512F99"/>
    <w:rsid w:val="0051313D"/>
    <w:rsid w:val="0051459A"/>
    <w:rsid w:val="005149AD"/>
    <w:rsid w:val="00514FF9"/>
    <w:rsid w:val="005163F1"/>
    <w:rsid w:val="005164D3"/>
    <w:rsid w:val="00516A1E"/>
    <w:rsid w:val="00516CB8"/>
    <w:rsid w:val="005170E4"/>
    <w:rsid w:val="005171C2"/>
    <w:rsid w:val="00517768"/>
    <w:rsid w:val="00517D47"/>
    <w:rsid w:val="00520593"/>
    <w:rsid w:val="00522D06"/>
    <w:rsid w:val="00522DB4"/>
    <w:rsid w:val="005231F4"/>
    <w:rsid w:val="005236B9"/>
    <w:rsid w:val="00524395"/>
    <w:rsid w:val="005256A2"/>
    <w:rsid w:val="005257D5"/>
    <w:rsid w:val="00526B00"/>
    <w:rsid w:val="00527698"/>
    <w:rsid w:val="0052791C"/>
    <w:rsid w:val="00527F9A"/>
    <w:rsid w:val="005315E0"/>
    <w:rsid w:val="0053250C"/>
    <w:rsid w:val="00532A26"/>
    <w:rsid w:val="005341C0"/>
    <w:rsid w:val="00535738"/>
    <w:rsid w:val="00535EAA"/>
    <w:rsid w:val="005370E8"/>
    <w:rsid w:val="005378EA"/>
    <w:rsid w:val="00537FE6"/>
    <w:rsid w:val="00540F2F"/>
    <w:rsid w:val="00542AEC"/>
    <w:rsid w:val="005432EA"/>
    <w:rsid w:val="00543F7E"/>
    <w:rsid w:val="00544929"/>
    <w:rsid w:val="00547623"/>
    <w:rsid w:val="00547829"/>
    <w:rsid w:val="00547D73"/>
    <w:rsid w:val="00551D85"/>
    <w:rsid w:val="00551E46"/>
    <w:rsid w:val="0055268F"/>
    <w:rsid w:val="005541A4"/>
    <w:rsid w:val="0055422B"/>
    <w:rsid w:val="00555A35"/>
    <w:rsid w:val="00556908"/>
    <w:rsid w:val="00556A06"/>
    <w:rsid w:val="005605A0"/>
    <w:rsid w:val="00562FCD"/>
    <w:rsid w:val="00563006"/>
    <w:rsid w:val="0056486E"/>
    <w:rsid w:val="00564E23"/>
    <w:rsid w:val="00565C78"/>
    <w:rsid w:val="00565E58"/>
    <w:rsid w:val="005666CA"/>
    <w:rsid w:val="00566FA3"/>
    <w:rsid w:val="0056773A"/>
    <w:rsid w:val="005679B9"/>
    <w:rsid w:val="00570012"/>
    <w:rsid w:val="00570D1B"/>
    <w:rsid w:val="005712B7"/>
    <w:rsid w:val="005712FD"/>
    <w:rsid w:val="00571BA5"/>
    <w:rsid w:val="00572562"/>
    <w:rsid w:val="005730F0"/>
    <w:rsid w:val="00574470"/>
    <w:rsid w:val="00574AFC"/>
    <w:rsid w:val="0057540B"/>
    <w:rsid w:val="0057555D"/>
    <w:rsid w:val="00575AC5"/>
    <w:rsid w:val="005762A7"/>
    <w:rsid w:val="005762D9"/>
    <w:rsid w:val="00577750"/>
    <w:rsid w:val="00577FA8"/>
    <w:rsid w:val="00580408"/>
    <w:rsid w:val="00580F63"/>
    <w:rsid w:val="00581229"/>
    <w:rsid w:val="005816F7"/>
    <w:rsid w:val="005819EF"/>
    <w:rsid w:val="00581CE0"/>
    <w:rsid w:val="0058271C"/>
    <w:rsid w:val="00582B00"/>
    <w:rsid w:val="00583B73"/>
    <w:rsid w:val="00584F56"/>
    <w:rsid w:val="00585DAF"/>
    <w:rsid w:val="00587148"/>
    <w:rsid w:val="00587394"/>
    <w:rsid w:val="00587395"/>
    <w:rsid w:val="005873E0"/>
    <w:rsid w:val="0058771C"/>
    <w:rsid w:val="005878EC"/>
    <w:rsid w:val="00593D2B"/>
    <w:rsid w:val="00594B1B"/>
    <w:rsid w:val="00595637"/>
    <w:rsid w:val="00596B05"/>
    <w:rsid w:val="00596B9A"/>
    <w:rsid w:val="0059739B"/>
    <w:rsid w:val="00597953"/>
    <w:rsid w:val="00597D72"/>
    <w:rsid w:val="005A1340"/>
    <w:rsid w:val="005A148A"/>
    <w:rsid w:val="005A44A3"/>
    <w:rsid w:val="005A4F42"/>
    <w:rsid w:val="005A5409"/>
    <w:rsid w:val="005A650E"/>
    <w:rsid w:val="005A654A"/>
    <w:rsid w:val="005A7D9E"/>
    <w:rsid w:val="005B0518"/>
    <w:rsid w:val="005B0FED"/>
    <w:rsid w:val="005B13B9"/>
    <w:rsid w:val="005B15AF"/>
    <w:rsid w:val="005B1B38"/>
    <w:rsid w:val="005B3098"/>
    <w:rsid w:val="005B43A7"/>
    <w:rsid w:val="005B4819"/>
    <w:rsid w:val="005B5B90"/>
    <w:rsid w:val="005B5D05"/>
    <w:rsid w:val="005B7BE1"/>
    <w:rsid w:val="005C067B"/>
    <w:rsid w:val="005C09A4"/>
    <w:rsid w:val="005C0C07"/>
    <w:rsid w:val="005C330F"/>
    <w:rsid w:val="005C4423"/>
    <w:rsid w:val="005C5AFB"/>
    <w:rsid w:val="005C5C59"/>
    <w:rsid w:val="005C5D16"/>
    <w:rsid w:val="005C651F"/>
    <w:rsid w:val="005C6B50"/>
    <w:rsid w:val="005C7ECC"/>
    <w:rsid w:val="005D00F0"/>
    <w:rsid w:val="005D057A"/>
    <w:rsid w:val="005D0B6A"/>
    <w:rsid w:val="005D1788"/>
    <w:rsid w:val="005D1F56"/>
    <w:rsid w:val="005D2821"/>
    <w:rsid w:val="005D418B"/>
    <w:rsid w:val="005D4A9E"/>
    <w:rsid w:val="005D4B9D"/>
    <w:rsid w:val="005D4C1D"/>
    <w:rsid w:val="005D4D55"/>
    <w:rsid w:val="005D55E5"/>
    <w:rsid w:val="005D5BCE"/>
    <w:rsid w:val="005D6B24"/>
    <w:rsid w:val="005D78A2"/>
    <w:rsid w:val="005E1A29"/>
    <w:rsid w:val="005E25E3"/>
    <w:rsid w:val="005E2870"/>
    <w:rsid w:val="005E2C0C"/>
    <w:rsid w:val="005E534B"/>
    <w:rsid w:val="005E53CC"/>
    <w:rsid w:val="005E6C95"/>
    <w:rsid w:val="005E78BA"/>
    <w:rsid w:val="005E7D77"/>
    <w:rsid w:val="005F00F4"/>
    <w:rsid w:val="005F0D55"/>
    <w:rsid w:val="005F2E53"/>
    <w:rsid w:val="005F2EA4"/>
    <w:rsid w:val="005F34C4"/>
    <w:rsid w:val="005F3C31"/>
    <w:rsid w:val="005F3F49"/>
    <w:rsid w:val="005F41E3"/>
    <w:rsid w:val="005F46EB"/>
    <w:rsid w:val="005F4BB2"/>
    <w:rsid w:val="005F4BC1"/>
    <w:rsid w:val="005F5433"/>
    <w:rsid w:val="005F5FBF"/>
    <w:rsid w:val="005F61D0"/>
    <w:rsid w:val="005F62FD"/>
    <w:rsid w:val="005F65CC"/>
    <w:rsid w:val="005F712C"/>
    <w:rsid w:val="00600F7B"/>
    <w:rsid w:val="00601C2F"/>
    <w:rsid w:val="006034A8"/>
    <w:rsid w:val="006034D9"/>
    <w:rsid w:val="00603D4A"/>
    <w:rsid w:val="00604A76"/>
    <w:rsid w:val="00604BC0"/>
    <w:rsid w:val="00605C5C"/>
    <w:rsid w:val="00606339"/>
    <w:rsid w:val="0060785F"/>
    <w:rsid w:val="006103CC"/>
    <w:rsid w:val="0061187D"/>
    <w:rsid w:val="00612CAE"/>
    <w:rsid w:val="00617AD3"/>
    <w:rsid w:val="006212C1"/>
    <w:rsid w:val="00621940"/>
    <w:rsid w:val="00622842"/>
    <w:rsid w:val="00622FFC"/>
    <w:rsid w:val="006235F2"/>
    <w:rsid w:val="0062458D"/>
    <w:rsid w:val="006246EF"/>
    <w:rsid w:val="00624FD6"/>
    <w:rsid w:val="006275E1"/>
    <w:rsid w:val="006277C6"/>
    <w:rsid w:val="00630447"/>
    <w:rsid w:val="00630892"/>
    <w:rsid w:val="00630B10"/>
    <w:rsid w:val="00631100"/>
    <w:rsid w:val="00632CBA"/>
    <w:rsid w:val="00633EBA"/>
    <w:rsid w:val="00633FAD"/>
    <w:rsid w:val="00634823"/>
    <w:rsid w:val="00634B9A"/>
    <w:rsid w:val="00635A10"/>
    <w:rsid w:val="00635BFB"/>
    <w:rsid w:val="00636432"/>
    <w:rsid w:val="00636E83"/>
    <w:rsid w:val="00637136"/>
    <w:rsid w:val="0063741F"/>
    <w:rsid w:val="00640A54"/>
    <w:rsid w:val="00640A8D"/>
    <w:rsid w:val="00641570"/>
    <w:rsid w:val="00641FF0"/>
    <w:rsid w:val="006423DE"/>
    <w:rsid w:val="00642BC4"/>
    <w:rsid w:val="00642BDB"/>
    <w:rsid w:val="006431B3"/>
    <w:rsid w:val="006447F2"/>
    <w:rsid w:val="00645EFE"/>
    <w:rsid w:val="00647DB6"/>
    <w:rsid w:val="0065044B"/>
    <w:rsid w:val="00650E9D"/>
    <w:rsid w:val="00650F74"/>
    <w:rsid w:val="0065155C"/>
    <w:rsid w:val="00652A15"/>
    <w:rsid w:val="00653153"/>
    <w:rsid w:val="00653C57"/>
    <w:rsid w:val="00653CEB"/>
    <w:rsid w:val="006540CD"/>
    <w:rsid w:val="006547D9"/>
    <w:rsid w:val="00655106"/>
    <w:rsid w:val="00655590"/>
    <w:rsid w:val="00657FF9"/>
    <w:rsid w:val="006607A4"/>
    <w:rsid w:val="006607B3"/>
    <w:rsid w:val="0066087B"/>
    <w:rsid w:val="00660F0B"/>
    <w:rsid w:val="00661432"/>
    <w:rsid w:val="00661792"/>
    <w:rsid w:val="00661BFC"/>
    <w:rsid w:val="006633ED"/>
    <w:rsid w:val="00663E2C"/>
    <w:rsid w:val="00664353"/>
    <w:rsid w:val="006659AE"/>
    <w:rsid w:val="00665C6D"/>
    <w:rsid w:val="00666B1F"/>
    <w:rsid w:val="00666F4A"/>
    <w:rsid w:val="00667B9A"/>
    <w:rsid w:val="0067007F"/>
    <w:rsid w:val="00670E55"/>
    <w:rsid w:val="00671FA2"/>
    <w:rsid w:val="00672515"/>
    <w:rsid w:val="00672A2B"/>
    <w:rsid w:val="006735B9"/>
    <w:rsid w:val="00674394"/>
    <w:rsid w:val="00674706"/>
    <w:rsid w:val="00674F73"/>
    <w:rsid w:val="00675226"/>
    <w:rsid w:val="00676238"/>
    <w:rsid w:val="00677504"/>
    <w:rsid w:val="00680B3A"/>
    <w:rsid w:val="00680C78"/>
    <w:rsid w:val="006812EC"/>
    <w:rsid w:val="006819AB"/>
    <w:rsid w:val="00681F7B"/>
    <w:rsid w:val="00682A03"/>
    <w:rsid w:val="006830F6"/>
    <w:rsid w:val="006832CE"/>
    <w:rsid w:val="0068341B"/>
    <w:rsid w:val="00683950"/>
    <w:rsid w:val="00684C8B"/>
    <w:rsid w:val="00685178"/>
    <w:rsid w:val="00685499"/>
    <w:rsid w:val="00685AF2"/>
    <w:rsid w:val="00685D72"/>
    <w:rsid w:val="00686960"/>
    <w:rsid w:val="00686B5A"/>
    <w:rsid w:val="00687157"/>
    <w:rsid w:val="0068787F"/>
    <w:rsid w:val="00690B57"/>
    <w:rsid w:val="00691770"/>
    <w:rsid w:val="00691BA6"/>
    <w:rsid w:val="00692A0C"/>
    <w:rsid w:val="00692C3C"/>
    <w:rsid w:val="00693FB8"/>
    <w:rsid w:val="00694B8B"/>
    <w:rsid w:val="006951C6"/>
    <w:rsid w:val="006963D9"/>
    <w:rsid w:val="00696822"/>
    <w:rsid w:val="00697198"/>
    <w:rsid w:val="0069731F"/>
    <w:rsid w:val="00697742"/>
    <w:rsid w:val="006A0318"/>
    <w:rsid w:val="006A1184"/>
    <w:rsid w:val="006A3289"/>
    <w:rsid w:val="006A3312"/>
    <w:rsid w:val="006A4022"/>
    <w:rsid w:val="006A4E3D"/>
    <w:rsid w:val="006A4E89"/>
    <w:rsid w:val="006A5DC2"/>
    <w:rsid w:val="006A73DE"/>
    <w:rsid w:val="006B068D"/>
    <w:rsid w:val="006B0E18"/>
    <w:rsid w:val="006B1FC9"/>
    <w:rsid w:val="006B26A1"/>
    <w:rsid w:val="006B2E9F"/>
    <w:rsid w:val="006B3139"/>
    <w:rsid w:val="006B39D8"/>
    <w:rsid w:val="006B3EA6"/>
    <w:rsid w:val="006B430D"/>
    <w:rsid w:val="006B48BC"/>
    <w:rsid w:val="006B5369"/>
    <w:rsid w:val="006B5E64"/>
    <w:rsid w:val="006B6431"/>
    <w:rsid w:val="006B6E1C"/>
    <w:rsid w:val="006B75A8"/>
    <w:rsid w:val="006B7B8C"/>
    <w:rsid w:val="006C029F"/>
    <w:rsid w:val="006C1F18"/>
    <w:rsid w:val="006C2897"/>
    <w:rsid w:val="006C293C"/>
    <w:rsid w:val="006C2DC6"/>
    <w:rsid w:val="006C3455"/>
    <w:rsid w:val="006C43AE"/>
    <w:rsid w:val="006C4F57"/>
    <w:rsid w:val="006C54B3"/>
    <w:rsid w:val="006C5B71"/>
    <w:rsid w:val="006C7C1F"/>
    <w:rsid w:val="006D34C4"/>
    <w:rsid w:val="006D39AE"/>
    <w:rsid w:val="006D43D9"/>
    <w:rsid w:val="006D5B35"/>
    <w:rsid w:val="006D5E76"/>
    <w:rsid w:val="006D5FFF"/>
    <w:rsid w:val="006E10FB"/>
    <w:rsid w:val="006E1471"/>
    <w:rsid w:val="006E16A0"/>
    <w:rsid w:val="006E23F9"/>
    <w:rsid w:val="006E3385"/>
    <w:rsid w:val="006E5137"/>
    <w:rsid w:val="006E575D"/>
    <w:rsid w:val="006E5A54"/>
    <w:rsid w:val="006E67DC"/>
    <w:rsid w:val="006E71FF"/>
    <w:rsid w:val="006E78F8"/>
    <w:rsid w:val="006E7B88"/>
    <w:rsid w:val="006F08CC"/>
    <w:rsid w:val="006F0E6B"/>
    <w:rsid w:val="006F0E8D"/>
    <w:rsid w:val="006F0FCE"/>
    <w:rsid w:val="006F2165"/>
    <w:rsid w:val="006F231B"/>
    <w:rsid w:val="006F31B3"/>
    <w:rsid w:val="006F39CF"/>
    <w:rsid w:val="006F57CB"/>
    <w:rsid w:val="006F5E57"/>
    <w:rsid w:val="006F6BE2"/>
    <w:rsid w:val="006F6F5E"/>
    <w:rsid w:val="0070025E"/>
    <w:rsid w:val="007017E6"/>
    <w:rsid w:val="00704285"/>
    <w:rsid w:val="007047B0"/>
    <w:rsid w:val="007048EA"/>
    <w:rsid w:val="00704E6D"/>
    <w:rsid w:val="00705619"/>
    <w:rsid w:val="007065D7"/>
    <w:rsid w:val="00706B9E"/>
    <w:rsid w:val="00706BB8"/>
    <w:rsid w:val="007072EF"/>
    <w:rsid w:val="007075EF"/>
    <w:rsid w:val="00710D36"/>
    <w:rsid w:val="00711307"/>
    <w:rsid w:val="0071172D"/>
    <w:rsid w:val="00711A8E"/>
    <w:rsid w:val="00711C58"/>
    <w:rsid w:val="00711E92"/>
    <w:rsid w:val="007120C6"/>
    <w:rsid w:val="007126A9"/>
    <w:rsid w:val="00713DE1"/>
    <w:rsid w:val="00714B36"/>
    <w:rsid w:val="007159E9"/>
    <w:rsid w:val="00716C2D"/>
    <w:rsid w:val="0071717C"/>
    <w:rsid w:val="00717D34"/>
    <w:rsid w:val="00720A8D"/>
    <w:rsid w:val="007210EA"/>
    <w:rsid w:val="00722581"/>
    <w:rsid w:val="007231C1"/>
    <w:rsid w:val="007237E1"/>
    <w:rsid w:val="00725139"/>
    <w:rsid w:val="00726C17"/>
    <w:rsid w:val="00730C83"/>
    <w:rsid w:val="0073158E"/>
    <w:rsid w:val="00731AB3"/>
    <w:rsid w:val="00733746"/>
    <w:rsid w:val="007340B7"/>
    <w:rsid w:val="00734222"/>
    <w:rsid w:val="0073438F"/>
    <w:rsid w:val="007351A4"/>
    <w:rsid w:val="00735F4A"/>
    <w:rsid w:val="00737306"/>
    <w:rsid w:val="00737BAB"/>
    <w:rsid w:val="00737BCE"/>
    <w:rsid w:val="00741EE0"/>
    <w:rsid w:val="00741F86"/>
    <w:rsid w:val="00742D52"/>
    <w:rsid w:val="00744BB1"/>
    <w:rsid w:val="00744DD0"/>
    <w:rsid w:val="00746DD3"/>
    <w:rsid w:val="00747262"/>
    <w:rsid w:val="007474E5"/>
    <w:rsid w:val="007504EA"/>
    <w:rsid w:val="007509D0"/>
    <w:rsid w:val="00750E20"/>
    <w:rsid w:val="00750FA3"/>
    <w:rsid w:val="00751BE8"/>
    <w:rsid w:val="00752419"/>
    <w:rsid w:val="007525F6"/>
    <w:rsid w:val="007528F2"/>
    <w:rsid w:val="00752B03"/>
    <w:rsid w:val="007533DC"/>
    <w:rsid w:val="00753A6D"/>
    <w:rsid w:val="0075479E"/>
    <w:rsid w:val="007559A0"/>
    <w:rsid w:val="00755C16"/>
    <w:rsid w:val="0075659C"/>
    <w:rsid w:val="00757AE6"/>
    <w:rsid w:val="00760C66"/>
    <w:rsid w:val="00761215"/>
    <w:rsid w:val="007615EC"/>
    <w:rsid w:val="00761992"/>
    <w:rsid w:val="00761ED0"/>
    <w:rsid w:val="00762DAB"/>
    <w:rsid w:val="0076427E"/>
    <w:rsid w:val="00764BAD"/>
    <w:rsid w:val="007665E9"/>
    <w:rsid w:val="00766F8B"/>
    <w:rsid w:val="00767265"/>
    <w:rsid w:val="00773699"/>
    <w:rsid w:val="00773CF8"/>
    <w:rsid w:val="0077438B"/>
    <w:rsid w:val="0077487F"/>
    <w:rsid w:val="0077557D"/>
    <w:rsid w:val="00775E73"/>
    <w:rsid w:val="007760F6"/>
    <w:rsid w:val="0077665C"/>
    <w:rsid w:val="00777A99"/>
    <w:rsid w:val="00777B2F"/>
    <w:rsid w:val="007806D1"/>
    <w:rsid w:val="0078109B"/>
    <w:rsid w:val="0078172B"/>
    <w:rsid w:val="00781760"/>
    <w:rsid w:val="00782014"/>
    <w:rsid w:val="0078216C"/>
    <w:rsid w:val="007822BE"/>
    <w:rsid w:val="00783190"/>
    <w:rsid w:val="00783F78"/>
    <w:rsid w:val="00785347"/>
    <w:rsid w:val="0078615F"/>
    <w:rsid w:val="00787C6F"/>
    <w:rsid w:val="0079038F"/>
    <w:rsid w:val="00790A62"/>
    <w:rsid w:val="0079171B"/>
    <w:rsid w:val="007928B2"/>
    <w:rsid w:val="00792D45"/>
    <w:rsid w:val="00793160"/>
    <w:rsid w:val="00793F7F"/>
    <w:rsid w:val="00794C01"/>
    <w:rsid w:val="00795733"/>
    <w:rsid w:val="00795F11"/>
    <w:rsid w:val="007963B7"/>
    <w:rsid w:val="007A0618"/>
    <w:rsid w:val="007A318A"/>
    <w:rsid w:val="007A345A"/>
    <w:rsid w:val="007A3978"/>
    <w:rsid w:val="007A428F"/>
    <w:rsid w:val="007A4A96"/>
    <w:rsid w:val="007A5DF7"/>
    <w:rsid w:val="007A5EAC"/>
    <w:rsid w:val="007B02EF"/>
    <w:rsid w:val="007B0848"/>
    <w:rsid w:val="007B11F1"/>
    <w:rsid w:val="007B19B9"/>
    <w:rsid w:val="007B22D6"/>
    <w:rsid w:val="007B30C4"/>
    <w:rsid w:val="007B4342"/>
    <w:rsid w:val="007B4590"/>
    <w:rsid w:val="007B58DE"/>
    <w:rsid w:val="007B6093"/>
    <w:rsid w:val="007B65FD"/>
    <w:rsid w:val="007C082B"/>
    <w:rsid w:val="007C0DCE"/>
    <w:rsid w:val="007C219F"/>
    <w:rsid w:val="007C278B"/>
    <w:rsid w:val="007C2D61"/>
    <w:rsid w:val="007C3DAD"/>
    <w:rsid w:val="007C4EDA"/>
    <w:rsid w:val="007C53D3"/>
    <w:rsid w:val="007C5958"/>
    <w:rsid w:val="007C5D6F"/>
    <w:rsid w:val="007C5EF6"/>
    <w:rsid w:val="007C6689"/>
    <w:rsid w:val="007C6D45"/>
    <w:rsid w:val="007C7F44"/>
    <w:rsid w:val="007D12B1"/>
    <w:rsid w:val="007D4E67"/>
    <w:rsid w:val="007D5397"/>
    <w:rsid w:val="007D76C1"/>
    <w:rsid w:val="007D7A9F"/>
    <w:rsid w:val="007E06F8"/>
    <w:rsid w:val="007E12E3"/>
    <w:rsid w:val="007E1C16"/>
    <w:rsid w:val="007E273B"/>
    <w:rsid w:val="007E2E72"/>
    <w:rsid w:val="007E3DA1"/>
    <w:rsid w:val="007E52C8"/>
    <w:rsid w:val="007E648F"/>
    <w:rsid w:val="007E6705"/>
    <w:rsid w:val="007F0232"/>
    <w:rsid w:val="007F15FF"/>
    <w:rsid w:val="007F195E"/>
    <w:rsid w:val="007F3377"/>
    <w:rsid w:val="007F386F"/>
    <w:rsid w:val="007F473B"/>
    <w:rsid w:val="007F5110"/>
    <w:rsid w:val="007F533B"/>
    <w:rsid w:val="007F5955"/>
    <w:rsid w:val="007F661E"/>
    <w:rsid w:val="007F6665"/>
    <w:rsid w:val="007F67E2"/>
    <w:rsid w:val="007F6F09"/>
    <w:rsid w:val="00800822"/>
    <w:rsid w:val="00800887"/>
    <w:rsid w:val="008010CE"/>
    <w:rsid w:val="00802E7E"/>
    <w:rsid w:val="00803136"/>
    <w:rsid w:val="008043E1"/>
    <w:rsid w:val="00805B45"/>
    <w:rsid w:val="0080633E"/>
    <w:rsid w:val="00806708"/>
    <w:rsid w:val="008072B5"/>
    <w:rsid w:val="00807ADA"/>
    <w:rsid w:val="00810B83"/>
    <w:rsid w:val="00811870"/>
    <w:rsid w:val="0081249A"/>
    <w:rsid w:val="00812925"/>
    <w:rsid w:val="00812FCE"/>
    <w:rsid w:val="00813435"/>
    <w:rsid w:val="00814D0B"/>
    <w:rsid w:val="00815339"/>
    <w:rsid w:val="00816057"/>
    <w:rsid w:val="00816736"/>
    <w:rsid w:val="0081741F"/>
    <w:rsid w:val="00817664"/>
    <w:rsid w:val="008179E3"/>
    <w:rsid w:val="00820434"/>
    <w:rsid w:val="00820823"/>
    <w:rsid w:val="0082087A"/>
    <w:rsid w:val="00820FD7"/>
    <w:rsid w:val="00822A32"/>
    <w:rsid w:val="00823427"/>
    <w:rsid w:val="008243D3"/>
    <w:rsid w:val="00824453"/>
    <w:rsid w:val="00824817"/>
    <w:rsid w:val="00824A49"/>
    <w:rsid w:val="00825082"/>
    <w:rsid w:val="008250A7"/>
    <w:rsid w:val="00825580"/>
    <w:rsid w:val="00826E38"/>
    <w:rsid w:val="0082779B"/>
    <w:rsid w:val="00827ECE"/>
    <w:rsid w:val="00830BF2"/>
    <w:rsid w:val="0083195B"/>
    <w:rsid w:val="00831A42"/>
    <w:rsid w:val="0083291C"/>
    <w:rsid w:val="008334B5"/>
    <w:rsid w:val="00833611"/>
    <w:rsid w:val="00833984"/>
    <w:rsid w:val="00833E3A"/>
    <w:rsid w:val="00833FD1"/>
    <w:rsid w:val="00834230"/>
    <w:rsid w:val="0083483E"/>
    <w:rsid w:val="00835065"/>
    <w:rsid w:val="0083652D"/>
    <w:rsid w:val="00837AA6"/>
    <w:rsid w:val="00837D38"/>
    <w:rsid w:val="0084011D"/>
    <w:rsid w:val="00840ECD"/>
    <w:rsid w:val="0084152D"/>
    <w:rsid w:val="00842020"/>
    <w:rsid w:val="00842FA3"/>
    <w:rsid w:val="0084340C"/>
    <w:rsid w:val="008434D1"/>
    <w:rsid w:val="008456A2"/>
    <w:rsid w:val="00851127"/>
    <w:rsid w:val="00851D11"/>
    <w:rsid w:val="0085226A"/>
    <w:rsid w:val="00852AFA"/>
    <w:rsid w:val="0085464B"/>
    <w:rsid w:val="008547B6"/>
    <w:rsid w:val="00854E23"/>
    <w:rsid w:val="00855B50"/>
    <w:rsid w:val="00860629"/>
    <w:rsid w:val="008607E8"/>
    <w:rsid w:val="00860907"/>
    <w:rsid w:val="0086237D"/>
    <w:rsid w:val="00862903"/>
    <w:rsid w:val="008634DA"/>
    <w:rsid w:val="00864FC1"/>
    <w:rsid w:val="00865655"/>
    <w:rsid w:val="00866194"/>
    <w:rsid w:val="008661BE"/>
    <w:rsid w:val="00866DF7"/>
    <w:rsid w:val="0086799B"/>
    <w:rsid w:val="00870BE2"/>
    <w:rsid w:val="008714CA"/>
    <w:rsid w:val="008724E0"/>
    <w:rsid w:val="00873B69"/>
    <w:rsid w:val="00875548"/>
    <w:rsid w:val="00875A6A"/>
    <w:rsid w:val="0087620B"/>
    <w:rsid w:val="00876CA4"/>
    <w:rsid w:val="00877399"/>
    <w:rsid w:val="0087748C"/>
    <w:rsid w:val="008774F0"/>
    <w:rsid w:val="00880147"/>
    <w:rsid w:val="00880D10"/>
    <w:rsid w:val="0088126B"/>
    <w:rsid w:val="008814CC"/>
    <w:rsid w:val="008823AB"/>
    <w:rsid w:val="008825BF"/>
    <w:rsid w:val="00883DCB"/>
    <w:rsid w:val="00884809"/>
    <w:rsid w:val="00885B9E"/>
    <w:rsid w:val="008863D7"/>
    <w:rsid w:val="00886583"/>
    <w:rsid w:val="0088687D"/>
    <w:rsid w:val="008876BE"/>
    <w:rsid w:val="00887911"/>
    <w:rsid w:val="00890913"/>
    <w:rsid w:val="0089285F"/>
    <w:rsid w:val="00893340"/>
    <w:rsid w:val="00893742"/>
    <w:rsid w:val="00893A84"/>
    <w:rsid w:val="00894F20"/>
    <w:rsid w:val="00895039"/>
    <w:rsid w:val="008951B2"/>
    <w:rsid w:val="00895394"/>
    <w:rsid w:val="00896296"/>
    <w:rsid w:val="008975E2"/>
    <w:rsid w:val="00897B8D"/>
    <w:rsid w:val="008A00B7"/>
    <w:rsid w:val="008A0BB7"/>
    <w:rsid w:val="008A1062"/>
    <w:rsid w:val="008A17FC"/>
    <w:rsid w:val="008A1BE0"/>
    <w:rsid w:val="008A3384"/>
    <w:rsid w:val="008A3AFF"/>
    <w:rsid w:val="008A4EC0"/>
    <w:rsid w:val="008A5019"/>
    <w:rsid w:val="008A6E73"/>
    <w:rsid w:val="008A6EE8"/>
    <w:rsid w:val="008A7EAE"/>
    <w:rsid w:val="008B151B"/>
    <w:rsid w:val="008B1521"/>
    <w:rsid w:val="008B2723"/>
    <w:rsid w:val="008B3292"/>
    <w:rsid w:val="008B38A2"/>
    <w:rsid w:val="008B49E6"/>
    <w:rsid w:val="008B6244"/>
    <w:rsid w:val="008C0E65"/>
    <w:rsid w:val="008C1D3B"/>
    <w:rsid w:val="008C76AF"/>
    <w:rsid w:val="008C7D24"/>
    <w:rsid w:val="008C7DA2"/>
    <w:rsid w:val="008D028F"/>
    <w:rsid w:val="008D782F"/>
    <w:rsid w:val="008D7910"/>
    <w:rsid w:val="008D7A89"/>
    <w:rsid w:val="008E3E50"/>
    <w:rsid w:val="008E4144"/>
    <w:rsid w:val="008E4217"/>
    <w:rsid w:val="008E61D4"/>
    <w:rsid w:val="008E6AA0"/>
    <w:rsid w:val="008E6CE5"/>
    <w:rsid w:val="008E720B"/>
    <w:rsid w:val="008E7301"/>
    <w:rsid w:val="008E7763"/>
    <w:rsid w:val="008E7832"/>
    <w:rsid w:val="008F0386"/>
    <w:rsid w:val="008F104B"/>
    <w:rsid w:val="008F26AF"/>
    <w:rsid w:val="008F26CD"/>
    <w:rsid w:val="008F2DB4"/>
    <w:rsid w:val="008F451C"/>
    <w:rsid w:val="008F4FE3"/>
    <w:rsid w:val="008F5F62"/>
    <w:rsid w:val="008F647F"/>
    <w:rsid w:val="008F6CC3"/>
    <w:rsid w:val="008F6D2C"/>
    <w:rsid w:val="008F7480"/>
    <w:rsid w:val="008F7725"/>
    <w:rsid w:val="00900366"/>
    <w:rsid w:val="00900478"/>
    <w:rsid w:val="00900FF5"/>
    <w:rsid w:val="009021DA"/>
    <w:rsid w:val="0090405A"/>
    <w:rsid w:val="00905A57"/>
    <w:rsid w:val="0090715F"/>
    <w:rsid w:val="00910234"/>
    <w:rsid w:val="00911453"/>
    <w:rsid w:val="0091232F"/>
    <w:rsid w:val="009123FD"/>
    <w:rsid w:val="00912A54"/>
    <w:rsid w:val="009134CF"/>
    <w:rsid w:val="00913575"/>
    <w:rsid w:val="00913E76"/>
    <w:rsid w:val="0091484B"/>
    <w:rsid w:val="0091503F"/>
    <w:rsid w:val="00916204"/>
    <w:rsid w:val="00917224"/>
    <w:rsid w:val="00920772"/>
    <w:rsid w:val="00920FDC"/>
    <w:rsid w:val="00922697"/>
    <w:rsid w:val="009226E5"/>
    <w:rsid w:val="00922D8C"/>
    <w:rsid w:val="00924407"/>
    <w:rsid w:val="0092441E"/>
    <w:rsid w:val="009249C2"/>
    <w:rsid w:val="0092516B"/>
    <w:rsid w:val="0092601C"/>
    <w:rsid w:val="009272EC"/>
    <w:rsid w:val="00930280"/>
    <w:rsid w:val="00930C95"/>
    <w:rsid w:val="00931D7B"/>
    <w:rsid w:val="00932CC4"/>
    <w:rsid w:val="00932CD1"/>
    <w:rsid w:val="009338CB"/>
    <w:rsid w:val="009345D0"/>
    <w:rsid w:val="00934825"/>
    <w:rsid w:val="0093511C"/>
    <w:rsid w:val="0093542D"/>
    <w:rsid w:val="009368DA"/>
    <w:rsid w:val="00937EFB"/>
    <w:rsid w:val="00940C31"/>
    <w:rsid w:val="00941255"/>
    <w:rsid w:val="00941533"/>
    <w:rsid w:val="00941CF3"/>
    <w:rsid w:val="00942470"/>
    <w:rsid w:val="0094262C"/>
    <w:rsid w:val="00942659"/>
    <w:rsid w:val="00942E2B"/>
    <w:rsid w:val="00943647"/>
    <w:rsid w:val="00944E53"/>
    <w:rsid w:val="009457EF"/>
    <w:rsid w:val="00945BEF"/>
    <w:rsid w:val="00945C81"/>
    <w:rsid w:val="0094687A"/>
    <w:rsid w:val="00946AEA"/>
    <w:rsid w:val="0094722A"/>
    <w:rsid w:val="00947F41"/>
    <w:rsid w:val="00950062"/>
    <w:rsid w:val="00950B08"/>
    <w:rsid w:val="0095346D"/>
    <w:rsid w:val="00953ABE"/>
    <w:rsid w:val="00954011"/>
    <w:rsid w:val="00954834"/>
    <w:rsid w:val="009554DE"/>
    <w:rsid w:val="00955F37"/>
    <w:rsid w:val="009566A8"/>
    <w:rsid w:val="00957A91"/>
    <w:rsid w:val="00960869"/>
    <w:rsid w:val="009638D7"/>
    <w:rsid w:val="0096446D"/>
    <w:rsid w:val="00964515"/>
    <w:rsid w:val="00964DBA"/>
    <w:rsid w:val="00965474"/>
    <w:rsid w:val="009655E2"/>
    <w:rsid w:val="009662D3"/>
    <w:rsid w:val="00967E80"/>
    <w:rsid w:val="00972910"/>
    <w:rsid w:val="0097350D"/>
    <w:rsid w:val="00973548"/>
    <w:rsid w:val="00973866"/>
    <w:rsid w:val="00973AC5"/>
    <w:rsid w:val="0097447F"/>
    <w:rsid w:val="00974632"/>
    <w:rsid w:val="00975AAC"/>
    <w:rsid w:val="00975C13"/>
    <w:rsid w:val="009764B9"/>
    <w:rsid w:val="0097663B"/>
    <w:rsid w:val="0097758F"/>
    <w:rsid w:val="00980B15"/>
    <w:rsid w:val="00981DB6"/>
    <w:rsid w:val="00982088"/>
    <w:rsid w:val="00983765"/>
    <w:rsid w:val="009852AE"/>
    <w:rsid w:val="00985649"/>
    <w:rsid w:val="009860C1"/>
    <w:rsid w:val="0099097F"/>
    <w:rsid w:val="00992632"/>
    <w:rsid w:val="00992CA5"/>
    <w:rsid w:val="00992F70"/>
    <w:rsid w:val="00994606"/>
    <w:rsid w:val="009949BF"/>
    <w:rsid w:val="00994AB3"/>
    <w:rsid w:val="00994B6A"/>
    <w:rsid w:val="0099526A"/>
    <w:rsid w:val="00995B9C"/>
    <w:rsid w:val="00997373"/>
    <w:rsid w:val="00997784"/>
    <w:rsid w:val="009978FA"/>
    <w:rsid w:val="009A09D9"/>
    <w:rsid w:val="009A0B9C"/>
    <w:rsid w:val="009A0D8F"/>
    <w:rsid w:val="009A1640"/>
    <w:rsid w:val="009A1A63"/>
    <w:rsid w:val="009A1F8E"/>
    <w:rsid w:val="009A23B1"/>
    <w:rsid w:val="009A284C"/>
    <w:rsid w:val="009A2B3A"/>
    <w:rsid w:val="009A47FB"/>
    <w:rsid w:val="009A4AD4"/>
    <w:rsid w:val="009A6E95"/>
    <w:rsid w:val="009A7519"/>
    <w:rsid w:val="009B10BC"/>
    <w:rsid w:val="009B1906"/>
    <w:rsid w:val="009B2363"/>
    <w:rsid w:val="009B3333"/>
    <w:rsid w:val="009B3401"/>
    <w:rsid w:val="009B3A9E"/>
    <w:rsid w:val="009B5D8C"/>
    <w:rsid w:val="009B75D3"/>
    <w:rsid w:val="009B7FBC"/>
    <w:rsid w:val="009C3346"/>
    <w:rsid w:val="009C3403"/>
    <w:rsid w:val="009C4004"/>
    <w:rsid w:val="009C51B3"/>
    <w:rsid w:val="009C5523"/>
    <w:rsid w:val="009C615F"/>
    <w:rsid w:val="009C6370"/>
    <w:rsid w:val="009C67CB"/>
    <w:rsid w:val="009D0796"/>
    <w:rsid w:val="009D0C64"/>
    <w:rsid w:val="009D1066"/>
    <w:rsid w:val="009D141E"/>
    <w:rsid w:val="009D19A3"/>
    <w:rsid w:val="009D19F2"/>
    <w:rsid w:val="009D38C7"/>
    <w:rsid w:val="009D3E51"/>
    <w:rsid w:val="009D414A"/>
    <w:rsid w:val="009D44FF"/>
    <w:rsid w:val="009D55DA"/>
    <w:rsid w:val="009D6EC3"/>
    <w:rsid w:val="009D6F01"/>
    <w:rsid w:val="009D71FF"/>
    <w:rsid w:val="009D72FF"/>
    <w:rsid w:val="009E0EE2"/>
    <w:rsid w:val="009E183C"/>
    <w:rsid w:val="009E20D7"/>
    <w:rsid w:val="009E29DC"/>
    <w:rsid w:val="009E3556"/>
    <w:rsid w:val="009E35C3"/>
    <w:rsid w:val="009E37C7"/>
    <w:rsid w:val="009E4112"/>
    <w:rsid w:val="009E475F"/>
    <w:rsid w:val="009E56DB"/>
    <w:rsid w:val="009E6032"/>
    <w:rsid w:val="009E6196"/>
    <w:rsid w:val="009E77D8"/>
    <w:rsid w:val="009F0221"/>
    <w:rsid w:val="009F045D"/>
    <w:rsid w:val="009F0C94"/>
    <w:rsid w:val="009F0E5B"/>
    <w:rsid w:val="009F1604"/>
    <w:rsid w:val="009F2661"/>
    <w:rsid w:val="009F3489"/>
    <w:rsid w:val="009F3D13"/>
    <w:rsid w:val="009F7689"/>
    <w:rsid w:val="00A0243C"/>
    <w:rsid w:val="00A046BF"/>
    <w:rsid w:val="00A06385"/>
    <w:rsid w:val="00A06A7C"/>
    <w:rsid w:val="00A074E9"/>
    <w:rsid w:val="00A07534"/>
    <w:rsid w:val="00A122BD"/>
    <w:rsid w:val="00A124F4"/>
    <w:rsid w:val="00A13408"/>
    <w:rsid w:val="00A13655"/>
    <w:rsid w:val="00A145A5"/>
    <w:rsid w:val="00A14EA4"/>
    <w:rsid w:val="00A157A4"/>
    <w:rsid w:val="00A15F0F"/>
    <w:rsid w:val="00A17488"/>
    <w:rsid w:val="00A234F5"/>
    <w:rsid w:val="00A237C5"/>
    <w:rsid w:val="00A24309"/>
    <w:rsid w:val="00A249A9"/>
    <w:rsid w:val="00A251D8"/>
    <w:rsid w:val="00A2555A"/>
    <w:rsid w:val="00A265E5"/>
    <w:rsid w:val="00A27572"/>
    <w:rsid w:val="00A275E4"/>
    <w:rsid w:val="00A30173"/>
    <w:rsid w:val="00A30312"/>
    <w:rsid w:val="00A30A4A"/>
    <w:rsid w:val="00A30E5B"/>
    <w:rsid w:val="00A324C3"/>
    <w:rsid w:val="00A3287F"/>
    <w:rsid w:val="00A32A33"/>
    <w:rsid w:val="00A32BFC"/>
    <w:rsid w:val="00A32ECA"/>
    <w:rsid w:val="00A32FC0"/>
    <w:rsid w:val="00A33F4D"/>
    <w:rsid w:val="00A344F0"/>
    <w:rsid w:val="00A35C87"/>
    <w:rsid w:val="00A37297"/>
    <w:rsid w:val="00A4015B"/>
    <w:rsid w:val="00A41EC1"/>
    <w:rsid w:val="00A4257A"/>
    <w:rsid w:val="00A42A88"/>
    <w:rsid w:val="00A42BC8"/>
    <w:rsid w:val="00A430BB"/>
    <w:rsid w:val="00A43A4E"/>
    <w:rsid w:val="00A453BC"/>
    <w:rsid w:val="00A4569C"/>
    <w:rsid w:val="00A45775"/>
    <w:rsid w:val="00A4651A"/>
    <w:rsid w:val="00A46697"/>
    <w:rsid w:val="00A466C2"/>
    <w:rsid w:val="00A47980"/>
    <w:rsid w:val="00A500E3"/>
    <w:rsid w:val="00A5031C"/>
    <w:rsid w:val="00A51086"/>
    <w:rsid w:val="00A5184B"/>
    <w:rsid w:val="00A52013"/>
    <w:rsid w:val="00A52200"/>
    <w:rsid w:val="00A53326"/>
    <w:rsid w:val="00A53AA2"/>
    <w:rsid w:val="00A53BD3"/>
    <w:rsid w:val="00A542CD"/>
    <w:rsid w:val="00A547EB"/>
    <w:rsid w:val="00A54E24"/>
    <w:rsid w:val="00A55C85"/>
    <w:rsid w:val="00A60C73"/>
    <w:rsid w:val="00A610C4"/>
    <w:rsid w:val="00A613FA"/>
    <w:rsid w:val="00A62191"/>
    <w:rsid w:val="00A65BAD"/>
    <w:rsid w:val="00A65F72"/>
    <w:rsid w:val="00A664A4"/>
    <w:rsid w:val="00A67E99"/>
    <w:rsid w:val="00A71A47"/>
    <w:rsid w:val="00A7236B"/>
    <w:rsid w:val="00A72640"/>
    <w:rsid w:val="00A729C2"/>
    <w:rsid w:val="00A73C6D"/>
    <w:rsid w:val="00A7473F"/>
    <w:rsid w:val="00A75020"/>
    <w:rsid w:val="00A75CD9"/>
    <w:rsid w:val="00A75DAA"/>
    <w:rsid w:val="00A75F8F"/>
    <w:rsid w:val="00A75FDA"/>
    <w:rsid w:val="00A76B8D"/>
    <w:rsid w:val="00A76EC3"/>
    <w:rsid w:val="00A771D5"/>
    <w:rsid w:val="00A77552"/>
    <w:rsid w:val="00A77824"/>
    <w:rsid w:val="00A8018D"/>
    <w:rsid w:val="00A8109F"/>
    <w:rsid w:val="00A813D4"/>
    <w:rsid w:val="00A81690"/>
    <w:rsid w:val="00A817D8"/>
    <w:rsid w:val="00A82817"/>
    <w:rsid w:val="00A82A33"/>
    <w:rsid w:val="00A8356D"/>
    <w:rsid w:val="00A83A66"/>
    <w:rsid w:val="00A83F2D"/>
    <w:rsid w:val="00A84140"/>
    <w:rsid w:val="00A846C9"/>
    <w:rsid w:val="00A84D2B"/>
    <w:rsid w:val="00A85287"/>
    <w:rsid w:val="00A85787"/>
    <w:rsid w:val="00A877E4"/>
    <w:rsid w:val="00A91DA9"/>
    <w:rsid w:val="00A929C7"/>
    <w:rsid w:val="00A93591"/>
    <w:rsid w:val="00A948A1"/>
    <w:rsid w:val="00A94CE3"/>
    <w:rsid w:val="00A95250"/>
    <w:rsid w:val="00A95573"/>
    <w:rsid w:val="00A9570C"/>
    <w:rsid w:val="00A95A9E"/>
    <w:rsid w:val="00A97462"/>
    <w:rsid w:val="00AA0445"/>
    <w:rsid w:val="00AA05BD"/>
    <w:rsid w:val="00AA0EAB"/>
    <w:rsid w:val="00AA1285"/>
    <w:rsid w:val="00AA2FE2"/>
    <w:rsid w:val="00AA3622"/>
    <w:rsid w:val="00AA3874"/>
    <w:rsid w:val="00AA448D"/>
    <w:rsid w:val="00AA481F"/>
    <w:rsid w:val="00AA55DF"/>
    <w:rsid w:val="00AA562B"/>
    <w:rsid w:val="00AA664D"/>
    <w:rsid w:val="00AA7522"/>
    <w:rsid w:val="00AB0E2B"/>
    <w:rsid w:val="00AB0E7F"/>
    <w:rsid w:val="00AB158C"/>
    <w:rsid w:val="00AB1CA2"/>
    <w:rsid w:val="00AB3285"/>
    <w:rsid w:val="00AB3EAA"/>
    <w:rsid w:val="00AB4307"/>
    <w:rsid w:val="00AB4540"/>
    <w:rsid w:val="00AB529C"/>
    <w:rsid w:val="00AB5579"/>
    <w:rsid w:val="00AB75C2"/>
    <w:rsid w:val="00AB78FE"/>
    <w:rsid w:val="00AB7D1C"/>
    <w:rsid w:val="00AC03F5"/>
    <w:rsid w:val="00AC160F"/>
    <w:rsid w:val="00AC656A"/>
    <w:rsid w:val="00AC6E1C"/>
    <w:rsid w:val="00AC709F"/>
    <w:rsid w:val="00AC78CD"/>
    <w:rsid w:val="00AC7901"/>
    <w:rsid w:val="00AC7D85"/>
    <w:rsid w:val="00AC7DB2"/>
    <w:rsid w:val="00AD0A22"/>
    <w:rsid w:val="00AD1282"/>
    <w:rsid w:val="00AD1D99"/>
    <w:rsid w:val="00AD2EBB"/>
    <w:rsid w:val="00AD3711"/>
    <w:rsid w:val="00AD387E"/>
    <w:rsid w:val="00AD3D22"/>
    <w:rsid w:val="00AD4AFE"/>
    <w:rsid w:val="00AD4D79"/>
    <w:rsid w:val="00AD62FF"/>
    <w:rsid w:val="00AD69AA"/>
    <w:rsid w:val="00AD74C4"/>
    <w:rsid w:val="00AE1420"/>
    <w:rsid w:val="00AE1658"/>
    <w:rsid w:val="00AE1BF6"/>
    <w:rsid w:val="00AE23FB"/>
    <w:rsid w:val="00AE2C4C"/>
    <w:rsid w:val="00AE2CBC"/>
    <w:rsid w:val="00AE2D50"/>
    <w:rsid w:val="00AE3767"/>
    <w:rsid w:val="00AE56EC"/>
    <w:rsid w:val="00AE7C9C"/>
    <w:rsid w:val="00AF088A"/>
    <w:rsid w:val="00AF08E5"/>
    <w:rsid w:val="00AF105C"/>
    <w:rsid w:val="00AF10F7"/>
    <w:rsid w:val="00AF3903"/>
    <w:rsid w:val="00AF3C40"/>
    <w:rsid w:val="00AF4F98"/>
    <w:rsid w:val="00AF56E4"/>
    <w:rsid w:val="00AF67A6"/>
    <w:rsid w:val="00AF6F2D"/>
    <w:rsid w:val="00B00724"/>
    <w:rsid w:val="00B017AE"/>
    <w:rsid w:val="00B01BD2"/>
    <w:rsid w:val="00B06A8E"/>
    <w:rsid w:val="00B06D5D"/>
    <w:rsid w:val="00B0757A"/>
    <w:rsid w:val="00B10D1A"/>
    <w:rsid w:val="00B11BB2"/>
    <w:rsid w:val="00B12E33"/>
    <w:rsid w:val="00B13637"/>
    <w:rsid w:val="00B142B4"/>
    <w:rsid w:val="00B14AC1"/>
    <w:rsid w:val="00B150E6"/>
    <w:rsid w:val="00B15608"/>
    <w:rsid w:val="00B15D94"/>
    <w:rsid w:val="00B16054"/>
    <w:rsid w:val="00B161FA"/>
    <w:rsid w:val="00B20A7E"/>
    <w:rsid w:val="00B20F1E"/>
    <w:rsid w:val="00B21BB1"/>
    <w:rsid w:val="00B2234A"/>
    <w:rsid w:val="00B22E44"/>
    <w:rsid w:val="00B24035"/>
    <w:rsid w:val="00B24085"/>
    <w:rsid w:val="00B241BC"/>
    <w:rsid w:val="00B247E4"/>
    <w:rsid w:val="00B25016"/>
    <w:rsid w:val="00B25FD7"/>
    <w:rsid w:val="00B2646B"/>
    <w:rsid w:val="00B27187"/>
    <w:rsid w:val="00B30FF2"/>
    <w:rsid w:val="00B31293"/>
    <w:rsid w:val="00B31766"/>
    <w:rsid w:val="00B319F8"/>
    <w:rsid w:val="00B32C65"/>
    <w:rsid w:val="00B33266"/>
    <w:rsid w:val="00B3500B"/>
    <w:rsid w:val="00B3507A"/>
    <w:rsid w:val="00B358AD"/>
    <w:rsid w:val="00B35999"/>
    <w:rsid w:val="00B36B9A"/>
    <w:rsid w:val="00B3729E"/>
    <w:rsid w:val="00B37B66"/>
    <w:rsid w:val="00B4021D"/>
    <w:rsid w:val="00B41344"/>
    <w:rsid w:val="00B414D2"/>
    <w:rsid w:val="00B421D5"/>
    <w:rsid w:val="00B4273D"/>
    <w:rsid w:val="00B42BD2"/>
    <w:rsid w:val="00B44FA6"/>
    <w:rsid w:val="00B45D20"/>
    <w:rsid w:val="00B466A4"/>
    <w:rsid w:val="00B4761B"/>
    <w:rsid w:val="00B508D9"/>
    <w:rsid w:val="00B5091B"/>
    <w:rsid w:val="00B512D7"/>
    <w:rsid w:val="00B55524"/>
    <w:rsid w:val="00B62DAE"/>
    <w:rsid w:val="00B6312A"/>
    <w:rsid w:val="00B635B2"/>
    <w:rsid w:val="00B6374D"/>
    <w:rsid w:val="00B64DFA"/>
    <w:rsid w:val="00B675ED"/>
    <w:rsid w:val="00B67F1D"/>
    <w:rsid w:val="00B70010"/>
    <w:rsid w:val="00B70673"/>
    <w:rsid w:val="00B72F2F"/>
    <w:rsid w:val="00B7589A"/>
    <w:rsid w:val="00B76959"/>
    <w:rsid w:val="00B776A1"/>
    <w:rsid w:val="00B7782D"/>
    <w:rsid w:val="00B80F8B"/>
    <w:rsid w:val="00B81FBB"/>
    <w:rsid w:val="00B83302"/>
    <w:rsid w:val="00B83A94"/>
    <w:rsid w:val="00B83B5B"/>
    <w:rsid w:val="00B83EB9"/>
    <w:rsid w:val="00B8453D"/>
    <w:rsid w:val="00B864E7"/>
    <w:rsid w:val="00B86910"/>
    <w:rsid w:val="00B87F3F"/>
    <w:rsid w:val="00B90804"/>
    <w:rsid w:val="00B918E2"/>
    <w:rsid w:val="00B91B9F"/>
    <w:rsid w:val="00B92616"/>
    <w:rsid w:val="00B929BB"/>
    <w:rsid w:val="00B939E9"/>
    <w:rsid w:val="00B940C4"/>
    <w:rsid w:val="00B95BEA"/>
    <w:rsid w:val="00B96426"/>
    <w:rsid w:val="00B97B5D"/>
    <w:rsid w:val="00B97C5D"/>
    <w:rsid w:val="00BA132B"/>
    <w:rsid w:val="00BA1FAF"/>
    <w:rsid w:val="00BA20EF"/>
    <w:rsid w:val="00BA3089"/>
    <w:rsid w:val="00BA30C9"/>
    <w:rsid w:val="00BA34F8"/>
    <w:rsid w:val="00BA46BE"/>
    <w:rsid w:val="00BA4895"/>
    <w:rsid w:val="00BA5477"/>
    <w:rsid w:val="00BA60B5"/>
    <w:rsid w:val="00BA7458"/>
    <w:rsid w:val="00BB0FCB"/>
    <w:rsid w:val="00BB104A"/>
    <w:rsid w:val="00BB231A"/>
    <w:rsid w:val="00BB2510"/>
    <w:rsid w:val="00BB43C9"/>
    <w:rsid w:val="00BB4CFC"/>
    <w:rsid w:val="00BB51A3"/>
    <w:rsid w:val="00BB5A31"/>
    <w:rsid w:val="00BB5C7F"/>
    <w:rsid w:val="00BB6491"/>
    <w:rsid w:val="00BB66A0"/>
    <w:rsid w:val="00BB7315"/>
    <w:rsid w:val="00BB7E40"/>
    <w:rsid w:val="00BC0466"/>
    <w:rsid w:val="00BC1251"/>
    <w:rsid w:val="00BC3703"/>
    <w:rsid w:val="00BC3CFF"/>
    <w:rsid w:val="00BC3FD2"/>
    <w:rsid w:val="00BC41B7"/>
    <w:rsid w:val="00BC4B32"/>
    <w:rsid w:val="00BC4B86"/>
    <w:rsid w:val="00BC5686"/>
    <w:rsid w:val="00BC7D26"/>
    <w:rsid w:val="00BC7F36"/>
    <w:rsid w:val="00BD0190"/>
    <w:rsid w:val="00BD0864"/>
    <w:rsid w:val="00BD10FE"/>
    <w:rsid w:val="00BD3B86"/>
    <w:rsid w:val="00BD3CDF"/>
    <w:rsid w:val="00BD41E3"/>
    <w:rsid w:val="00BD4438"/>
    <w:rsid w:val="00BD4599"/>
    <w:rsid w:val="00BD578E"/>
    <w:rsid w:val="00BD5B5D"/>
    <w:rsid w:val="00BD6378"/>
    <w:rsid w:val="00BD6AA0"/>
    <w:rsid w:val="00BD6EE5"/>
    <w:rsid w:val="00BD726C"/>
    <w:rsid w:val="00BE066D"/>
    <w:rsid w:val="00BE19E5"/>
    <w:rsid w:val="00BE1E1B"/>
    <w:rsid w:val="00BE2455"/>
    <w:rsid w:val="00BE3E47"/>
    <w:rsid w:val="00BE4304"/>
    <w:rsid w:val="00BE5D9D"/>
    <w:rsid w:val="00BE7705"/>
    <w:rsid w:val="00BE7785"/>
    <w:rsid w:val="00BE7A16"/>
    <w:rsid w:val="00BF0418"/>
    <w:rsid w:val="00BF1496"/>
    <w:rsid w:val="00BF1B70"/>
    <w:rsid w:val="00BF28E4"/>
    <w:rsid w:val="00BF31CF"/>
    <w:rsid w:val="00BF3E05"/>
    <w:rsid w:val="00BF3F0A"/>
    <w:rsid w:val="00BF453A"/>
    <w:rsid w:val="00BF4611"/>
    <w:rsid w:val="00BF4C85"/>
    <w:rsid w:val="00BF520C"/>
    <w:rsid w:val="00BF5E39"/>
    <w:rsid w:val="00BF666E"/>
    <w:rsid w:val="00BF7033"/>
    <w:rsid w:val="00C00EEF"/>
    <w:rsid w:val="00C00EFC"/>
    <w:rsid w:val="00C016F8"/>
    <w:rsid w:val="00C0309B"/>
    <w:rsid w:val="00C03629"/>
    <w:rsid w:val="00C048D8"/>
    <w:rsid w:val="00C05340"/>
    <w:rsid w:val="00C057D0"/>
    <w:rsid w:val="00C06F6F"/>
    <w:rsid w:val="00C103F9"/>
    <w:rsid w:val="00C116F1"/>
    <w:rsid w:val="00C13508"/>
    <w:rsid w:val="00C136A1"/>
    <w:rsid w:val="00C13BA1"/>
    <w:rsid w:val="00C13D40"/>
    <w:rsid w:val="00C13E73"/>
    <w:rsid w:val="00C1597A"/>
    <w:rsid w:val="00C15BC3"/>
    <w:rsid w:val="00C1762F"/>
    <w:rsid w:val="00C218FD"/>
    <w:rsid w:val="00C21BC9"/>
    <w:rsid w:val="00C228D4"/>
    <w:rsid w:val="00C24325"/>
    <w:rsid w:val="00C24D8B"/>
    <w:rsid w:val="00C27DFD"/>
    <w:rsid w:val="00C305AB"/>
    <w:rsid w:val="00C305FB"/>
    <w:rsid w:val="00C30A40"/>
    <w:rsid w:val="00C33846"/>
    <w:rsid w:val="00C35216"/>
    <w:rsid w:val="00C353B6"/>
    <w:rsid w:val="00C36B22"/>
    <w:rsid w:val="00C36FDC"/>
    <w:rsid w:val="00C37C96"/>
    <w:rsid w:val="00C4099F"/>
    <w:rsid w:val="00C40F87"/>
    <w:rsid w:val="00C41272"/>
    <w:rsid w:val="00C41BFB"/>
    <w:rsid w:val="00C4296F"/>
    <w:rsid w:val="00C435ED"/>
    <w:rsid w:val="00C43600"/>
    <w:rsid w:val="00C43888"/>
    <w:rsid w:val="00C4393E"/>
    <w:rsid w:val="00C468E4"/>
    <w:rsid w:val="00C46B2B"/>
    <w:rsid w:val="00C47165"/>
    <w:rsid w:val="00C47AEC"/>
    <w:rsid w:val="00C47B3C"/>
    <w:rsid w:val="00C5134C"/>
    <w:rsid w:val="00C51A3B"/>
    <w:rsid w:val="00C5225A"/>
    <w:rsid w:val="00C532D5"/>
    <w:rsid w:val="00C53538"/>
    <w:rsid w:val="00C54447"/>
    <w:rsid w:val="00C561F3"/>
    <w:rsid w:val="00C56425"/>
    <w:rsid w:val="00C56C1D"/>
    <w:rsid w:val="00C57F79"/>
    <w:rsid w:val="00C57FD7"/>
    <w:rsid w:val="00C60124"/>
    <w:rsid w:val="00C624F1"/>
    <w:rsid w:val="00C63B1B"/>
    <w:rsid w:val="00C63D55"/>
    <w:rsid w:val="00C65167"/>
    <w:rsid w:val="00C65A04"/>
    <w:rsid w:val="00C67A37"/>
    <w:rsid w:val="00C7093B"/>
    <w:rsid w:val="00C70AB7"/>
    <w:rsid w:val="00C70BAD"/>
    <w:rsid w:val="00C70D0C"/>
    <w:rsid w:val="00C716BB"/>
    <w:rsid w:val="00C71FAB"/>
    <w:rsid w:val="00C74798"/>
    <w:rsid w:val="00C75237"/>
    <w:rsid w:val="00C76A0D"/>
    <w:rsid w:val="00C771AF"/>
    <w:rsid w:val="00C77976"/>
    <w:rsid w:val="00C82249"/>
    <w:rsid w:val="00C84035"/>
    <w:rsid w:val="00C85560"/>
    <w:rsid w:val="00C856DC"/>
    <w:rsid w:val="00C85BE8"/>
    <w:rsid w:val="00C86133"/>
    <w:rsid w:val="00C86804"/>
    <w:rsid w:val="00C86997"/>
    <w:rsid w:val="00C86BBB"/>
    <w:rsid w:val="00C87689"/>
    <w:rsid w:val="00C87A74"/>
    <w:rsid w:val="00C87BD8"/>
    <w:rsid w:val="00C903E4"/>
    <w:rsid w:val="00C90829"/>
    <w:rsid w:val="00C90F59"/>
    <w:rsid w:val="00C911B4"/>
    <w:rsid w:val="00C91C7D"/>
    <w:rsid w:val="00C91E01"/>
    <w:rsid w:val="00C91FAC"/>
    <w:rsid w:val="00C92534"/>
    <w:rsid w:val="00C92E7C"/>
    <w:rsid w:val="00C9300A"/>
    <w:rsid w:val="00C93022"/>
    <w:rsid w:val="00C94ADA"/>
    <w:rsid w:val="00C95EFB"/>
    <w:rsid w:val="00C960A1"/>
    <w:rsid w:val="00C964B7"/>
    <w:rsid w:val="00C96A51"/>
    <w:rsid w:val="00C97119"/>
    <w:rsid w:val="00C97603"/>
    <w:rsid w:val="00CA02C6"/>
    <w:rsid w:val="00CA1082"/>
    <w:rsid w:val="00CA19EC"/>
    <w:rsid w:val="00CA2B6A"/>
    <w:rsid w:val="00CA350B"/>
    <w:rsid w:val="00CA3527"/>
    <w:rsid w:val="00CA39F5"/>
    <w:rsid w:val="00CA3BD3"/>
    <w:rsid w:val="00CA3C69"/>
    <w:rsid w:val="00CA3DE9"/>
    <w:rsid w:val="00CA3EBC"/>
    <w:rsid w:val="00CA40D9"/>
    <w:rsid w:val="00CA46A8"/>
    <w:rsid w:val="00CA4857"/>
    <w:rsid w:val="00CA491D"/>
    <w:rsid w:val="00CA5335"/>
    <w:rsid w:val="00CA5790"/>
    <w:rsid w:val="00CA6597"/>
    <w:rsid w:val="00CA6A9F"/>
    <w:rsid w:val="00CA6AE3"/>
    <w:rsid w:val="00CA6C34"/>
    <w:rsid w:val="00CA6E4E"/>
    <w:rsid w:val="00CA6EBF"/>
    <w:rsid w:val="00CB0BFA"/>
    <w:rsid w:val="00CB0FA0"/>
    <w:rsid w:val="00CB15BA"/>
    <w:rsid w:val="00CB1C5D"/>
    <w:rsid w:val="00CB4332"/>
    <w:rsid w:val="00CB5735"/>
    <w:rsid w:val="00CB758B"/>
    <w:rsid w:val="00CB7D0C"/>
    <w:rsid w:val="00CB7EBA"/>
    <w:rsid w:val="00CC1785"/>
    <w:rsid w:val="00CC17E8"/>
    <w:rsid w:val="00CC1D7B"/>
    <w:rsid w:val="00CC2D5A"/>
    <w:rsid w:val="00CC372B"/>
    <w:rsid w:val="00CC3F5A"/>
    <w:rsid w:val="00CC46EE"/>
    <w:rsid w:val="00CC4A51"/>
    <w:rsid w:val="00CC5B4B"/>
    <w:rsid w:val="00CC6653"/>
    <w:rsid w:val="00CC7227"/>
    <w:rsid w:val="00CD16B0"/>
    <w:rsid w:val="00CD19F9"/>
    <w:rsid w:val="00CD350C"/>
    <w:rsid w:val="00CD485B"/>
    <w:rsid w:val="00CD5F90"/>
    <w:rsid w:val="00CD68FD"/>
    <w:rsid w:val="00CD6A10"/>
    <w:rsid w:val="00CD7448"/>
    <w:rsid w:val="00CE0260"/>
    <w:rsid w:val="00CE127B"/>
    <w:rsid w:val="00CE1870"/>
    <w:rsid w:val="00CE1EEA"/>
    <w:rsid w:val="00CE27AE"/>
    <w:rsid w:val="00CE5A83"/>
    <w:rsid w:val="00CE6571"/>
    <w:rsid w:val="00CE69C1"/>
    <w:rsid w:val="00CE6DFD"/>
    <w:rsid w:val="00CE72D8"/>
    <w:rsid w:val="00CE73C2"/>
    <w:rsid w:val="00CE789A"/>
    <w:rsid w:val="00CE7D9D"/>
    <w:rsid w:val="00CE7E22"/>
    <w:rsid w:val="00CE7EE4"/>
    <w:rsid w:val="00CF0E2E"/>
    <w:rsid w:val="00CF13EA"/>
    <w:rsid w:val="00CF1E46"/>
    <w:rsid w:val="00CF329E"/>
    <w:rsid w:val="00CF37AF"/>
    <w:rsid w:val="00CF3979"/>
    <w:rsid w:val="00CF3C30"/>
    <w:rsid w:val="00CF4C6A"/>
    <w:rsid w:val="00CF6F7A"/>
    <w:rsid w:val="00CF7215"/>
    <w:rsid w:val="00CF77BD"/>
    <w:rsid w:val="00CF7961"/>
    <w:rsid w:val="00D02D8D"/>
    <w:rsid w:val="00D0348E"/>
    <w:rsid w:val="00D05040"/>
    <w:rsid w:val="00D051B4"/>
    <w:rsid w:val="00D056C6"/>
    <w:rsid w:val="00D06885"/>
    <w:rsid w:val="00D10087"/>
    <w:rsid w:val="00D10CE5"/>
    <w:rsid w:val="00D1159A"/>
    <w:rsid w:val="00D11835"/>
    <w:rsid w:val="00D11A39"/>
    <w:rsid w:val="00D12538"/>
    <w:rsid w:val="00D13897"/>
    <w:rsid w:val="00D141CE"/>
    <w:rsid w:val="00D142F6"/>
    <w:rsid w:val="00D149C0"/>
    <w:rsid w:val="00D153C6"/>
    <w:rsid w:val="00D15489"/>
    <w:rsid w:val="00D15545"/>
    <w:rsid w:val="00D15659"/>
    <w:rsid w:val="00D20023"/>
    <w:rsid w:val="00D223D6"/>
    <w:rsid w:val="00D2275E"/>
    <w:rsid w:val="00D236B5"/>
    <w:rsid w:val="00D2416C"/>
    <w:rsid w:val="00D24326"/>
    <w:rsid w:val="00D25111"/>
    <w:rsid w:val="00D26983"/>
    <w:rsid w:val="00D26A6E"/>
    <w:rsid w:val="00D26F90"/>
    <w:rsid w:val="00D303D8"/>
    <w:rsid w:val="00D3211E"/>
    <w:rsid w:val="00D33438"/>
    <w:rsid w:val="00D337F3"/>
    <w:rsid w:val="00D33FB1"/>
    <w:rsid w:val="00D3429A"/>
    <w:rsid w:val="00D34AA5"/>
    <w:rsid w:val="00D354D2"/>
    <w:rsid w:val="00D36ACD"/>
    <w:rsid w:val="00D37349"/>
    <w:rsid w:val="00D378FB"/>
    <w:rsid w:val="00D402A4"/>
    <w:rsid w:val="00D4165C"/>
    <w:rsid w:val="00D4192E"/>
    <w:rsid w:val="00D41B61"/>
    <w:rsid w:val="00D45357"/>
    <w:rsid w:val="00D455AC"/>
    <w:rsid w:val="00D458C1"/>
    <w:rsid w:val="00D46022"/>
    <w:rsid w:val="00D47571"/>
    <w:rsid w:val="00D51398"/>
    <w:rsid w:val="00D5157F"/>
    <w:rsid w:val="00D51F74"/>
    <w:rsid w:val="00D524B5"/>
    <w:rsid w:val="00D52686"/>
    <w:rsid w:val="00D52735"/>
    <w:rsid w:val="00D52975"/>
    <w:rsid w:val="00D53B88"/>
    <w:rsid w:val="00D53F70"/>
    <w:rsid w:val="00D544F8"/>
    <w:rsid w:val="00D5451B"/>
    <w:rsid w:val="00D5597B"/>
    <w:rsid w:val="00D56107"/>
    <w:rsid w:val="00D60F39"/>
    <w:rsid w:val="00D61CC4"/>
    <w:rsid w:val="00D625F5"/>
    <w:rsid w:val="00D636EC"/>
    <w:rsid w:val="00D63FFD"/>
    <w:rsid w:val="00D64873"/>
    <w:rsid w:val="00D6614F"/>
    <w:rsid w:val="00D67169"/>
    <w:rsid w:val="00D70249"/>
    <w:rsid w:val="00D7032E"/>
    <w:rsid w:val="00D705DB"/>
    <w:rsid w:val="00D71949"/>
    <w:rsid w:val="00D725E4"/>
    <w:rsid w:val="00D72C89"/>
    <w:rsid w:val="00D74C00"/>
    <w:rsid w:val="00D76B80"/>
    <w:rsid w:val="00D76F17"/>
    <w:rsid w:val="00D80B28"/>
    <w:rsid w:val="00D80E11"/>
    <w:rsid w:val="00D80E41"/>
    <w:rsid w:val="00D8103A"/>
    <w:rsid w:val="00D82055"/>
    <w:rsid w:val="00D82176"/>
    <w:rsid w:val="00D82F36"/>
    <w:rsid w:val="00D84036"/>
    <w:rsid w:val="00D848F5"/>
    <w:rsid w:val="00D84FDE"/>
    <w:rsid w:val="00D868E1"/>
    <w:rsid w:val="00D86DCD"/>
    <w:rsid w:val="00D9033C"/>
    <w:rsid w:val="00D91395"/>
    <w:rsid w:val="00D91587"/>
    <w:rsid w:val="00D91759"/>
    <w:rsid w:val="00D9267A"/>
    <w:rsid w:val="00D92789"/>
    <w:rsid w:val="00D937F8"/>
    <w:rsid w:val="00D944B9"/>
    <w:rsid w:val="00D94970"/>
    <w:rsid w:val="00D95488"/>
    <w:rsid w:val="00D96C9E"/>
    <w:rsid w:val="00D97333"/>
    <w:rsid w:val="00DA0947"/>
    <w:rsid w:val="00DA1B58"/>
    <w:rsid w:val="00DA2D7E"/>
    <w:rsid w:val="00DA312C"/>
    <w:rsid w:val="00DA3D82"/>
    <w:rsid w:val="00DA5FD2"/>
    <w:rsid w:val="00DA6018"/>
    <w:rsid w:val="00DA672F"/>
    <w:rsid w:val="00DA73F6"/>
    <w:rsid w:val="00DA792F"/>
    <w:rsid w:val="00DA7C5E"/>
    <w:rsid w:val="00DB0368"/>
    <w:rsid w:val="00DB144A"/>
    <w:rsid w:val="00DB16EC"/>
    <w:rsid w:val="00DB49AD"/>
    <w:rsid w:val="00DB544F"/>
    <w:rsid w:val="00DB63B9"/>
    <w:rsid w:val="00DB63C2"/>
    <w:rsid w:val="00DB64D7"/>
    <w:rsid w:val="00DB7CC8"/>
    <w:rsid w:val="00DC0C98"/>
    <w:rsid w:val="00DC1F22"/>
    <w:rsid w:val="00DC25FD"/>
    <w:rsid w:val="00DC2E77"/>
    <w:rsid w:val="00DC4029"/>
    <w:rsid w:val="00DC53B7"/>
    <w:rsid w:val="00DD062A"/>
    <w:rsid w:val="00DD1C6C"/>
    <w:rsid w:val="00DD2037"/>
    <w:rsid w:val="00DD30AE"/>
    <w:rsid w:val="00DD36AE"/>
    <w:rsid w:val="00DD54E9"/>
    <w:rsid w:val="00DD6B61"/>
    <w:rsid w:val="00DD6F40"/>
    <w:rsid w:val="00DE001C"/>
    <w:rsid w:val="00DE02A0"/>
    <w:rsid w:val="00DE04A6"/>
    <w:rsid w:val="00DE2B70"/>
    <w:rsid w:val="00DE2E1E"/>
    <w:rsid w:val="00DE3D13"/>
    <w:rsid w:val="00DE4C75"/>
    <w:rsid w:val="00DE5725"/>
    <w:rsid w:val="00DE678E"/>
    <w:rsid w:val="00DE6B3A"/>
    <w:rsid w:val="00DE7068"/>
    <w:rsid w:val="00DE744B"/>
    <w:rsid w:val="00DE7E32"/>
    <w:rsid w:val="00DF0010"/>
    <w:rsid w:val="00DF0B6E"/>
    <w:rsid w:val="00DF0D9C"/>
    <w:rsid w:val="00DF18C7"/>
    <w:rsid w:val="00DF4212"/>
    <w:rsid w:val="00DF43AE"/>
    <w:rsid w:val="00DF5190"/>
    <w:rsid w:val="00DF6664"/>
    <w:rsid w:val="00DF6F0D"/>
    <w:rsid w:val="00E01123"/>
    <w:rsid w:val="00E0195C"/>
    <w:rsid w:val="00E02E39"/>
    <w:rsid w:val="00E034C0"/>
    <w:rsid w:val="00E03C7A"/>
    <w:rsid w:val="00E04EC4"/>
    <w:rsid w:val="00E054E5"/>
    <w:rsid w:val="00E05D81"/>
    <w:rsid w:val="00E066BE"/>
    <w:rsid w:val="00E1065A"/>
    <w:rsid w:val="00E115EB"/>
    <w:rsid w:val="00E11610"/>
    <w:rsid w:val="00E11991"/>
    <w:rsid w:val="00E11FD5"/>
    <w:rsid w:val="00E12D52"/>
    <w:rsid w:val="00E14186"/>
    <w:rsid w:val="00E14B18"/>
    <w:rsid w:val="00E16080"/>
    <w:rsid w:val="00E16B25"/>
    <w:rsid w:val="00E174F1"/>
    <w:rsid w:val="00E17DB3"/>
    <w:rsid w:val="00E20878"/>
    <w:rsid w:val="00E2162A"/>
    <w:rsid w:val="00E22A84"/>
    <w:rsid w:val="00E22BE0"/>
    <w:rsid w:val="00E2307B"/>
    <w:rsid w:val="00E235F5"/>
    <w:rsid w:val="00E2408D"/>
    <w:rsid w:val="00E24EB3"/>
    <w:rsid w:val="00E25560"/>
    <w:rsid w:val="00E25749"/>
    <w:rsid w:val="00E2662E"/>
    <w:rsid w:val="00E269DC"/>
    <w:rsid w:val="00E27DB5"/>
    <w:rsid w:val="00E27DB8"/>
    <w:rsid w:val="00E30DEB"/>
    <w:rsid w:val="00E34E07"/>
    <w:rsid w:val="00E35065"/>
    <w:rsid w:val="00E35F4F"/>
    <w:rsid w:val="00E362F3"/>
    <w:rsid w:val="00E3642E"/>
    <w:rsid w:val="00E36903"/>
    <w:rsid w:val="00E40027"/>
    <w:rsid w:val="00E42F63"/>
    <w:rsid w:val="00E4403C"/>
    <w:rsid w:val="00E44C5C"/>
    <w:rsid w:val="00E45D1D"/>
    <w:rsid w:val="00E46C3B"/>
    <w:rsid w:val="00E5078A"/>
    <w:rsid w:val="00E51279"/>
    <w:rsid w:val="00E51A0C"/>
    <w:rsid w:val="00E52796"/>
    <w:rsid w:val="00E53B60"/>
    <w:rsid w:val="00E54574"/>
    <w:rsid w:val="00E54E40"/>
    <w:rsid w:val="00E55642"/>
    <w:rsid w:val="00E561EC"/>
    <w:rsid w:val="00E57D3D"/>
    <w:rsid w:val="00E609D1"/>
    <w:rsid w:val="00E60CF7"/>
    <w:rsid w:val="00E61B86"/>
    <w:rsid w:val="00E61DC1"/>
    <w:rsid w:val="00E624A6"/>
    <w:rsid w:val="00E626B0"/>
    <w:rsid w:val="00E675FA"/>
    <w:rsid w:val="00E70629"/>
    <w:rsid w:val="00E7146A"/>
    <w:rsid w:val="00E71A35"/>
    <w:rsid w:val="00E73A15"/>
    <w:rsid w:val="00E73C1C"/>
    <w:rsid w:val="00E73EC0"/>
    <w:rsid w:val="00E744A8"/>
    <w:rsid w:val="00E74CC6"/>
    <w:rsid w:val="00E754D0"/>
    <w:rsid w:val="00E7573F"/>
    <w:rsid w:val="00E75F5F"/>
    <w:rsid w:val="00E7630E"/>
    <w:rsid w:val="00E76BF1"/>
    <w:rsid w:val="00E808CB"/>
    <w:rsid w:val="00E80BD6"/>
    <w:rsid w:val="00E8299A"/>
    <w:rsid w:val="00E83980"/>
    <w:rsid w:val="00E85797"/>
    <w:rsid w:val="00E860DA"/>
    <w:rsid w:val="00E86486"/>
    <w:rsid w:val="00E866D2"/>
    <w:rsid w:val="00E87C6E"/>
    <w:rsid w:val="00E904C3"/>
    <w:rsid w:val="00E923DA"/>
    <w:rsid w:val="00E92900"/>
    <w:rsid w:val="00E92969"/>
    <w:rsid w:val="00E93AF4"/>
    <w:rsid w:val="00E940F5"/>
    <w:rsid w:val="00E947E2"/>
    <w:rsid w:val="00E95A07"/>
    <w:rsid w:val="00E95AFF"/>
    <w:rsid w:val="00E965B6"/>
    <w:rsid w:val="00E967EA"/>
    <w:rsid w:val="00E968F0"/>
    <w:rsid w:val="00E969FD"/>
    <w:rsid w:val="00E96A15"/>
    <w:rsid w:val="00E96F2F"/>
    <w:rsid w:val="00E971C5"/>
    <w:rsid w:val="00E97B7B"/>
    <w:rsid w:val="00EA04A6"/>
    <w:rsid w:val="00EA17B4"/>
    <w:rsid w:val="00EA4866"/>
    <w:rsid w:val="00EA4F94"/>
    <w:rsid w:val="00EA6C66"/>
    <w:rsid w:val="00EB027F"/>
    <w:rsid w:val="00EB0FD9"/>
    <w:rsid w:val="00EB1A58"/>
    <w:rsid w:val="00EB1E85"/>
    <w:rsid w:val="00EB2649"/>
    <w:rsid w:val="00EB360F"/>
    <w:rsid w:val="00EB3DA6"/>
    <w:rsid w:val="00EB41B8"/>
    <w:rsid w:val="00EB4528"/>
    <w:rsid w:val="00EB6301"/>
    <w:rsid w:val="00EB686C"/>
    <w:rsid w:val="00EB7334"/>
    <w:rsid w:val="00EB7344"/>
    <w:rsid w:val="00EB7E58"/>
    <w:rsid w:val="00EC08BA"/>
    <w:rsid w:val="00EC0D1E"/>
    <w:rsid w:val="00EC15DE"/>
    <w:rsid w:val="00EC4921"/>
    <w:rsid w:val="00EC59F8"/>
    <w:rsid w:val="00EC6D4D"/>
    <w:rsid w:val="00EC7055"/>
    <w:rsid w:val="00EC7F9D"/>
    <w:rsid w:val="00ED1C0C"/>
    <w:rsid w:val="00ED23D8"/>
    <w:rsid w:val="00ED428A"/>
    <w:rsid w:val="00ED6868"/>
    <w:rsid w:val="00EE1608"/>
    <w:rsid w:val="00EE4B00"/>
    <w:rsid w:val="00EF0D5C"/>
    <w:rsid w:val="00EF0FF7"/>
    <w:rsid w:val="00EF100F"/>
    <w:rsid w:val="00EF1754"/>
    <w:rsid w:val="00EF5355"/>
    <w:rsid w:val="00EF6C61"/>
    <w:rsid w:val="00EF73F7"/>
    <w:rsid w:val="00EF7989"/>
    <w:rsid w:val="00F00E39"/>
    <w:rsid w:val="00F01979"/>
    <w:rsid w:val="00F023A6"/>
    <w:rsid w:val="00F0332B"/>
    <w:rsid w:val="00F0335F"/>
    <w:rsid w:val="00F03C67"/>
    <w:rsid w:val="00F04A28"/>
    <w:rsid w:val="00F04D27"/>
    <w:rsid w:val="00F04E0D"/>
    <w:rsid w:val="00F0559D"/>
    <w:rsid w:val="00F0591A"/>
    <w:rsid w:val="00F06076"/>
    <w:rsid w:val="00F06226"/>
    <w:rsid w:val="00F10BD0"/>
    <w:rsid w:val="00F110D1"/>
    <w:rsid w:val="00F11651"/>
    <w:rsid w:val="00F1246B"/>
    <w:rsid w:val="00F13269"/>
    <w:rsid w:val="00F1496C"/>
    <w:rsid w:val="00F14FA6"/>
    <w:rsid w:val="00F15F9C"/>
    <w:rsid w:val="00F16004"/>
    <w:rsid w:val="00F17946"/>
    <w:rsid w:val="00F2072A"/>
    <w:rsid w:val="00F20C68"/>
    <w:rsid w:val="00F210E6"/>
    <w:rsid w:val="00F213FF"/>
    <w:rsid w:val="00F2220E"/>
    <w:rsid w:val="00F2224E"/>
    <w:rsid w:val="00F22822"/>
    <w:rsid w:val="00F235C0"/>
    <w:rsid w:val="00F24077"/>
    <w:rsid w:val="00F24159"/>
    <w:rsid w:val="00F2463F"/>
    <w:rsid w:val="00F254B7"/>
    <w:rsid w:val="00F25F1E"/>
    <w:rsid w:val="00F2603D"/>
    <w:rsid w:val="00F261A0"/>
    <w:rsid w:val="00F274E3"/>
    <w:rsid w:val="00F27D11"/>
    <w:rsid w:val="00F301C3"/>
    <w:rsid w:val="00F31A1B"/>
    <w:rsid w:val="00F31AD3"/>
    <w:rsid w:val="00F32AC8"/>
    <w:rsid w:val="00F337B3"/>
    <w:rsid w:val="00F34F13"/>
    <w:rsid w:val="00F34F2A"/>
    <w:rsid w:val="00F35917"/>
    <w:rsid w:val="00F3641A"/>
    <w:rsid w:val="00F40616"/>
    <w:rsid w:val="00F40DBE"/>
    <w:rsid w:val="00F41CF9"/>
    <w:rsid w:val="00F42621"/>
    <w:rsid w:val="00F42BAE"/>
    <w:rsid w:val="00F43BE0"/>
    <w:rsid w:val="00F43F37"/>
    <w:rsid w:val="00F44DCC"/>
    <w:rsid w:val="00F45796"/>
    <w:rsid w:val="00F45C1D"/>
    <w:rsid w:val="00F460B1"/>
    <w:rsid w:val="00F470B0"/>
    <w:rsid w:val="00F473A0"/>
    <w:rsid w:val="00F47CE7"/>
    <w:rsid w:val="00F52E42"/>
    <w:rsid w:val="00F52E88"/>
    <w:rsid w:val="00F5309C"/>
    <w:rsid w:val="00F53361"/>
    <w:rsid w:val="00F53759"/>
    <w:rsid w:val="00F54F53"/>
    <w:rsid w:val="00F56701"/>
    <w:rsid w:val="00F57512"/>
    <w:rsid w:val="00F57E0F"/>
    <w:rsid w:val="00F60474"/>
    <w:rsid w:val="00F612F8"/>
    <w:rsid w:val="00F623FE"/>
    <w:rsid w:val="00F62EE1"/>
    <w:rsid w:val="00F65D49"/>
    <w:rsid w:val="00F66926"/>
    <w:rsid w:val="00F71670"/>
    <w:rsid w:val="00F71EB9"/>
    <w:rsid w:val="00F72570"/>
    <w:rsid w:val="00F72A43"/>
    <w:rsid w:val="00F72B31"/>
    <w:rsid w:val="00F72EF2"/>
    <w:rsid w:val="00F7369A"/>
    <w:rsid w:val="00F74768"/>
    <w:rsid w:val="00F754D1"/>
    <w:rsid w:val="00F75F60"/>
    <w:rsid w:val="00F76005"/>
    <w:rsid w:val="00F76B8A"/>
    <w:rsid w:val="00F76FFB"/>
    <w:rsid w:val="00F82602"/>
    <w:rsid w:val="00F82620"/>
    <w:rsid w:val="00F83763"/>
    <w:rsid w:val="00F84272"/>
    <w:rsid w:val="00F84B84"/>
    <w:rsid w:val="00F85511"/>
    <w:rsid w:val="00F856B3"/>
    <w:rsid w:val="00F86176"/>
    <w:rsid w:val="00F867BD"/>
    <w:rsid w:val="00F87738"/>
    <w:rsid w:val="00F909C9"/>
    <w:rsid w:val="00F90D2D"/>
    <w:rsid w:val="00F925EB"/>
    <w:rsid w:val="00F927FC"/>
    <w:rsid w:val="00F94152"/>
    <w:rsid w:val="00F948BD"/>
    <w:rsid w:val="00F953BF"/>
    <w:rsid w:val="00F9584B"/>
    <w:rsid w:val="00F95860"/>
    <w:rsid w:val="00F95D89"/>
    <w:rsid w:val="00F966CE"/>
    <w:rsid w:val="00F96CDD"/>
    <w:rsid w:val="00F97175"/>
    <w:rsid w:val="00F975CE"/>
    <w:rsid w:val="00F97FA4"/>
    <w:rsid w:val="00FA0CB2"/>
    <w:rsid w:val="00FA12B4"/>
    <w:rsid w:val="00FA1440"/>
    <w:rsid w:val="00FA2A2A"/>
    <w:rsid w:val="00FA3FB2"/>
    <w:rsid w:val="00FA4D3B"/>
    <w:rsid w:val="00FA52CE"/>
    <w:rsid w:val="00FA53FF"/>
    <w:rsid w:val="00FA5431"/>
    <w:rsid w:val="00FA5CF4"/>
    <w:rsid w:val="00FA6C94"/>
    <w:rsid w:val="00FA6F00"/>
    <w:rsid w:val="00FA70F8"/>
    <w:rsid w:val="00FA7E37"/>
    <w:rsid w:val="00FB069E"/>
    <w:rsid w:val="00FB0A70"/>
    <w:rsid w:val="00FB1E4F"/>
    <w:rsid w:val="00FB2056"/>
    <w:rsid w:val="00FB20A9"/>
    <w:rsid w:val="00FB2DBE"/>
    <w:rsid w:val="00FB3B2F"/>
    <w:rsid w:val="00FB3E4D"/>
    <w:rsid w:val="00FB4382"/>
    <w:rsid w:val="00FB43BB"/>
    <w:rsid w:val="00FB536E"/>
    <w:rsid w:val="00FB5415"/>
    <w:rsid w:val="00FB56A2"/>
    <w:rsid w:val="00FB5B8E"/>
    <w:rsid w:val="00FB61A1"/>
    <w:rsid w:val="00FB685E"/>
    <w:rsid w:val="00FB719B"/>
    <w:rsid w:val="00FB7EDC"/>
    <w:rsid w:val="00FC1CD0"/>
    <w:rsid w:val="00FC2610"/>
    <w:rsid w:val="00FC3812"/>
    <w:rsid w:val="00FC3FEF"/>
    <w:rsid w:val="00FC451F"/>
    <w:rsid w:val="00FC73ED"/>
    <w:rsid w:val="00FC7EDA"/>
    <w:rsid w:val="00FD0DB2"/>
    <w:rsid w:val="00FD5B1C"/>
    <w:rsid w:val="00FD5C92"/>
    <w:rsid w:val="00FD6519"/>
    <w:rsid w:val="00FD6E79"/>
    <w:rsid w:val="00FD7BC9"/>
    <w:rsid w:val="00FE0D28"/>
    <w:rsid w:val="00FE1935"/>
    <w:rsid w:val="00FE21A1"/>
    <w:rsid w:val="00FE26BE"/>
    <w:rsid w:val="00FE4D6B"/>
    <w:rsid w:val="00FE5AE8"/>
    <w:rsid w:val="00FE66F8"/>
    <w:rsid w:val="00FE6CD8"/>
    <w:rsid w:val="00FE74BF"/>
    <w:rsid w:val="00FF15BC"/>
    <w:rsid w:val="00FF1B4D"/>
    <w:rsid w:val="00FF3B4A"/>
    <w:rsid w:val="00FF450B"/>
    <w:rsid w:val="00FF48D5"/>
    <w:rsid w:val="00FF5EBE"/>
    <w:rsid w:val="00FF77F6"/>
    <w:rsid w:val="00FF7960"/>
    <w:rsid w:val="00FF7C9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38FC8B"/>
  <w15:docId w15:val="{EF1B8A7D-148C-4113-B082-918F63203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084"/>
    <w:pPr>
      <w:spacing w:after="200" w:line="276" w:lineRule="auto"/>
    </w:pPr>
  </w:style>
  <w:style w:type="paragraph" w:styleId="Heading1">
    <w:name w:val="heading 1"/>
    <w:basedOn w:val="ListParagraph"/>
    <w:next w:val="Normal"/>
    <w:link w:val="Heading1Char"/>
    <w:uiPriority w:val="9"/>
    <w:qFormat/>
    <w:rsid w:val="007A5DF7"/>
    <w:pPr>
      <w:numPr>
        <w:numId w:val="3"/>
      </w:numPr>
      <w:autoSpaceDE w:val="0"/>
      <w:autoSpaceDN w:val="0"/>
      <w:adjustRightInd w:val="0"/>
      <w:spacing w:after="240" w:line="360" w:lineRule="auto"/>
      <w:contextualSpacing w:val="0"/>
      <w:jc w:val="both"/>
      <w:outlineLvl w:val="0"/>
    </w:pPr>
    <w:rPr>
      <w:rFonts w:ascii="Arial" w:hAnsi="Arial" w:cs="Arial"/>
      <w:b/>
      <w:bCs/>
      <w:color w:val="002060"/>
      <w:sz w:val="23"/>
      <w:szCs w:val="23"/>
    </w:rPr>
  </w:style>
  <w:style w:type="paragraph" w:styleId="Heading2">
    <w:name w:val="heading 2"/>
    <w:basedOn w:val="Style2"/>
    <w:next w:val="Normal"/>
    <w:link w:val="Heading2Char"/>
    <w:uiPriority w:val="9"/>
    <w:unhideWhenUsed/>
    <w:qFormat/>
    <w:rsid w:val="00922D8C"/>
    <w:pPr>
      <w:spacing w:after="240"/>
      <w:ind w:left="567"/>
      <w:outlineLvl w:val="1"/>
    </w:pPr>
    <w:rPr>
      <w:rFonts w:cs="Arial"/>
      <w:i/>
      <w:color w:val="002060"/>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70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970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7084"/>
  </w:style>
  <w:style w:type="paragraph" w:styleId="ListParagraph">
    <w:name w:val="List Paragraph"/>
    <w:aliases w:val="Indent Paragraph,Grey Bullet List,Grey Bullet Style,References,Riana Table Bullets 1"/>
    <w:basedOn w:val="Normal"/>
    <w:link w:val="ListParagraphChar"/>
    <w:uiPriority w:val="1"/>
    <w:qFormat/>
    <w:rsid w:val="00097084"/>
    <w:pPr>
      <w:ind w:left="720"/>
      <w:contextualSpacing/>
    </w:pPr>
  </w:style>
  <w:style w:type="character" w:customStyle="1" w:styleId="ListParagraphChar">
    <w:name w:val="List Paragraph Char"/>
    <w:aliases w:val="Indent Paragraph Char,Grey Bullet List Char,Grey Bullet Style Char,References Char,Riana Table Bullets 1 Char"/>
    <w:basedOn w:val="DefaultParagraphFont"/>
    <w:link w:val="ListParagraph"/>
    <w:uiPriority w:val="34"/>
    <w:rsid w:val="00097084"/>
  </w:style>
  <w:style w:type="paragraph" w:styleId="NoSpacing">
    <w:name w:val="No Spacing"/>
    <w:link w:val="NoSpacingChar"/>
    <w:uiPriority w:val="1"/>
    <w:qFormat/>
    <w:rsid w:val="00097084"/>
    <w:pPr>
      <w:spacing w:after="0" w:line="240" w:lineRule="auto"/>
    </w:pPr>
  </w:style>
  <w:style w:type="paragraph" w:styleId="FootnoteText">
    <w:name w:val="footnote text"/>
    <w:basedOn w:val="Normal"/>
    <w:link w:val="FootnoteTextChar"/>
    <w:uiPriority w:val="99"/>
    <w:semiHidden/>
    <w:unhideWhenUsed/>
    <w:rsid w:val="000970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7084"/>
    <w:rPr>
      <w:sz w:val="20"/>
      <w:szCs w:val="20"/>
    </w:rPr>
  </w:style>
  <w:style w:type="character" w:styleId="FootnoteReference">
    <w:name w:val="footnote reference"/>
    <w:basedOn w:val="DefaultParagraphFont"/>
    <w:uiPriority w:val="99"/>
    <w:unhideWhenUsed/>
    <w:qFormat/>
    <w:rsid w:val="00097084"/>
    <w:rPr>
      <w:vertAlign w:val="superscript"/>
    </w:rPr>
  </w:style>
  <w:style w:type="paragraph" w:customStyle="1" w:styleId="Style2">
    <w:name w:val="Style2"/>
    <w:basedOn w:val="Normal"/>
    <w:link w:val="Style2Char"/>
    <w:qFormat/>
    <w:rsid w:val="00097084"/>
    <w:pPr>
      <w:keepNext/>
      <w:keepLines/>
      <w:spacing w:before="240" w:after="0"/>
      <w:outlineLvl w:val="0"/>
    </w:pPr>
    <w:rPr>
      <w:rFonts w:ascii="Arial" w:eastAsiaTheme="majorEastAsia" w:hAnsi="Arial" w:cstheme="majorBidi"/>
      <w:b/>
      <w:sz w:val="26"/>
      <w:szCs w:val="32"/>
    </w:rPr>
  </w:style>
  <w:style w:type="character" w:customStyle="1" w:styleId="Heading1Char">
    <w:name w:val="Heading 1 Char"/>
    <w:basedOn w:val="DefaultParagraphFont"/>
    <w:link w:val="Heading1"/>
    <w:uiPriority w:val="9"/>
    <w:rsid w:val="007A5DF7"/>
    <w:rPr>
      <w:rFonts w:ascii="Arial" w:hAnsi="Arial" w:cs="Arial"/>
      <w:b/>
      <w:bCs/>
      <w:color w:val="002060"/>
      <w:sz w:val="23"/>
      <w:szCs w:val="23"/>
    </w:rPr>
  </w:style>
  <w:style w:type="paragraph" w:styleId="TOCHeading">
    <w:name w:val="TOC Heading"/>
    <w:basedOn w:val="Heading1"/>
    <w:next w:val="Normal"/>
    <w:uiPriority w:val="39"/>
    <w:unhideWhenUsed/>
    <w:qFormat/>
    <w:rsid w:val="00097084"/>
    <w:pPr>
      <w:spacing w:line="259" w:lineRule="auto"/>
      <w:outlineLvl w:val="9"/>
    </w:pPr>
    <w:rPr>
      <w:lang w:val="en-US"/>
    </w:rPr>
  </w:style>
  <w:style w:type="character" w:customStyle="1" w:styleId="Style2Char">
    <w:name w:val="Style2 Char"/>
    <w:basedOn w:val="DefaultParagraphFont"/>
    <w:link w:val="Style2"/>
    <w:rsid w:val="00097084"/>
    <w:rPr>
      <w:rFonts w:ascii="Arial" w:eastAsiaTheme="majorEastAsia" w:hAnsi="Arial" w:cstheme="majorBidi"/>
      <w:b/>
      <w:sz w:val="26"/>
      <w:szCs w:val="32"/>
    </w:rPr>
  </w:style>
  <w:style w:type="paragraph" w:styleId="TOC1">
    <w:name w:val="toc 1"/>
    <w:basedOn w:val="Normal"/>
    <w:next w:val="Normal"/>
    <w:autoRedefine/>
    <w:uiPriority w:val="39"/>
    <w:unhideWhenUsed/>
    <w:rsid w:val="00B83EB9"/>
    <w:pPr>
      <w:tabs>
        <w:tab w:val="left" w:pos="440"/>
        <w:tab w:val="right" w:leader="dot" w:pos="9016"/>
      </w:tabs>
      <w:spacing w:after="100"/>
    </w:pPr>
  </w:style>
  <w:style w:type="character" w:styleId="Hyperlink">
    <w:name w:val="Hyperlink"/>
    <w:basedOn w:val="DefaultParagraphFont"/>
    <w:uiPriority w:val="99"/>
    <w:unhideWhenUsed/>
    <w:rsid w:val="00097084"/>
    <w:rPr>
      <w:color w:val="0563C1" w:themeColor="hyperlink"/>
      <w:u w:val="single"/>
    </w:rPr>
  </w:style>
  <w:style w:type="paragraph" w:customStyle="1" w:styleId="Num1">
    <w:name w:val="Num1"/>
    <w:basedOn w:val="Normal"/>
    <w:rsid w:val="00097084"/>
    <w:pPr>
      <w:numPr>
        <w:numId w:val="1"/>
      </w:numPr>
      <w:spacing w:before="240" w:after="240" w:line="360" w:lineRule="auto"/>
    </w:pPr>
    <w:rPr>
      <w:rFonts w:ascii="Arial" w:eastAsia="Times New Roman" w:hAnsi="Arial" w:cs="Arial"/>
      <w:b/>
      <w:sz w:val="24"/>
      <w:szCs w:val="20"/>
      <w:u w:val="single"/>
    </w:rPr>
  </w:style>
  <w:style w:type="paragraph" w:customStyle="1" w:styleId="Num2">
    <w:name w:val="Num2"/>
    <w:basedOn w:val="Num1"/>
    <w:rsid w:val="00097084"/>
    <w:pPr>
      <w:numPr>
        <w:ilvl w:val="1"/>
      </w:numPr>
    </w:pPr>
    <w:rPr>
      <w:b w:val="0"/>
      <w:u w:val="none" w:color="000000"/>
    </w:rPr>
  </w:style>
  <w:style w:type="paragraph" w:customStyle="1" w:styleId="Num3">
    <w:name w:val="Num3"/>
    <w:basedOn w:val="Num2"/>
    <w:rsid w:val="00097084"/>
    <w:pPr>
      <w:numPr>
        <w:ilvl w:val="2"/>
      </w:numPr>
    </w:pPr>
  </w:style>
  <w:style w:type="paragraph" w:styleId="Header">
    <w:name w:val="header"/>
    <w:basedOn w:val="Normal"/>
    <w:link w:val="HeaderChar"/>
    <w:uiPriority w:val="99"/>
    <w:unhideWhenUsed/>
    <w:rsid w:val="000970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7084"/>
  </w:style>
  <w:style w:type="paragraph" w:styleId="BalloonText">
    <w:name w:val="Balloon Text"/>
    <w:basedOn w:val="Normal"/>
    <w:link w:val="BalloonTextChar"/>
    <w:uiPriority w:val="99"/>
    <w:semiHidden/>
    <w:unhideWhenUsed/>
    <w:rsid w:val="000C15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5B3"/>
    <w:rPr>
      <w:rFonts w:ascii="Segoe UI" w:hAnsi="Segoe UI" w:cs="Segoe UI"/>
      <w:sz w:val="18"/>
      <w:szCs w:val="18"/>
    </w:rPr>
  </w:style>
  <w:style w:type="paragraph" w:styleId="Revision">
    <w:name w:val="Revision"/>
    <w:hidden/>
    <w:uiPriority w:val="99"/>
    <w:semiHidden/>
    <w:rsid w:val="004321B2"/>
    <w:pPr>
      <w:spacing w:after="0" w:line="240" w:lineRule="auto"/>
    </w:pPr>
  </w:style>
  <w:style w:type="paragraph" w:customStyle="1" w:styleId="Default">
    <w:name w:val="Default"/>
    <w:rsid w:val="002F6857"/>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6E67DC"/>
    <w:rPr>
      <w:sz w:val="16"/>
      <w:szCs w:val="16"/>
    </w:rPr>
  </w:style>
  <w:style w:type="paragraph" w:styleId="CommentText">
    <w:name w:val="annotation text"/>
    <w:basedOn w:val="Normal"/>
    <w:link w:val="CommentTextChar"/>
    <w:uiPriority w:val="99"/>
    <w:unhideWhenUsed/>
    <w:rsid w:val="006E67DC"/>
    <w:pPr>
      <w:spacing w:line="240" w:lineRule="auto"/>
    </w:pPr>
    <w:rPr>
      <w:sz w:val="20"/>
      <w:szCs w:val="20"/>
    </w:rPr>
  </w:style>
  <w:style w:type="character" w:customStyle="1" w:styleId="CommentTextChar">
    <w:name w:val="Comment Text Char"/>
    <w:basedOn w:val="DefaultParagraphFont"/>
    <w:link w:val="CommentText"/>
    <w:uiPriority w:val="99"/>
    <w:rsid w:val="006E67DC"/>
    <w:rPr>
      <w:sz w:val="20"/>
      <w:szCs w:val="20"/>
    </w:rPr>
  </w:style>
  <w:style w:type="paragraph" w:styleId="CommentSubject">
    <w:name w:val="annotation subject"/>
    <w:basedOn w:val="CommentText"/>
    <w:next w:val="CommentText"/>
    <w:link w:val="CommentSubjectChar"/>
    <w:uiPriority w:val="99"/>
    <w:semiHidden/>
    <w:unhideWhenUsed/>
    <w:rsid w:val="006E67DC"/>
    <w:rPr>
      <w:b/>
      <w:bCs/>
    </w:rPr>
  </w:style>
  <w:style w:type="character" w:customStyle="1" w:styleId="CommentSubjectChar">
    <w:name w:val="Comment Subject Char"/>
    <w:basedOn w:val="CommentTextChar"/>
    <w:link w:val="CommentSubject"/>
    <w:uiPriority w:val="99"/>
    <w:semiHidden/>
    <w:rsid w:val="006E67DC"/>
    <w:rPr>
      <w:b/>
      <w:bCs/>
      <w:sz w:val="20"/>
      <w:szCs w:val="20"/>
    </w:rPr>
  </w:style>
  <w:style w:type="character" w:styleId="FollowedHyperlink">
    <w:name w:val="FollowedHyperlink"/>
    <w:basedOn w:val="DefaultParagraphFont"/>
    <w:uiPriority w:val="99"/>
    <w:semiHidden/>
    <w:unhideWhenUsed/>
    <w:rsid w:val="001B69C5"/>
    <w:rPr>
      <w:color w:val="954F72" w:themeColor="followedHyperlink"/>
      <w:u w:val="single"/>
    </w:rPr>
  </w:style>
  <w:style w:type="character" w:customStyle="1" w:styleId="NoSpacingChar">
    <w:name w:val="No Spacing Char"/>
    <w:basedOn w:val="DefaultParagraphFont"/>
    <w:link w:val="NoSpacing"/>
    <w:uiPriority w:val="1"/>
    <w:rsid w:val="00664353"/>
  </w:style>
  <w:style w:type="paragraph" w:styleId="BodyText">
    <w:name w:val="Body Text"/>
    <w:basedOn w:val="Normal"/>
    <w:link w:val="BodyTextChar"/>
    <w:uiPriority w:val="1"/>
    <w:qFormat/>
    <w:rsid w:val="00F927FC"/>
    <w:pPr>
      <w:widowControl w:val="0"/>
      <w:spacing w:after="0" w:line="240" w:lineRule="auto"/>
      <w:ind w:left="666" w:hanging="566"/>
    </w:pPr>
    <w:rPr>
      <w:rFonts w:ascii="Arial" w:eastAsia="Arial" w:hAnsi="Arial"/>
      <w:lang w:val="en-US"/>
    </w:rPr>
  </w:style>
  <w:style w:type="character" w:customStyle="1" w:styleId="BodyTextChar">
    <w:name w:val="Body Text Char"/>
    <w:basedOn w:val="DefaultParagraphFont"/>
    <w:link w:val="BodyText"/>
    <w:uiPriority w:val="1"/>
    <w:rsid w:val="00F927FC"/>
    <w:rPr>
      <w:rFonts w:ascii="Arial" w:eastAsia="Arial" w:hAnsi="Arial"/>
      <w:lang w:val="en-US"/>
    </w:rPr>
  </w:style>
  <w:style w:type="paragraph" w:customStyle="1" w:styleId="Style1">
    <w:name w:val="Style1"/>
    <w:basedOn w:val="Normal"/>
    <w:link w:val="Style1Char"/>
    <w:qFormat/>
    <w:rsid w:val="00880147"/>
  </w:style>
  <w:style w:type="character" w:customStyle="1" w:styleId="Style1Char">
    <w:name w:val="Style1 Char"/>
    <w:basedOn w:val="DefaultParagraphFont"/>
    <w:link w:val="Style1"/>
    <w:rsid w:val="00880147"/>
  </w:style>
  <w:style w:type="paragraph" w:customStyle="1" w:styleId="TableParagraph">
    <w:name w:val="Table Paragraph"/>
    <w:basedOn w:val="Normal"/>
    <w:uiPriority w:val="1"/>
    <w:qFormat/>
    <w:rsid w:val="00EB2649"/>
    <w:pPr>
      <w:widowControl w:val="0"/>
      <w:spacing w:after="0" w:line="240" w:lineRule="auto"/>
    </w:pPr>
    <w:rPr>
      <w:lang w:val="en-US"/>
    </w:rPr>
  </w:style>
  <w:style w:type="paragraph" w:styleId="NormalWeb">
    <w:name w:val="Normal (Web)"/>
    <w:basedOn w:val="Normal"/>
    <w:uiPriority w:val="99"/>
    <w:unhideWhenUsed/>
    <w:rsid w:val="001A7CC1"/>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Pa2">
    <w:name w:val="Pa2"/>
    <w:basedOn w:val="Default"/>
    <w:next w:val="Default"/>
    <w:uiPriority w:val="99"/>
    <w:rsid w:val="0097758F"/>
    <w:pPr>
      <w:spacing w:line="201" w:lineRule="atLeast"/>
    </w:pPr>
    <w:rPr>
      <w:rFonts w:ascii="Bliss Pro ExtraLight" w:hAnsi="Bliss Pro ExtraLight" w:cstheme="minorBidi"/>
      <w:color w:val="auto"/>
    </w:rPr>
  </w:style>
  <w:style w:type="character" w:customStyle="1" w:styleId="A3">
    <w:name w:val="A3"/>
    <w:uiPriority w:val="99"/>
    <w:rsid w:val="0097758F"/>
    <w:rPr>
      <w:rFonts w:cs="Bliss Pro ExtraLight"/>
      <w:color w:val="221E1F"/>
      <w:sz w:val="11"/>
      <w:szCs w:val="11"/>
    </w:rPr>
  </w:style>
  <w:style w:type="character" w:styleId="Strong">
    <w:name w:val="Strong"/>
    <w:basedOn w:val="DefaultParagraphFont"/>
    <w:uiPriority w:val="22"/>
    <w:qFormat/>
    <w:rsid w:val="006F0E8D"/>
    <w:rPr>
      <w:b/>
      <w:bCs/>
    </w:rPr>
  </w:style>
  <w:style w:type="character" w:customStyle="1" w:styleId="caps">
    <w:name w:val="caps"/>
    <w:basedOn w:val="DefaultParagraphFont"/>
    <w:rsid w:val="00682A03"/>
  </w:style>
  <w:style w:type="character" w:customStyle="1" w:styleId="Heading2Char">
    <w:name w:val="Heading 2 Char"/>
    <w:basedOn w:val="DefaultParagraphFont"/>
    <w:link w:val="Heading2"/>
    <w:uiPriority w:val="9"/>
    <w:rsid w:val="00922D8C"/>
    <w:rPr>
      <w:rFonts w:ascii="Arial" w:eastAsiaTheme="majorEastAsia" w:hAnsi="Arial" w:cs="Arial"/>
      <w:b/>
      <w:i/>
      <w:color w:val="002060"/>
      <w:sz w:val="23"/>
      <w:szCs w:val="23"/>
    </w:rPr>
  </w:style>
  <w:style w:type="character" w:customStyle="1" w:styleId="e24kjd">
    <w:name w:val="e24kjd"/>
    <w:basedOn w:val="DefaultParagraphFont"/>
    <w:rsid w:val="00980B15"/>
  </w:style>
  <w:style w:type="paragraph" w:customStyle="1" w:styleId="Style3">
    <w:name w:val="Style3"/>
    <w:basedOn w:val="ListParagraph"/>
    <w:link w:val="Style3Char"/>
    <w:qFormat/>
    <w:rsid w:val="001776AD"/>
    <w:pPr>
      <w:numPr>
        <w:ilvl w:val="1"/>
        <w:numId w:val="2"/>
      </w:numPr>
      <w:autoSpaceDE w:val="0"/>
      <w:autoSpaceDN w:val="0"/>
      <w:adjustRightInd w:val="0"/>
      <w:spacing w:after="240" w:line="360" w:lineRule="auto"/>
      <w:contextualSpacing w:val="0"/>
      <w:jc w:val="both"/>
    </w:pPr>
    <w:rPr>
      <w:rFonts w:ascii="Arial" w:hAnsi="Arial" w:cs="Arial"/>
      <w:color w:val="002060"/>
      <w:sz w:val="23"/>
      <w:szCs w:val="23"/>
    </w:rPr>
  </w:style>
  <w:style w:type="paragraph" w:styleId="TOC2">
    <w:name w:val="toc 2"/>
    <w:basedOn w:val="Normal"/>
    <w:next w:val="Normal"/>
    <w:autoRedefine/>
    <w:uiPriority w:val="39"/>
    <w:unhideWhenUsed/>
    <w:rsid w:val="0063741F"/>
    <w:pPr>
      <w:spacing w:after="100"/>
      <w:ind w:left="220"/>
    </w:pPr>
  </w:style>
  <w:style w:type="character" w:customStyle="1" w:styleId="Style3Char">
    <w:name w:val="Style3 Char"/>
    <w:basedOn w:val="ListParagraphChar"/>
    <w:link w:val="Style3"/>
    <w:rsid w:val="001776AD"/>
    <w:rPr>
      <w:rFonts w:ascii="Arial" w:hAnsi="Arial" w:cs="Arial"/>
      <w:color w:val="002060"/>
      <w:sz w:val="23"/>
      <w:szCs w:val="23"/>
    </w:rPr>
  </w:style>
  <w:style w:type="character" w:styleId="UnresolvedMention">
    <w:name w:val="Unresolved Mention"/>
    <w:basedOn w:val="DefaultParagraphFont"/>
    <w:uiPriority w:val="99"/>
    <w:semiHidden/>
    <w:unhideWhenUsed/>
    <w:rsid w:val="00EB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60333">
      <w:bodyDiv w:val="1"/>
      <w:marLeft w:val="0"/>
      <w:marRight w:val="0"/>
      <w:marTop w:val="0"/>
      <w:marBottom w:val="0"/>
      <w:divBdr>
        <w:top w:val="none" w:sz="0" w:space="0" w:color="auto"/>
        <w:left w:val="none" w:sz="0" w:space="0" w:color="auto"/>
        <w:bottom w:val="none" w:sz="0" w:space="0" w:color="auto"/>
        <w:right w:val="none" w:sz="0" w:space="0" w:color="auto"/>
      </w:divBdr>
    </w:div>
    <w:div w:id="120734265">
      <w:bodyDiv w:val="1"/>
      <w:marLeft w:val="0"/>
      <w:marRight w:val="0"/>
      <w:marTop w:val="0"/>
      <w:marBottom w:val="0"/>
      <w:divBdr>
        <w:top w:val="none" w:sz="0" w:space="0" w:color="auto"/>
        <w:left w:val="none" w:sz="0" w:space="0" w:color="auto"/>
        <w:bottom w:val="none" w:sz="0" w:space="0" w:color="auto"/>
        <w:right w:val="none" w:sz="0" w:space="0" w:color="auto"/>
      </w:divBdr>
    </w:div>
    <w:div w:id="144860769">
      <w:bodyDiv w:val="1"/>
      <w:marLeft w:val="0"/>
      <w:marRight w:val="0"/>
      <w:marTop w:val="0"/>
      <w:marBottom w:val="0"/>
      <w:divBdr>
        <w:top w:val="none" w:sz="0" w:space="0" w:color="auto"/>
        <w:left w:val="none" w:sz="0" w:space="0" w:color="auto"/>
        <w:bottom w:val="none" w:sz="0" w:space="0" w:color="auto"/>
        <w:right w:val="none" w:sz="0" w:space="0" w:color="auto"/>
      </w:divBdr>
    </w:div>
    <w:div w:id="183135787">
      <w:bodyDiv w:val="1"/>
      <w:marLeft w:val="0"/>
      <w:marRight w:val="0"/>
      <w:marTop w:val="0"/>
      <w:marBottom w:val="0"/>
      <w:divBdr>
        <w:top w:val="none" w:sz="0" w:space="0" w:color="auto"/>
        <w:left w:val="none" w:sz="0" w:space="0" w:color="auto"/>
        <w:bottom w:val="none" w:sz="0" w:space="0" w:color="auto"/>
        <w:right w:val="none" w:sz="0" w:space="0" w:color="auto"/>
      </w:divBdr>
    </w:div>
    <w:div w:id="265383069">
      <w:bodyDiv w:val="1"/>
      <w:marLeft w:val="0"/>
      <w:marRight w:val="0"/>
      <w:marTop w:val="0"/>
      <w:marBottom w:val="0"/>
      <w:divBdr>
        <w:top w:val="none" w:sz="0" w:space="0" w:color="auto"/>
        <w:left w:val="none" w:sz="0" w:space="0" w:color="auto"/>
        <w:bottom w:val="none" w:sz="0" w:space="0" w:color="auto"/>
        <w:right w:val="none" w:sz="0" w:space="0" w:color="auto"/>
      </w:divBdr>
    </w:div>
    <w:div w:id="281496353">
      <w:bodyDiv w:val="1"/>
      <w:marLeft w:val="0"/>
      <w:marRight w:val="0"/>
      <w:marTop w:val="0"/>
      <w:marBottom w:val="0"/>
      <w:divBdr>
        <w:top w:val="none" w:sz="0" w:space="0" w:color="auto"/>
        <w:left w:val="none" w:sz="0" w:space="0" w:color="auto"/>
        <w:bottom w:val="none" w:sz="0" w:space="0" w:color="auto"/>
        <w:right w:val="none" w:sz="0" w:space="0" w:color="auto"/>
      </w:divBdr>
    </w:div>
    <w:div w:id="336810570">
      <w:bodyDiv w:val="1"/>
      <w:marLeft w:val="0"/>
      <w:marRight w:val="0"/>
      <w:marTop w:val="0"/>
      <w:marBottom w:val="0"/>
      <w:divBdr>
        <w:top w:val="none" w:sz="0" w:space="0" w:color="auto"/>
        <w:left w:val="none" w:sz="0" w:space="0" w:color="auto"/>
        <w:bottom w:val="none" w:sz="0" w:space="0" w:color="auto"/>
        <w:right w:val="none" w:sz="0" w:space="0" w:color="auto"/>
      </w:divBdr>
    </w:div>
    <w:div w:id="415905411">
      <w:bodyDiv w:val="1"/>
      <w:marLeft w:val="0"/>
      <w:marRight w:val="0"/>
      <w:marTop w:val="0"/>
      <w:marBottom w:val="0"/>
      <w:divBdr>
        <w:top w:val="none" w:sz="0" w:space="0" w:color="auto"/>
        <w:left w:val="none" w:sz="0" w:space="0" w:color="auto"/>
        <w:bottom w:val="none" w:sz="0" w:space="0" w:color="auto"/>
        <w:right w:val="none" w:sz="0" w:space="0" w:color="auto"/>
      </w:divBdr>
    </w:div>
    <w:div w:id="421799860">
      <w:bodyDiv w:val="1"/>
      <w:marLeft w:val="0"/>
      <w:marRight w:val="0"/>
      <w:marTop w:val="0"/>
      <w:marBottom w:val="0"/>
      <w:divBdr>
        <w:top w:val="none" w:sz="0" w:space="0" w:color="auto"/>
        <w:left w:val="none" w:sz="0" w:space="0" w:color="auto"/>
        <w:bottom w:val="none" w:sz="0" w:space="0" w:color="auto"/>
        <w:right w:val="none" w:sz="0" w:space="0" w:color="auto"/>
      </w:divBdr>
    </w:div>
    <w:div w:id="518012075">
      <w:bodyDiv w:val="1"/>
      <w:marLeft w:val="0"/>
      <w:marRight w:val="0"/>
      <w:marTop w:val="0"/>
      <w:marBottom w:val="0"/>
      <w:divBdr>
        <w:top w:val="none" w:sz="0" w:space="0" w:color="auto"/>
        <w:left w:val="none" w:sz="0" w:space="0" w:color="auto"/>
        <w:bottom w:val="none" w:sz="0" w:space="0" w:color="auto"/>
        <w:right w:val="none" w:sz="0" w:space="0" w:color="auto"/>
      </w:divBdr>
      <w:divsChild>
        <w:div w:id="2058435799">
          <w:marLeft w:val="0"/>
          <w:marRight w:val="0"/>
          <w:marTop w:val="0"/>
          <w:marBottom w:val="0"/>
          <w:divBdr>
            <w:top w:val="none" w:sz="0" w:space="0" w:color="auto"/>
            <w:left w:val="none" w:sz="0" w:space="0" w:color="auto"/>
            <w:bottom w:val="none" w:sz="0" w:space="0" w:color="auto"/>
            <w:right w:val="none" w:sz="0" w:space="0" w:color="auto"/>
          </w:divBdr>
          <w:divsChild>
            <w:div w:id="1962690064">
              <w:marLeft w:val="0"/>
              <w:marRight w:val="0"/>
              <w:marTop w:val="0"/>
              <w:marBottom w:val="0"/>
              <w:divBdr>
                <w:top w:val="none" w:sz="0" w:space="0" w:color="auto"/>
                <w:left w:val="none" w:sz="0" w:space="0" w:color="auto"/>
                <w:bottom w:val="none" w:sz="0" w:space="0" w:color="auto"/>
                <w:right w:val="none" w:sz="0" w:space="0" w:color="auto"/>
              </w:divBdr>
              <w:divsChild>
                <w:div w:id="216161089">
                  <w:marLeft w:val="0"/>
                  <w:marRight w:val="0"/>
                  <w:marTop w:val="0"/>
                  <w:marBottom w:val="0"/>
                  <w:divBdr>
                    <w:top w:val="none" w:sz="0" w:space="0" w:color="auto"/>
                    <w:left w:val="none" w:sz="0" w:space="0" w:color="auto"/>
                    <w:bottom w:val="none" w:sz="0" w:space="0" w:color="auto"/>
                    <w:right w:val="none" w:sz="0" w:space="0" w:color="auto"/>
                  </w:divBdr>
                  <w:divsChild>
                    <w:div w:id="161554191">
                      <w:marLeft w:val="0"/>
                      <w:marRight w:val="0"/>
                      <w:marTop w:val="0"/>
                      <w:marBottom w:val="0"/>
                      <w:divBdr>
                        <w:top w:val="none" w:sz="0" w:space="0" w:color="auto"/>
                        <w:left w:val="none" w:sz="0" w:space="0" w:color="auto"/>
                        <w:bottom w:val="none" w:sz="0" w:space="0" w:color="auto"/>
                        <w:right w:val="none" w:sz="0" w:space="0" w:color="auto"/>
                      </w:divBdr>
                      <w:divsChild>
                        <w:div w:id="1018460802">
                          <w:marLeft w:val="0"/>
                          <w:marRight w:val="0"/>
                          <w:marTop w:val="0"/>
                          <w:marBottom w:val="0"/>
                          <w:divBdr>
                            <w:top w:val="none" w:sz="0" w:space="0" w:color="auto"/>
                            <w:left w:val="none" w:sz="0" w:space="0" w:color="auto"/>
                            <w:bottom w:val="none" w:sz="0" w:space="0" w:color="auto"/>
                            <w:right w:val="none" w:sz="0" w:space="0" w:color="auto"/>
                          </w:divBdr>
                          <w:divsChild>
                            <w:div w:id="532036150">
                              <w:marLeft w:val="0"/>
                              <w:marRight w:val="0"/>
                              <w:marTop w:val="0"/>
                              <w:marBottom w:val="0"/>
                              <w:divBdr>
                                <w:top w:val="none" w:sz="0" w:space="0" w:color="auto"/>
                                <w:left w:val="none" w:sz="0" w:space="0" w:color="auto"/>
                                <w:bottom w:val="none" w:sz="0" w:space="0" w:color="auto"/>
                                <w:right w:val="none" w:sz="0" w:space="0" w:color="auto"/>
                              </w:divBdr>
                              <w:divsChild>
                                <w:div w:id="189689147">
                                  <w:marLeft w:val="0"/>
                                  <w:marRight w:val="0"/>
                                  <w:marTop w:val="0"/>
                                  <w:marBottom w:val="0"/>
                                  <w:divBdr>
                                    <w:top w:val="none" w:sz="0" w:space="0" w:color="auto"/>
                                    <w:left w:val="none" w:sz="0" w:space="0" w:color="auto"/>
                                    <w:bottom w:val="none" w:sz="0" w:space="0" w:color="auto"/>
                                    <w:right w:val="none" w:sz="0" w:space="0" w:color="auto"/>
                                  </w:divBdr>
                                  <w:divsChild>
                                    <w:div w:id="1773696602">
                                      <w:marLeft w:val="1"/>
                                      <w:marRight w:val="0"/>
                                      <w:marTop w:val="1"/>
                                      <w:marBottom w:val="1"/>
                                      <w:divBdr>
                                        <w:top w:val="none" w:sz="0" w:space="0" w:color="auto"/>
                                        <w:left w:val="none" w:sz="0" w:space="0" w:color="auto"/>
                                        <w:bottom w:val="none" w:sz="0" w:space="0" w:color="auto"/>
                                        <w:right w:val="none" w:sz="0" w:space="0" w:color="auto"/>
                                      </w:divBdr>
                                      <w:divsChild>
                                        <w:div w:id="3455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0750550">
      <w:bodyDiv w:val="1"/>
      <w:marLeft w:val="0"/>
      <w:marRight w:val="0"/>
      <w:marTop w:val="0"/>
      <w:marBottom w:val="0"/>
      <w:divBdr>
        <w:top w:val="none" w:sz="0" w:space="0" w:color="auto"/>
        <w:left w:val="none" w:sz="0" w:space="0" w:color="auto"/>
        <w:bottom w:val="none" w:sz="0" w:space="0" w:color="auto"/>
        <w:right w:val="none" w:sz="0" w:space="0" w:color="auto"/>
      </w:divBdr>
      <w:divsChild>
        <w:div w:id="583951144">
          <w:marLeft w:val="0"/>
          <w:marRight w:val="0"/>
          <w:marTop w:val="0"/>
          <w:marBottom w:val="0"/>
          <w:divBdr>
            <w:top w:val="none" w:sz="0" w:space="0" w:color="auto"/>
            <w:left w:val="none" w:sz="0" w:space="0" w:color="auto"/>
            <w:bottom w:val="none" w:sz="0" w:space="0" w:color="auto"/>
            <w:right w:val="none" w:sz="0" w:space="0" w:color="auto"/>
          </w:divBdr>
          <w:divsChild>
            <w:div w:id="1467578100">
              <w:marLeft w:val="0"/>
              <w:marRight w:val="0"/>
              <w:marTop w:val="0"/>
              <w:marBottom w:val="0"/>
              <w:divBdr>
                <w:top w:val="none" w:sz="0" w:space="0" w:color="auto"/>
                <w:left w:val="none" w:sz="0" w:space="0" w:color="auto"/>
                <w:bottom w:val="none" w:sz="0" w:space="0" w:color="auto"/>
                <w:right w:val="none" w:sz="0" w:space="0" w:color="auto"/>
              </w:divBdr>
              <w:divsChild>
                <w:div w:id="977567428">
                  <w:marLeft w:val="0"/>
                  <w:marRight w:val="0"/>
                  <w:marTop w:val="0"/>
                  <w:marBottom w:val="0"/>
                  <w:divBdr>
                    <w:top w:val="none" w:sz="0" w:space="0" w:color="auto"/>
                    <w:left w:val="none" w:sz="0" w:space="0" w:color="auto"/>
                    <w:bottom w:val="none" w:sz="0" w:space="0" w:color="auto"/>
                    <w:right w:val="none" w:sz="0" w:space="0" w:color="auto"/>
                  </w:divBdr>
                  <w:divsChild>
                    <w:div w:id="2105959582">
                      <w:marLeft w:val="0"/>
                      <w:marRight w:val="0"/>
                      <w:marTop w:val="0"/>
                      <w:marBottom w:val="0"/>
                      <w:divBdr>
                        <w:top w:val="none" w:sz="0" w:space="0" w:color="auto"/>
                        <w:left w:val="none" w:sz="0" w:space="0" w:color="auto"/>
                        <w:bottom w:val="none" w:sz="0" w:space="0" w:color="auto"/>
                        <w:right w:val="none" w:sz="0" w:space="0" w:color="auto"/>
                      </w:divBdr>
                      <w:divsChild>
                        <w:div w:id="1561404895">
                          <w:marLeft w:val="0"/>
                          <w:marRight w:val="0"/>
                          <w:marTop w:val="0"/>
                          <w:marBottom w:val="0"/>
                          <w:divBdr>
                            <w:top w:val="none" w:sz="0" w:space="0" w:color="auto"/>
                            <w:left w:val="none" w:sz="0" w:space="0" w:color="auto"/>
                            <w:bottom w:val="none" w:sz="0" w:space="0" w:color="auto"/>
                            <w:right w:val="none" w:sz="0" w:space="0" w:color="auto"/>
                          </w:divBdr>
                          <w:divsChild>
                            <w:div w:id="643197825">
                              <w:marLeft w:val="0"/>
                              <w:marRight w:val="0"/>
                              <w:marTop w:val="0"/>
                              <w:marBottom w:val="0"/>
                              <w:divBdr>
                                <w:top w:val="none" w:sz="0" w:space="0" w:color="auto"/>
                                <w:left w:val="none" w:sz="0" w:space="0" w:color="auto"/>
                                <w:bottom w:val="none" w:sz="0" w:space="0" w:color="auto"/>
                                <w:right w:val="none" w:sz="0" w:space="0" w:color="auto"/>
                              </w:divBdr>
                              <w:divsChild>
                                <w:div w:id="2044673690">
                                  <w:marLeft w:val="0"/>
                                  <w:marRight w:val="0"/>
                                  <w:marTop w:val="0"/>
                                  <w:marBottom w:val="0"/>
                                  <w:divBdr>
                                    <w:top w:val="none" w:sz="0" w:space="0" w:color="auto"/>
                                    <w:left w:val="none" w:sz="0" w:space="0" w:color="auto"/>
                                    <w:bottom w:val="none" w:sz="0" w:space="0" w:color="auto"/>
                                    <w:right w:val="none" w:sz="0" w:space="0" w:color="auto"/>
                                  </w:divBdr>
                                  <w:divsChild>
                                    <w:div w:id="1187519543">
                                      <w:marLeft w:val="1"/>
                                      <w:marRight w:val="0"/>
                                      <w:marTop w:val="1"/>
                                      <w:marBottom w:val="1"/>
                                      <w:divBdr>
                                        <w:top w:val="none" w:sz="0" w:space="0" w:color="auto"/>
                                        <w:left w:val="none" w:sz="0" w:space="0" w:color="auto"/>
                                        <w:bottom w:val="none" w:sz="0" w:space="0" w:color="auto"/>
                                        <w:right w:val="none" w:sz="0" w:space="0" w:color="auto"/>
                                      </w:divBdr>
                                      <w:divsChild>
                                        <w:div w:id="117172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6956294">
      <w:bodyDiv w:val="1"/>
      <w:marLeft w:val="0"/>
      <w:marRight w:val="0"/>
      <w:marTop w:val="0"/>
      <w:marBottom w:val="0"/>
      <w:divBdr>
        <w:top w:val="none" w:sz="0" w:space="0" w:color="auto"/>
        <w:left w:val="none" w:sz="0" w:space="0" w:color="auto"/>
        <w:bottom w:val="none" w:sz="0" w:space="0" w:color="auto"/>
        <w:right w:val="none" w:sz="0" w:space="0" w:color="auto"/>
      </w:divBdr>
    </w:div>
    <w:div w:id="650214569">
      <w:bodyDiv w:val="1"/>
      <w:marLeft w:val="0"/>
      <w:marRight w:val="0"/>
      <w:marTop w:val="0"/>
      <w:marBottom w:val="0"/>
      <w:divBdr>
        <w:top w:val="none" w:sz="0" w:space="0" w:color="auto"/>
        <w:left w:val="none" w:sz="0" w:space="0" w:color="auto"/>
        <w:bottom w:val="none" w:sz="0" w:space="0" w:color="auto"/>
        <w:right w:val="none" w:sz="0" w:space="0" w:color="auto"/>
      </w:divBdr>
    </w:div>
    <w:div w:id="702747246">
      <w:bodyDiv w:val="1"/>
      <w:marLeft w:val="0"/>
      <w:marRight w:val="0"/>
      <w:marTop w:val="0"/>
      <w:marBottom w:val="0"/>
      <w:divBdr>
        <w:top w:val="none" w:sz="0" w:space="0" w:color="auto"/>
        <w:left w:val="none" w:sz="0" w:space="0" w:color="auto"/>
        <w:bottom w:val="none" w:sz="0" w:space="0" w:color="auto"/>
        <w:right w:val="none" w:sz="0" w:space="0" w:color="auto"/>
      </w:divBdr>
    </w:div>
    <w:div w:id="922304589">
      <w:bodyDiv w:val="1"/>
      <w:marLeft w:val="0"/>
      <w:marRight w:val="0"/>
      <w:marTop w:val="0"/>
      <w:marBottom w:val="0"/>
      <w:divBdr>
        <w:top w:val="none" w:sz="0" w:space="0" w:color="auto"/>
        <w:left w:val="none" w:sz="0" w:space="0" w:color="auto"/>
        <w:bottom w:val="none" w:sz="0" w:space="0" w:color="auto"/>
        <w:right w:val="none" w:sz="0" w:space="0" w:color="auto"/>
      </w:divBdr>
    </w:div>
    <w:div w:id="964778289">
      <w:bodyDiv w:val="1"/>
      <w:marLeft w:val="0"/>
      <w:marRight w:val="0"/>
      <w:marTop w:val="0"/>
      <w:marBottom w:val="0"/>
      <w:divBdr>
        <w:top w:val="none" w:sz="0" w:space="0" w:color="auto"/>
        <w:left w:val="none" w:sz="0" w:space="0" w:color="auto"/>
        <w:bottom w:val="none" w:sz="0" w:space="0" w:color="auto"/>
        <w:right w:val="none" w:sz="0" w:space="0" w:color="auto"/>
      </w:divBdr>
      <w:divsChild>
        <w:div w:id="1147940645">
          <w:marLeft w:val="0"/>
          <w:marRight w:val="0"/>
          <w:marTop w:val="0"/>
          <w:marBottom w:val="0"/>
          <w:divBdr>
            <w:top w:val="none" w:sz="0" w:space="0" w:color="auto"/>
            <w:left w:val="none" w:sz="0" w:space="0" w:color="auto"/>
            <w:bottom w:val="none" w:sz="0" w:space="0" w:color="auto"/>
            <w:right w:val="none" w:sz="0" w:space="0" w:color="auto"/>
          </w:divBdr>
          <w:divsChild>
            <w:div w:id="1332365626">
              <w:marLeft w:val="0"/>
              <w:marRight w:val="0"/>
              <w:marTop w:val="0"/>
              <w:marBottom w:val="0"/>
              <w:divBdr>
                <w:top w:val="none" w:sz="0" w:space="0" w:color="auto"/>
                <w:left w:val="none" w:sz="0" w:space="0" w:color="auto"/>
                <w:bottom w:val="none" w:sz="0" w:space="0" w:color="auto"/>
                <w:right w:val="none" w:sz="0" w:space="0" w:color="auto"/>
              </w:divBdr>
              <w:divsChild>
                <w:div w:id="2107798181">
                  <w:marLeft w:val="0"/>
                  <w:marRight w:val="0"/>
                  <w:marTop w:val="0"/>
                  <w:marBottom w:val="0"/>
                  <w:divBdr>
                    <w:top w:val="none" w:sz="0" w:space="0" w:color="auto"/>
                    <w:left w:val="none" w:sz="0" w:space="0" w:color="auto"/>
                    <w:bottom w:val="none" w:sz="0" w:space="0" w:color="auto"/>
                    <w:right w:val="none" w:sz="0" w:space="0" w:color="auto"/>
                  </w:divBdr>
                  <w:divsChild>
                    <w:div w:id="141623696">
                      <w:marLeft w:val="0"/>
                      <w:marRight w:val="0"/>
                      <w:marTop w:val="0"/>
                      <w:marBottom w:val="0"/>
                      <w:divBdr>
                        <w:top w:val="none" w:sz="0" w:space="0" w:color="auto"/>
                        <w:left w:val="none" w:sz="0" w:space="0" w:color="auto"/>
                        <w:bottom w:val="none" w:sz="0" w:space="0" w:color="auto"/>
                        <w:right w:val="none" w:sz="0" w:space="0" w:color="auto"/>
                      </w:divBdr>
                      <w:divsChild>
                        <w:div w:id="1864856497">
                          <w:marLeft w:val="0"/>
                          <w:marRight w:val="0"/>
                          <w:marTop w:val="0"/>
                          <w:marBottom w:val="0"/>
                          <w:divBdr>
                            <w:top w:val="none" w:sz="0" w:space="0" w:color="auto"/>
                            <w:left w:val="none" w:sz="0" w:space="0" w:color="auto"/>
                            <w:bottom w:val="none" w:sz="0" w:space="0" w:color="auto"/>
                            <w:right w:val="none" w:sz="0" w:space="0" w:color="auto"/>
                          </w:divBdr>
                          <w:divsChild>
                            <w:div w:id="1674183032">
                              <w:marLeft w:val="0"/>
                              <w:marRight w:val="0"/>
                              <w:marTop w:val="0"/>
                              <w:marBottom w:val="0"/>
                              <w:divBdr>
                                <w:top w:val="none" w:sz="0" w:space="0" w:color="auto"/>
                                <w:left w:val="none" w:sz="0" w:space="0" w:color="auto"/>
                                <w:bottom w:val="none" w:sz="0" w:space="0" w:color="auto"/>
                                <w:right w:val="none" w:sz="0" w:space="0" w:color="auto"/>
                              </w:divBdr>
                              <w:divsChild>
                                <w:div w:id="331612232">
                                  <w:marLeft w:val="0"/>
                                  <w:marRight w:val="0"/>
                                  <w:marTop w:val="0"/>
                                  <w:marBottom w:val="0"/>
                                  <w:divBdr>
                                    <w:top w:val="none" w:sz="0" w:space="0" w:color="auto"/>
                                    <w:left w:val="none" w:sz="0" w:space="0" w:color="auto"/>
                                    <w:bottom w:val="none" w:sz="0" w:space="0" w:color="auto"/>
                                    <w:right w:val="none" w:sz="0" w:space="0" w:color="auto"/>
                                  </w:divBdr>
                                  <w:divsChild>
                                    <w:div w:id="1287543398">
                                      <w:marLeft w:val="0"/>
                                      <w:marRight w:val="0"/>
                                      <w:marTop w:val="0"/>
                                      <w:marBottom w:val="0"/>
                                      <w:divBdr>
                                        <w:top w:val="none" w:sz="0" w:space="0" w:color="auto"/>
                                        <w:left w:val="none" w:sz="0" w:space="0" w:color="auto"/>
                                        <w:bottom w:val="none" w:sz="0" w:space="0" w:color="auto"/>
                                        <w:right w:val="none" w:sz="0" w:space="0" w:color="auto"/>
                                      </w:divBdr>
                                      <w:divsChild>
                                        <w:div w:id="41648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5816757">
      <w:bodyDiv w:val="1"/>
      <w:marLeft w:val="0"/>
      <w:marRight w:val="0"/>
      <w:marTop w:val="0"/>
      <w:marBottom w:val="0"/>
      <w:divBdr>
        <w:top w:val="none" w:sz="0" w:space="0" w:color="auto"/>
        <w:left w:val="none" w:sz="0" w:space="0" w:color="auto"/>
        <w:bottom w:val="none" w:sz="0" w:space="0" w:color="auto"/>
        <w:right w:val="none" w:sz="0" w:space="0" w:color="auto"/>
      </w:divBdr>
    </w:div>
    <w:div w:id="1008337894">
      <w:bodyDiv w:val="1"/>
      <w:marLeft w:val="0"/>
      <w:marRight w:val="0"/>
      <w:marTop w:val="0"/>
      <w:marBottom w:val="0"/>
      <w:divBdr>
        <w:top w:val="none" w:sz="0" w:space="0" w:color="auto"/>
        <w:left w:val="none" w:sz="0" w:space="0" w:color="auto"/>
        <w:bottom w:val="none" w:sz="0" w:space="0" w:color="auto"/>
        <w:right w:val="none" w:sz="0" w:space="0" w:color="auto"/>
      </w:divBdr>
    </w:div>
    <w:div w:id="1089233493">
      <w:bodyDiv w:val="1"/>
      <w:marLeft w:val="0"/>
      <w:marRight w:val="0"/>
      <w:marTop w:val="0"/>
      <w:marBottom w:val="0"/>
      <w:divBdr>
        <w:top w:val="none" w:sz="0" w:space="0" w:color="auto"/>
        <w:left w:val="none" w:sz="0" w:space="0" w:color="auto"/>
        <w:bottom w:val="none" w:sz="0" w:space="0" w:color="auto"/>
        <w:right w:val="none" w:sz="0" w:space="0" w:color="auto"/>
      </w:divBdr>
      <w:divsChild>
        <w:div w:id="796607898">
          <w:marLeft w:val="0"/>
          <w:marRight w:val="0"/>
          <w:marTop w:val="0"/>
          <w:marBottom w:val="0"/>
          <w:divBdr>
            <w:top w:val="none" w:sz="0" w:space="0" w:color="auto"/>
            <w:left w:val="none" w:sz="0" w:space="0" w:color="auto"/>
            <w:bottom w:val="none" w:sz="0" w:space="0" w:color="auto"/>
            <w:right w:val="none" w:sz="0" w:space="0" w:color="auto"/>
          </w:divBdr>
          <w:divsChild>
            <w:div w:id="456678481">
              <w:marLeft w:val="0"/>
              <w:marRight w:val="0"/>
              <w:marTop w:val="0"/>
              <w:marBottom w:val="0"/>
              <w:divBdr>
                <w:top w:val="none" w:sz="0" w:space="0" w:color="auto"/>
                <w:left w:val="none" w:sz="0" w:space="0" w:color="auto"/>
                <w:bottom w:val="none" w:sz="0" w:space="0" w:color="auto"/>
                <w:right w:val="none" w:sz="0" w:space="0" w:color="auto"/>
              </w:divBdr>
              <w:divsChild>
                <w:div w:id="179208999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299260573">
      <w:bodyDiv w:val="1"/>
      <w:marLeft w:val="0"/>
      <w:marRight w:val="0"/>
      <w:marTop w:val="0"/>
      <w:marBottom w:val="0"/>
      <w:divBdr>
        <w:top w:val="none" w:sz="0" w:space="0" w:color="auto"/>
        <w:left w:val="none" w:sz="0" w:space="0" w:color="auto"/>
        <w:bottom w:val="none" w:sz="0" w:space="0" w:color="auto"/>
        <w:right w:val="none" w:sz="0" w:space="0" w:color="auto"/>
      </w:divBdr>
    </w:div>
    <w:div w:id="1370254195">
      <w:bodyDiv w:val="1"/>
      <w:marLeft w:val="0"/>
      <w:marRight w:val="0"/>
      <w:marTop w:val="0"/>
      <w:marBottom w:val="0"/>
      <w:divBdr>
        <w:top w:val="none" w:sz="0" w:space="0" w:color="auto"/>
        <w:left w:val="none" w:sz="0" w:space="0" w:color="auto"/>
        <w:bottom w:val="none" w:sz="0" w:space="0" w:color="auto"/>
        <w:right w:val="none" w:sz="0" w:space="0" w:color="auto"/>
      </w:divBdr>
    </w:div>
    <w:div w:id="1384400623">
      <w:bodyDiv w:val="1"/>
      <w:marLeft w:val="0"/>
      <w:marRight w:val="0"/>
      <w:marTop w:val="0"/>
      <w:marBottom w:val="0"/>
      <w:divBdr>
        <w:top w:val="none" w:sz="0" w:space="0" w:color="auto"/>
        <w:left w:val="none" w:sz="0" w:space="0" w:color="auto"/>
        <w:bottom w:val="none" w:sz="0" w:space="0" w:color="auto"/>
        <w:right w:val="none" w:sz="0" w:space="0" w:color="auto"/>
      </w:divBdr>
    </w:div>
    <w:div w:id="1421952101">
      <w:bodyDiv w:val="1"/>
      <w:marLeft w:val="0"/>
      <w:marRight w:val="0"/>
      <w:marTop w:val="0"/>
      <w:marBottom w:val="0"/>
      <w:divBdr>
        <w:top w:val="none" w:sz="0" w:space="0" w:color="auto"/>
        <w:left w:val="none" w:sz="0" w:space="0" w:color="auto"/>
        <w:bottom w:val="none" w:sz="0" w:space="0" w:color="auto"/>
        <w:right w:val="none" w:sz="0" w:space="0" w:color="auto"/>
      </w:divBdr>
      <w:divsChild>
        <w:div w:id="1210218957">
          <w:marLeft w:val="0"/>
          <w:marRight w:val="0"/>
          <w:marTop w:val="0"/>
          <w:marBottom w:val="0"/>
          <w:divBdr>
            <w:top w:val="none" w:sz="0" w:space="0" w:color="auto"/>
            <w:left w:val="none" w:sz="0" w:space="0" w:color="auto"/>
            <w:bottom w:val="none" w:sz="0" w:space="0" w:color="auto"/>
            <w:right w:val="none" w:sz="0" w:space="0" w:color="auto"/>
          </w:divBdr>
          <w:divsChild>
            <w:div w:id="522670768">
              <w:marLeft w:val="-225"/>
              <w:marRight w:val="-225"/>
              <w:marTop w:val="0"/>
              <w:marBottom w:val="0"/>
              <w:divBdr>
                <w:top w:val="none" w:sz="0" w:space="0" w:color="auto"/>
                <w:left w:val="none" w:sz="0" w:space="0" w:color="auto"/>
                <w:bottom w:val="none" w:sz="0" w:space="0" w:color="auto"/>
                <w:right w:val="none" w:sz="0" w:space="0" w:color="auto"/>
              </w:divBdr>
              <w:divsChild>
                <w:div w:id="1933974554">
                  <w:marLeft w:val="0"/>
                  <w:marRight w:val="0"/>
                  <w:marTop w:val="0"/>
                  <w:marBottom w:val="0"/>
                  <w:divBdr>
                    <w:top w:val="none" w:sz="0" w:space="0" w:color="auto"/>
                    <w:left w:val="none" w:sz="0" w:space="0" w:color="auto"/>
                    <w:bottom w:val="none" w:sz="0" w:space="0" w:color="auto"/>
                    <w:right w:val="none" w:sz="0" w:space="0" w:color="auto"/>
                  </w:divBdr>
                  <w:divsChild>
                    <w:div w:id="1604994509">
                      <w:marLeft w:val="0"/>
                      <w:marRight w:val="0"/>
                      <w:marTop w:val="0"/>
                      <w:marBottom w:val="0"/>
                      <w:divBdr>
                        <w:top w:val="none" w:sz="0" w:space="0" w:color="auto"/>
                        <w:left w:val="none" w:sz="0" w:space="0" w:color="auto"/>
                        <w:bottom w:val="none" w:sz="0" w:space="0" w:color="auto"/>
                        <w:right w:val="none" w:sz="0" w:space="0" w:color="auto"/>
                      </w:divBdr>
                      <w:divsChild>
                        <w:div w:id="156071056">
                          <w:marLeft w:val="0"/>
                          <w:marRight w:val="0"/>
                          <w:marTop w:val="0"/>
                          <w:marBottom w:val="0"/>
                          <w:divBdr>
                            <w:top w:val="none" w:sz="0" w:space="0" w:color="auto"/>
                            <w:left w:val="none" w:sz="0" w:space="0" w:color="auto"/>
                            <w:bottom w:val="none" w:sz="0" w:space="0" w:color="auto"/>
                            <w:right w:val="none" w:sz="0" w:space="0" w:color="auto"/>
                          </w:divBdr>
                          <w:divsChild>
                            <w:div w:id="367342375">
                              <w:marLeft w:val="0"/>
                              <w:marRight w:val="0"/>
                              <w:marTop w:val="0"/>
                              <w:marBottom w:val="0"/>
                              <w:divBdr>
                                <w:top w:val="none" w:sz="0" w:space="0" w:color="auto"/>
                                <w:left w:val="none" w:sz="0" w:space="0" w:color="auto"/>
                                <w:bottom w:val="none" w:sz="0" w:space="0" w:color="auto"/>
                                <w:right w:val="none" w:sz="0" w:space="0" w:color="auto"/>
                              </w:divBdr>
                              <w:divsChild>
                                <w:div w:id="213313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2290003">
      <w:bodyDiv w:val="1"/>
      <w:marLeft w:val="0"/>
      <w:marRight w:val="0"/>
      <w:marTop w:val="0"/>
      <w:marBottom w:val="0"/>
      <w:divBdr>
        <w:top w:val="none" w:sz="0" w:space="0" w:color="auto"/>
        <w:left w:val="none" w:sz="0" w:space="0" w:color="auto"/>
        <w:bottom w:val="none" w:sz="0" w:space="0" w:color="auto"/>
        <w:right w:val="none" w:sz="0" w:space="0" w:color="auto"/>
      </w:divBdr>
      <w:divsChild>
        <w:div w:id="141703081">
          <w:marLeft w:val="0"/>
          <w:marRight w:val="0"/>
          <w:marTop w:val="0"/>
          <w:marBottom w:val="0"/>
          <w:divBdr>
            <w:top w:val="none" w:sz="0" w:space="0" w:color="auto"/>
            <w:left w:val="none" w:sz="0" w:space="0" w:color="auto"/>
            <w:bottom w:val="none" w:sz="0" w:space="0" w:color="auto"/>
            <w:right w:val="none" w:sz="0" w:space="0" w:color="auto"/>
          </w:divBdr>
          <w:divsChild>
            <w:div w:id="1402213441">
              <w:marLeft w:val="0"/>
              <w:marRight w:val="0"/>
              <w:marTop w:val="0"/>
              <w:marBottom w:val="0"/>
              <w:divBdr>
                <w:top w:val="none" w:sz="0" w:space="0" w:color="auto"/>
                <w:left w:val="none" w:sz="0" w:space="0" w:color="auto"/>
                <w:bottom w:val="none" w:sz="0" w:space="0" w:color="auto"/>
                <w:right w:val="none" w:sz="0" w:space="0" w:color="auto"/>
              </w:divBdr>
              <w:divsChild>
                <w:div w:id="11575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746870">
      <w:bodyDiv w:val="1"/>
      <w:marLeft w:val="0"/>
      <w:marRight w:val="0"/>
      <w:marTop w:val="0"/>
      <w:marBottom w:val="0"/>
      <w:divBdr>
        <w:top w:val="none" w:sz="0" w:space="0" w:color="auto"/>
        <w:left w:val="none" w:sz="0" w:space="0" w:color="auto"/>
        <w:bottom w:val="none" w:sz="0" w:space="0" w:color="auto"/>
        <w:right w:val="none" w:sz="0" w:space="0" w:color="auto"/>
      </w:divBdr>
    </w:div>
    <w:div w:id="1488398704">
      <w:bodyDiv w:val="1"/>
      <w:marLeft w:val="0"/>
      <w:marRight w:val="0"/>
      <w:marTop w:val="0"/>
      <w:marBottom w:val="0"/>
      <w:divBdr>
        <w:top w:val="none" w:sz="0" w:space="0" w:color="auto"/>
        <w:left w:val="none" w:sz="0" w:space="0" w:color="auto"/>
        <w:bottom w:val="none" w:sz="0" w:space="0" w:color="auto"/>
        <w:right w:val="none" w:sz="0" w:space="0" w:color="auto"/>
      </w:divBdr>
    </w:div>
    <w:div w:id="1617130111">
      <w:bodyDiv w:val="1"/>
      <w:marLeft w:val="0"/>
      <w:marRight w:val="0"/>
      <w:marTop w:val="0"/>
      <w:marBottom w:val="0"/>
      <w:divBdr>
        <w:top w:val="none" w:sz="0" w:space="0" w:color="auto"/>
        <w:left w:val="none" w:sz="0" w:space="0" w:color="auto"/>
        <w:bottom w:val="none" w:sz="0" w:space="0" w:color="auto"/>
        <w:right w:val="none" w:sz="0" w:space="0" w:color="auto"/>
      </w:divBdr>
      <w:divsChild>
        <w:div w:id="966469824">
          <w:marLeft w:val="0"/>
          <w:marRight w:val="0"/>
          <w:marTop w:val="0"/>
          <w:marBottom w:val="0"/>
          <w:divBdr>
            <w:top w:val="none" w:sz="0" w:space="0" w:color="auto"/>
            <w:left w:val="none" w:sz="0" w:space="0" w:color="auto"/>
            <w:bottom w:val="none" w:sz="0" w:space="0" w:color="auto"/>
            <w:right w:val="none" w:sz="0" w:space="0" w:color="auto"/>
          </w:divBdr>
          <w:divsChild>
            <w:div w:id="553661372">
              <w:marLeft w:val="0"/>
              <w:marRight w:val="0"/>
              <w:marTop w:val="0"/>
              <w:marBottom w:val="0"/>
              <w:divBdr>
                <w:top w:val="none" w:sz="0" w:space="0" w:color="auto"/>
                <w:left w:val="none" w:sz="0" w:space="0" w:color="auto"/>
                <w:bottom w:val="none" w:sz="0" w:space="0" w:color="auto"/>
                <w:right w:val="none" w:sz="0" w:space="0" w:color="auto"/>
              </w:divBdr>
              <w:divsChild>
                <w:div w:id="376585061">
                  <w:marLeft w:val="0"/>
                  <w:marRight w:val="0"/>
                  <w:marTop w:val="0"/>
                  <w:marBottom w:val="0"/>
                  <w:divBdr>
                    <w:top w:val="none" w:sz="0" w:space="0" w:color="auto"/>
                    <w:left w:val="none" w:sz="0" w:space="0" w:color="auto"/>
                    <w:bottom w:val="none" w:sz="0" w:space="0" w:color="auto"/>
                    <w:right w:val="none" w:sz="0" w:space="0" w:color="auto"/>
                  </w:divBdr>
                  <w:divsChild>
                    <w:div w:id="2065176335">
                      <w:marLeft w:val="0"/>
                      <w:marRight w:val="0"/>
                      <w:marTop w:val="0"/>
                      <w:marBottom w:val="0"/>
                      <w:divBdr>
                        <w:top w:val="none" w:sz="0" w:space="0" w:color="auto"/>
                        <w:left w:val="none" w:sz="0" w:space="0" w:color="auto"/>
                        <w:bottom w:val="none" w:sz="0" w:space="0" w:color="auto"/>
                        <w:right w:val="none" w:sz="0" w:space="0" w:color="auto"/>
                      </w:divBdr>
                      <w:divsChild>
                        <w:div w:id="1393313653">
                          <w:marLeft w:val="0"/>
                          <w:marRight w:val="0"/>
                          <w:marTop w:val="0"/>
                          <w:marBottom w:val="0"/>
                          <w:divBdr>
                            <w:top w:val="none" w:sz="0" w:space="0" w:color="auto"/>
                            <w:left w:val="none" w:sz="0" w:space="0" w:color="auto"/>
                            <w:bottom w:val="none" w:sz="0" w:space="0" w:color="auto"/>
                            <w:right w:val="none" w:sz="0" w:space="0" w:color="auto"/>
                          </w:divBdr>
                          <w:divsChild>
                            <w:div w:id="884483647">
                              <w:marLeft w:val="0"/>
                              <w:marRight w:val="0"/>
                              <w:marTop w:val="0"/>
                              <w:marBottom w:val="0"/>
                              <w:divBdr>
                                <w:top w:val="none" w:sz="0" w:space="0" w:color="auto"/>
                                <w:left w:val="none" w:sz="0" w:space="0" w:color="auto"/>
                                <w:bottom w:val="none" w:sz="0" w:space="0" w:color="auto"/>
                                <w:right w:val="none" w:sz="0" w:space="0" w:color="auto"/>
                              </w:divBdr>
                              <w:divsChild>
                                <w:div w:id="305207779">
                                  <w:marLeft w:val="0"/>
                                  <w:marRight w:val="0"/>
                                  <w:marTop w:val="0"/>
                                  <w:marBottom w:val="0"/>
                                  <w:divBdr>
                                    <w:top w:val="none" w:sz="0" w:space="0" w:color="auto"/>
                                    <w:left w:val="none" w:sz="0" w:space="0" w:color="auto"/>
                                    <w:bottom w:val="none" w:sz="0" w:space="0" w:color="auto"/>
                                    <w:right w:val="none" w:sz="0" w:space="0" w:color="auto"/>
                                  </w:divBdr>
                                  <w:divsChild>
                                    <w:div w:id="751850129">
                                      <w:marLeft w:val="0"/>
                                      <w:marRight w:val="0"/>
                                      <w:marTop w:val="0"/>
                                      <w:marBottom w:val="0"/>
                                      <w:divBdr>
                                        <w:top w:val="none" w:sz="0" w:space="0" w:color="auto"/>
                                        <w:left w:val="none" w:sz="0" w:space="0" w:color="auto"/>
                                        <w:bottom w:val="none" w:sz="0" w:space="0" w:color="auto"/>
                                        <w:right w:val="none" w:sz="0" w:space="0" w:color="auto"/>
                                      </w:divBdr>
                                      <w:divsChild>
                                        <w:div w:id="108418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1666503">
      <w:bodyDiv w:val="1"/>
      <w:marLeft w:val="0"/>
      <w:marRight w:val="0"/>
      <w:marTop w:val="0"/>
      <w:marBottom w:val="0"/>
      <w:divBdr>
        <w:top w:val="none" w:sz="0" w:space="0" w:color="auto"/>
        <w:left w:val="none" w:sz="0" w:space="0" w:color="auto"/>
        <w:bottom w:val="none" w:sz="0" w:space="0" w:color="auto"/>
        <w:right w:val="none" w:sz="0" w:space="0" w:color="auto"/>
      </w:divBdr>
      <w:divsChild>
        <w:div w:id="1652563262">
          <w:marLeft w:val="0"/>
          <w:marRight w:val="0"/>
          <w:marTop w:val="0"/>
          <w:marBottom w:val="0"/>
          <w:divBdr>
            <w:top w:val="none" w:sz="0" w:space="0" w:color="auto"/>
            <w:left w:val="none" w:sz="0" w:space="0" w:color="auto"/>
            <w:bottom w:val="none" w:sz="0" w:space="0" w:color="auto"/>
            <w:right w:val="none" w:sz="0" w:space="0" w:color="auto"/>
          </w:divBdr>
          <w:divsChild>
            <w:div w:id="91899174">
              <w:marLeft w:val="0"/>
              <w:marRight w:val="0"/>
              <w:marTop w:val="0"/>
              <w:marBottom w:val="0"/>
              <w:divBdr>
                <w:top w:val="none" w:sz="0" w:space="0" w:color="auto"/>
                <w:left w:val="none" w:sz="0" w:space="0" w:color="auto"/>
                <w:bottom w:val="none" w:sz="0" w:space="0" w:color="auto"/>
                <w:right w:val="none" w:sz="0" w:space="0" w:color="auto"/>
              </w:divBdr>
              <w:divsChild>
                <w:div w:id="1157265653">
                  <w:marLeft w:val="0"/>
                  <w:marRight w:val="0"/>
                  <w:marTop w:val="0"/>
                  <w:marBottom w:val="0"/>
                  <w:divBdr>
                    <w:top w:val="none" w:sz="0" w:space="0" w:color="auto"/>
                    <w:left w:val="none" w:sz="0" w:space="0" w:color="auto"/>
                    <w:bottom w:val="none" w:sz="0" w:space="0" w:color="auto"/>
                    <w:right w:val="none" w:sz="0" w:space="0" w:color="auto"/>
                  </w:divBdr>
                  <w:divsChild>
                    <w:div w:id="1669600719">
                      <w:marLeft w:val="0"/>
                      <w:marRight w:val="0"/>
                      <w:marTop w:val="0"/>
                      <w:marBottom w:val="0"/>
                      <w:divBdr>
                        <w:top w:val="none" w:sz="0" w:space="0" w:color="auto"/>
                        <w:left w:val="none" w:sz="0" w:space="0" w:color="auto"/>
                        <w:bottom w:val="none" w:sz="0" w:space="0" w:color="auto"/>
                        <w:right w:val="none" w:sz="0" w:space="0" w:color="auto"/>
                      </w:divBdr>
                      <w:divsChild>
                        <w:div w:id="920216929">
                          <w:marLeft w:val="0"/>
                          <w:marRight w:val="0"/>
                          <w:marTop w:val="0"/>
                          <w:marBottom w:val="0"/>
                          <w:divBdr>
                            <w:top w:val="none" w:sz="0" w:space="0" w:color="auto"/>
                            <w:left w:val="none" w:sz="0" w:space="0" w:color="auto"/>
                            <w:bottom w:val="none" w:sz="0" w:space="0" w:color="auto"/>
                            <w:right w:val="none" w:sz="0" w:space="0" w:color="auto"/>
                          </w:divBdr>
                          <w:divsChild>
                            <w:div w:id="1800604400">
                              <w:marLeft w:val="0"/>
                              <w:marRight w:val="0"/>
                              <w:marTop w:val="0"/>
                              <w:marBottom w:val="0"/>
                              <w:divBdr>
                                <w:top w:val="none" w:sz="0" w:space="0" w:color="auto"/>
                                <w:left w:val="none" w:sz="0" w:space="0" w:color="auto"/>
                                <w:bottom w:val="none" w:sz="0" w:space="0" w:color="auto"/>
                                <w:right w:val="none" w:sz="0" w:space="0" w:color="auto"/>
                              </w:divBdr>
                              <w:divsChild>
                                <w:div w:id="230385150">
                                  <w:marLeft w:val="0"/>
                                  <w:marRight w:val="0"/>
                                  <w:marTop w:val="0"/>
                                  <w:marBottom w:val="0"/>
                                  <w:divBdr>
                                    <w:top w:val="none" w:sz="0" w:space="0" w:color="auto"/>
                                    <w:left w:val="none" w:sz="0" w:space="0" w:color="auto"/>
                                    <w:bottom w:val="none" w:sz="0" w:space="0" w:color="auto"/>
                                    <w:right w:val="none" w:sz="0" w:space="0" w:color="auto"/>
                                  </w:divBdr>
                                  <w:divsChild>
                                    <w:div w:id="324019710">
                                      <w:marLeft w:val="1"/>
                                      <w:marRight w:val="0"/>
                                      <w:marTop w:val="1"/>
                                      <w:marBottom w:val="1"/>
                                      <w:divBdr>
                                        <w:top w:val="none" w:sz="0" w:space="0" w:color="auto"/>
                                        <w:left w:val="none" w:sz="0" w:space="0" w:color="auto"/>
                                        <w:bottom w:val="none" w:sz="0" w:space="0" w:color="auto"/>
                                        <w:right w:val="none" w:sz="0" w:space="0" w:color="auto"/>
                                      </w:divBdr>
                                      <w:divsChild>
                                        <w:div w:id="148342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4894732">
      <w:bodyDiv w:val="1"/>
      <w:marLeft w:val="0"/>
      <w:marRight w:val="0"/>
      <w:marTop w:val="0"/>
      <w:marBottom w:val="0"/>
      <w:divBdr>
        <w:top w:val="none" w:sz="0" w:space="0" w:color="auto"/>
        <w:left w:val="none" w:sz="0" w:space="0" w:color="auto"/>
        <w:bottom w:val="none" w:sz="0" w:space="0" w:color="auto"/>
        <w:right w:val="none" w:sz="0" w:space="0" w:color="auto"/>
      </w:divBdr>
    </w:div>
    <w:div w:id="1703049522">
      <w:bodyDiv w:val="1"/>
      <w:marLeft w:val="0"/>
      <w:marRight w:val="0"/>
      <w:marTop w:val="0"/>
      <w:marBottom w:val="0"/>
      <w:divBdr>
        <w:top w:val="none" w:sz="0" w:space="0" w:color="auto"/>
        <w:left w:val="none" w:sz="0" w:space="0" w:color="auto"/>
        <w:bottom w:val="none" w:sz="0" w:space="0" w:color="auto"/>
        <w:right w:val="none" w:sz="0" w:space="0" w:color="auto"/>
      </w:divBdr>
    </w:div>
    <w:div w:id="1833790256">
      <w:bodyDiv w:val="1"/>
      <w:marLeft w:val="0"/>
      <w:marRight w:val="0"/>
      <w:marTop w:val="0"/>
      <w:marBottom w:val="0"/>
      <w:divBdr>
        <w:top w:val="none" w:sz="0" w:space="0" w:color="auto"/>
        <w:left w:val="none" w:sz="0" w:space="0" w:color="auto"/>
        <w:bottom w:val="none" w:sz="0" w:space="0" w:color="auto"/>
        <w:right w:val="none" w:sz="0" w:space="0" w:color="auto"/>
      </w:divBdr>
    </w:div>
    <w:div w:id="1925070779">
      <w:bodyDiv w:val="1"/>
      <w:marLeft w:val="0"/>
      <w:marRight w:val="0"/>
      <w:marTop w:val="0"/>
      <w:marBottom w:val="0"/>
      <w:divBdr>
        <w:top w:val="none" w:sz="0" w:space="0" w:color="auto"/>
        <w:left w:val="none" w:sz="0" w:space="0" w:color="auto"/>
        <w:bottom w:val="none" w:sz="0" w:space="0" w:color="auto"/>
        <w:right w:val="none" w:sz="0" w:space="0" w:color="auto"/>
      </w:divBdr>
    </w:div>
    <w:div w:id="1969049602">
      <w:bodyDiv w:val="1"/>
      <w:marLeft w:val="0"/>
      <w:marRight w:val="0"/>
      <w:marTop w:val="0"/>
      <w:marBottom w:val="0"/>
      <w:divBdr>
        <w:top w:val="none" w:sz="0" w:space="0" w:color="auto"/>
        <w:left w:val="none" w:sz="0" w:space="0" w:color="auto"/>
        <w:bottom w:val="none" w:sz="0" w:space="0" w:color="auto"/>
        <w:right w:val="none" w:sz="0" w:space="0" w:color="auto"/>
      </w:divBdr>
      <w:divsChild>
        <w:div w:id="937056302">
          <w:marLeft w:val="0"/>
          <w:marRight w:val="0"/>
          <w:marTop w:val="0"/>
          <w:marBottom w:val="0"/>
          <w:divBdr>
            <w:top w:val="none" w:sz="0" w:space="0" w:color="auto"/>
            <w:left w:val="none" w:sz="0" w:space="0" w:color="auto"/>
            <w:bottom w:val="none" w:sz="0" w:space="0" w:color="auto"/>
            <w:right w:val="none" w:sz="0" w:space="0" w:color="auto"/>
          </w:divBdr>
          <w:divsChild>
            <w:div w:id="1805393687">
              <w:marLeft w:val="0"/>
              <w:marRight w:val="0"/>
              <w:marTop w:val="0"/>
              <w:marBottom w:val="0"/>
              <w:divBdr>
                <w:top w:val="none" w:sz="0" w:space="0" w:color="auto"/>
                <w:left w:val="none" w:sz="0" w:space="0" w:color="auto"/>
                <w:bottom w:val="none" w:sz="0" w:space="0" w:color="auto"/>
                <w:right w:val="none" w:sz="0" w:space="0" w:color="auto"/>
              </w:divBdr>
              <w:divsChild>
                <w:div w:id="95953875">
                  <w:marLeft w:val="0"/>
                  <w:marRight w:val="0"/>
                  <w:marTop w:val="0"/>
                  <w:marBottom w:val="0"/>
                  <w:divBdr>
                    <w:top w:val="none" w:sz="0" w:space="0" w:color="auto"/>
                    <w:left w:val="none" w:sz="0" w:space="0" w:color="auto"/>
                    <w:bottom w:val="none" w:sz="0" w:space="0" w:color="auto"/>
                    <w:right w:val="none" w:sz="0" w:space="0" w:color="auto"/>
                  </w:divBdr>
                  <w:divsChild>
                    <w:div w:id="1313485407">
                      <w:marLeft w:val="0"/>
                      <w:marRight w:val="0"/>
                      <w:marTop w:val="0"/>
                      <w:marBottom w:val="0"/>
                      <w:divBdr>
                        <w:top w:val="none" w:sz="0" w:space="0" w:color="auto"/>
                        <w:left w:val="none" w:sz="0" w:space="0" w:color="auto"/>
                        <w:bottom w:val="none" w:sz="0" w:space="0" w:color="auto"/>
                        <w:right w:val="none" w:sz="0" w:space="0" w:color="auto"/>
                      </w:divBdr>
                      <w:divsChild>
                        <w:div w:id="1736513860">
                          <w:marLeft w:val="0"/>
                          <w:marRight w:val="0"/>
                          <w:marTop w:val="0"/>
                          <w:marBottom w:val="0"/>
                          <w:divBdr>
                            <w:top w:val="none" w:sz="0" w:space="0" w:color="auto"/>
                            <w:left w:val="none" w:sz="0" w:space="0" w:color="auto"/>
                            <w:bottom w:val="none" w:sz="0" w:space="0" w:color="auto"/>
                            <w:right w:val="none" w:sz="0" w:space="0" w:color="auto"/>
                          </w:divBdr>
                          <w:divsChild>
                            <w:div w:id="48648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1054318">
      <w:bodyDiv w:val="1"/>
      <w:marLeft w:val="0"/>
      <w:marRight w:val="0"/>
      <w:marTop w:val="0"/>
      <w:marBottom w:val="0"/>
      <w:divBdr>
        <w:top w:val="none" w:sz="0" w:space="0" w:color="auto"/>
        <w:left w:val="none" w:sz="0" w:space="0" w:color="auto"/>
        <w:bottom w:val="none" w:sz="0" w:space="0" w:color="auto"/>
        <w:right w:val="none" w:sz="0" w:space="0" w:color="auto"/>
      </w:divBdr>
    </w:div>
    <w:div w:id="2082633757">
      <w:bodyDiv w:val="1"/>
      <w:marLeft w:val="0"/>
      <w:marRight w:val="0"/>
      <w:marTop w:val="0"/>
      <w:marBottom w:val="0"/>
      <w:divBdr>
        <w:top w:val="none" w:sz="0" w:space="0" w:color="auto"/>
        <w:left w:val="none" w:sz="0" w:space="0" w:color="auto"/>
        <w:bottom w:val="none" w:sz="0" w:space="0" w:color="auto"/>
        <w:right w:val="none" w:sz="0" w:space="0" w:color="auto"/>
      </w:divBdr>
    </w:div>
    <w:div w:id="212087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iaisweb.org/2021/11/public-consultation-on-the-development-of-liquidity-metrics-phase-2/" TargetMode="External"/><Relationship Id="rId1" Type="http://schemas.openxmlformats.org/officeDocument/2006/relationships/hyperlink" Target="https://www.resbank.co.za/en/home/publications/publication-detail-pages/prudential-authority/pa-documents-issued-for-consultation/2022/Guidance-Notice-1-of-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DE92B3A7428849870F47388D3151D6" ma:contentTypeVersion="5" ma:contentTypeDescription="Create a new document." ma:contentTypeScope="" ma:versionID="10572c375bf81baa6e40ac44bab0bba7">
  <xsd:schema xmlns:xsd="http://www.w3.org/2001/XMLSchema" xmlns:xs="http://www.w3.org/2001/XMLSchema" xmlns:p="http://schemas.microsoft.com/office/2006/metadata/properties" xmlns:ns2="e50489ef-dba1-4d1b-b549-99163309219c" xmlns:ns3="39ed6b35-db8a-4792-8939-827bf46f7484" targetNamespace="http://schemas.microsoft.com/office/2006/metadata/properties" ma:root="true" ma:fieldsID="f269dd5d5b5a5568d4fd60397190235d" ns2:_="" ns3:_="">
    <xsd:import namespace="e50489ef-dba1-4d1b-b549-99163309219c"/>
    <xsd:import namespace="39ed6b35-db8a-4792-8939-827bf46f748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489ef-dba1-4d1b-b549-9916330921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ed6b35-db8a-4792-8939-827bf46f748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CAD49-DA5A-4000-AC1A-9E2B8E2B2B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C33213-CAD3-4B3B-845F-594A5D0DDEE8}">
  <ds:schemaRefs>
    <ds:schemaRef ds:uri="http://schemas.microsoft.com/sharepoint/v3/contenttype/forms"/>
  </ds:schemaRefs>
</ds:datastoreItem>
</file>

<file path=customXml/itemProps3.xml><?xml version="1.0" encoding="utf-8"?>
<ds:datastoreItem xmlns:ds="http://schemas.openxmlformats.org/officeDocument/2006/customXml" ds:itemID="{E1F0603D-31FF-4606-B248-5F0B0225A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489ef-dba1-4d1b-b549-99163309219c"/>
    <ds:schemaRef ds:uri="39ed6b35-db8a-4792-8939-827bf46f74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4B6160-3A88-4A58-A284-609C7197081B}">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Normal.dotm</Template>
  <TotalTime>851</TotalTime>
  <Pages>11</Pages>
  <Words>2717</Words>
  <Characters>15760</Characters>
  <Application>Microsoft Office Word</Application>
  <DocSecurity>0</DocSecurity>
  <Lines>366</Lines>
  <Paragraphs>160</Paragraphs>
  <ScaleCrop>false</ScaleCrop>
  <HeadingPairs>
    <vt:vector size="2" baseType="variant">
      <vt:variant>
        <vt:lpstr>Title</vt:lpstr>
      </vt:variant>
      <vt:variant>
        <vt:i4>1</vt:i4>
      </vt:variant>
    </vt:vector>
  </HeadingPairs>
  <TitlesOfParts>
    <vt:vector size="1" baseType="lpstr">
      <vt:lpstr/>
    </vt:vector>
  </TitlesOfParts>
  <Company>S A Reserve Bank</Company>
  <LinksUpToDate>false</LinksUpToDate>
  <CharactersWithSpaces>18317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Stewart Bobo</dc:creator>
  <cp:lastModifiedBy>Pierre Mananga</cp:lastModifiedBy>
  <cp:revision>66</cp:revision>
  <cp:lastPrinted>2019-09-05T05:25:00Z</cp:lastPrinted>
  <dcterms:created xsi:type="dcterms:W3CDTF">2024-02-05T17:15:00Z</dcterms:created>
  <dcterms:modified xsi:type="dcterms:W3CDTF">2024-02-09T03:45:00Z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2021-11-04T21:35:58Z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cd466f7e-7d64-42b2-a090-6bc61c9018a4</vt:lpwstr>
  </property>
  <property fmtid="{D5CDD505-2E9C-101B-9397-08002B2CF9AE}" pid="8" name="MSIP_Label_70c52299-74de-4dfd-b117-c9c408edfa50_ContentBits">
    <vt:lpwstr>0</vt:lpwstr>
  </property>
  <property fmtid="{D5CDD505-2E9C-101B-9397-08002B2CF9AE}" pid="9" name="GrammarlyDocumentId">
    <vt:lpwstr>b4a60ca1531d9e5efb331a2b46a206f72b24adbd5227ab1d8eecdc82cf39c7bd</vt:lpwstr>
  </property>
  <property fmtid="{D5CDD505-2E9C-101B-9397-08002B2CF9AE}" pid="10" name="ContentTypeId">
    <vt:lpwstr>0x01010095DE92B3A7428849870F47388D3151D6</vt:lpwstr>
  </property>
</Properties>
</file>