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1E27" w14:textId="77777777" w:rsidR="004C6560" w:rsidRPr="007344E5" w:rsidRDefault="004C6560" w:rsidP="004C6560">
      <w:pPr>
        <w:pStyle w:val="StyleTitle"/>
        <w:spacing w:line="240" w:lineRule="auto"/>
        <w:rPr>
          <w:rFonts w:cs="Arial"/>
        </w:rPr>
      </w:pPr>
      <w:r w:rsidRPr="007344E5">
        <w:rPr>
          <w:rFonts w:cs="Arial"/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2D46FF0A" wp14:editId="17B2DC41">
            <wp:simplePos x="0" y="0"/>
            <wp:positionH relativeFrom="page">
              <wp:align>left</wp:align>
            </wp:positionH>
            <wp:positionV relativeFrom="margin">
              <wp:posOffset>-1577340</wp:posOffset>
            </wp:positionV>
            <wp:extent cx="346499" cy="1764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99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959FB" w14:textId="6931A1FD" w:rsidR="004C6560" w:rsidRPr="001708F1" w:rsidRDefault="004C6560" w:rsidP="005C7818">
      <w:pPr>
        <w:jc w:val="both"/>
        <w:rPr>
          <w:rFonts w:ascii="Arial" w:hAnsi="Arial" w:cs="Arial"/>
          <w:b/>
        </w:rPr>
      </w:pPr>
      <w:r w:rsidRPr="001708F1">
        <w:rPr>
          <w:rFonts w:ascii="Arial" w:hAnsi="Arial" w:cs="Arial"/>
          <w:b/>
          <w:szCs w:val="24"/>
        </w:rPr>
        <w:t xml:space="preserve">Notice of </w:t>
      </w:r>
      <w:r w:rsidR="00D96F43">
        <w:rPr>
          <w:rFonts w:ascii="Arial" w:hAnsi="Arial" w:cs="Arial"/>
          <w:b/>
          <w:szCs w:val="24"/>
        </w:rPr>
        <w:t>i</w:t>
      </w:r>
      <w:r w:rsidR="00D96F43" w:rsidRPr="001708F1">
        <w:rPr>
          <w:rFonts w:ascii="Arial" w:hAnsi="Arial" w:cs="Arial"/>
          <w:b/>
          <w:szCs w:val="24"/>
        </w:rPr>
        <w:t xml:space="preserve">nvitation </w:t>
      </w:r>
      <w:r w:rsidRPr="001708F1">
        <w:rPr>
          <w:rFonts w:ascii="Arial" w:hAnsi="Arial" w:cs="Arial"/>
          <w:b/>
          <w:szCs w:val="24"/>
        </w:rPr>
        <w:t xml:space="preserve">to </w:t>
      </w:r>
      <w:r w:rsidR="00453A47">
        <w:rPr>
          <w:rFonts w:ascii="Arial" w:hAnsi="Arial" w:cs="Arial"/>
          <w:b/>
          <w:szCs w:val="24"/>
        </w:rPr>
        <w:t>c</w:t>
      </w:r>
      <w:r w:rsidRPr="001708F1">
        <w:rPr>
          <w:rFonts w:ascii="Arial" w:hAnsi="Arial" w:cs="Arial"/>
          <w:b/>
          <w:szCs w:val="24"/>
        </w:rPr>
        <w:t xml:space="preserve">omment </w:t>
      </w:r>
      <w:r w:rsidR="005C7818">
        <w:rPr>
          <w:rFonts w:ascii="Arial" w:hAnsi="Arial" w:cs="Arial"/>
          <w:b/>
          <w:szCs w:val="24"/>
        </w:rPr>
        <w:t>on the p</w:t>
      </w:r>
      <w:r w:rsidR="0023747B">
        <w:rPr>
          <w:rFonts w:ascii="Arial" w:hAnsi="Arial" w:cs="Arial"/>
          <w:b/>
          <w:szCs w:val="24"/>
        </w:rPr>
        <w:t xml:space="preserve">roposed </w:t>
      </w:r>
      <w:r w:rsidR="00F65FBB">
        <w:rPr>
          <w:rFonts w:ascii="Arial" w:hAnsi="Arial" w:cs="Arial"/>
          <w:b/>
          <w:szCs w:val="24"/>
        </w:rPr>
        <w:t>g</w:t>
      </w:r>
      <w:r w:rsidR="0023747B">
        <w:rPr>
          <w:rFonts w:ascii="Arial" w:hAnsi="Arial" w:cs="Arial"/>
          <w:b/>
          <w:szCs w:val="24"/>
        </w:rPr>
        <w:t xml:space="preserve">uidance on climate-related risk management practices and climate-related disclosures for banks and </w:t>
      </w:r>
      <w:r w:rsidR="005A00DD">
        <w:rPr>
          <w:rFonts w:ascii="Arial" w:hAnsi="Arial" w:cs="Arial"/>
          <w:b/>
          <w:szCs w:val="24"/>
        </w:rPr>
        <w:t>insurers</w:t>
      </w:r>
    </w:p>
    <w:p w14:paraId="3CC09613" w14:textId="77777777" w:rsidR="004C6560" w:rsidRPr="002412C3" w:rsidRDefault="004C6560" w:rsidP="009E526A">
      <w:pPr>
        <w:ind w:left="709" w:hanging="709"/>
        <w:rPr>
          <w:rFonts w:cs="Arial"/>
          <w:b/>
        </w:rPr>
      </w:pPr>
    </w:p>
    <w:p w14:paraId="780C82E3" w14:textId="45BE1962" w:rsidR="005C7818" w:rsidRDefault="00251420" w:rsidP="005C7818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 xml:space="preserve">Following the Prudential Communication </w:t>
      </w:r>
      <w:r w:rsidR="00470578">
        <w:rPr>
          <w:rFonts w:ascii="Arial" w:hAnsi="Arial"/>
        </w:rPr>
        <w:t>on Climate-related risks, Prudential Communication 10 of 2022, t</w:t>
      </w:r>
      <w:r w:rsidR="005C7818" w:rsidRPr="005C7818">
        <w:rPr>
          <w:rFonts w:ascii="Arial" w:hAnsi="Arial"/>
        </w:rPr>
        <w:t>h</w:t>
      </w:r>
      <w:r w:rsidR="005C7818">
        <w:rPr>
          <w:rFonts w:ascii="Arial" w:hAnsi="Arial"/>
        </w:rPr>
        <w:t>e Prudential Authority</w:t>
      </w:r>
      <w:r w:rsidR="00470578">
        <w:rPr>
          <w:rFonts w:ascii="Arial" w:hAnsi="Arial"/>
        </w:rPr>
        <w:t xml:space="preserve"> (PA)</w:t>
      </w:r>
      <w:r w:rsidR="005C7818">
        <w:rPr>
          <w:rFonts w:ascii="Arial" w:hAnsi="Arial"/>
        </w:rPr>
        <w:t xml:space="preserve"> hereby issues the following </w:t>
      </w:r>
      <w:r w:rsidR="004E07B7">
        <w:rPr>
          <w:rFonts w:ascii="Arial" w:hAnsi="Arial"/>
        </w:rPr>
        <w:t>p</w:t>
      </w:r>
      <w:r w:rsidR="005C7818">
        <w:rPr>
          <w:rFonts w:ascii="Arial" w:hAnsi="Arial"/>
        </w:rPr>
        <w:t xml:space="preserve">roposed </w:t>
      </w:r>
      <w:r w:rsidR="004E07B7">
        <w:rPr>
          <w:rFonts w:ascii="Arial" w:hAnsi="Arial"/>
        </w:rPr>
        <w:t>g</w:t>
      </w:r>
      <w:r w:rsidR="005C7818">
        <w:rPr>
          <w:rFonts w:ascii="Arial" w:hAnsi="Arial"/>
        </w:rPr>
        <w:t xml:space="preserve">uidance </w:t>
      </w:r>
      <w:r w:rsidR="004E07B7">
        <w:rPr>
          <w:rFonts w:ascii="Arial" w:hAnsi="Arial"/>
        </w:rPr>
        <w:t>n</w:t>
      </w:r>
      <w:r w:rsidR="005C7818">
        <w:rPr>
          <w:rFonts w:ascii="Arial" w:hAnsi="Arial"/>
        </w:rPr>
        <w:t>otices</w:t>
      </w:r>
      <w:r w:rsidR="00522B79">
        <w:rPr>
          <w:rFonts w:ascii="Arial" w:hAnsi="Arial"/>
        </w:rPr>
        <w:t xml:space="preserve"> and notes</w:t>
      </w:r>
      <w:r w:rsidR="005C7818">
        <w:rPr>
          <w:rFonts w:ascii="Arial" w:hAnsi="Arial"/>
        </w:rPr>
        <w:t xml:space="preserve"> for comment:</w:t>
      </w:r>
    </w:p>
    <w:p w14:paraId="3852701D" w14:textId="77777777" w:rsidR="005C7818" w:rsidRPr="005C7818" w:rsidRDefault="005C7818" w:rsidP="00E73B8D">
      <w:pPr>
        <w:pStyle w:val="ListParagraph"/>
        <w:numPr>
          <w:ilvl w:val="0"/>
          <w:numId w:val="3"/>
        </w:numPr>
        <w:spacing w:after="240" w:line="276" w:lineRule="auto"/>
        <w:ind w:left="567" w:hanging="567"/>
        <w:jc w:val="both"/>
      </w:pPr>
      <w:r w:rsidRPr="005C7818">
        <w:t xml:space="preserve">Proposed Guidance Notice – Climate-related risk practices for insurers </w:t>
      </w:r>
    </w:p>
    <w:p w14:paraId="4DA3E9A4" w14:textId="77777777" w:rsidR="005C7818" w:rsidRPr="005C7818" w:rsidRDefault="005C7818" w:rsidP="00E73B8D">
      <w:pPr>
        <w:pStyle w:val="ListParagraph"/>
        <w:numPr>
          <w:ilvl w:val="0"/>
          <w:numId w:val="3"/>
        </w:numPr>
        <w:spacing w:after="240" w:line="276" w:lineRule="auto"/>
        <w:ind w:left="567" w:hanging="567"/>
        <w:jc w:val="both"/>
      </w:pPr>
      <w:r w:rsidRPr="005C7818">
        <w:t xml:space="preserve">Proposed Guidance Note – Climate-related risk practices for banks </w:t>
      </w:r>
    </w:p>
    <w:p w14:paraId="24472201" w14:textId="77777777" w:rsidR="005C7818" w:rsidRPr="005C7818" w:rsidRDefault="005C7818" w:rsidP="00E73B8D">
      <w:pPr>
        <w:pStyle w:val="ListParagraph"/>
        <w:numPr>
          <w:ilvl w:val="0"/>
          <w:numId w:val="3"/>
        </w:numPr>
        <w:spacing w:after="240" w:line="276" w:lineRule="auto"/>
        <w:ind w:left="567" w:hanging="567"/>
        <w:jc w:val="both"/>
      </w:pPr>
      <w:r w:rsidRPr="005C7818">
        <w:t xml:space="preserve">Proposed Guidance Notice – Climate-related disclosures for insurers </w:t>
      </w:r>
    </w:p>
    <w:p w14:paraId="57F049A4" w14:textId="77777777" w:rsidR="005C7818" w:rsidRPr="005C7818" w:rsidRDefault="005C7818" w:rsidP="00E73B8D">
      <w:pPr>
        <w:pStyle w:val="ListParagraph"/>
        <w:numPr>
          <w:ilvl w:val="0"/>
          <w:numId w:val="3"/>
        </w:numPr>
        <w:spacing w:after="240" w:line="276" w:lineRule="auto"/>
        <w:ind w:left="567" w:hanging="567"/>
        <w:jc w:val="both"/>
      </w:pPr>
      <w:r w:rsidRPr="005C7818">
        <w:t xml:space="preserve">Proposed Guidance Note – Climate-related disclosures for banks </w:t>
      </w:r>
    </w:p>
    <w:p w14:paraId="74A8DEC4" w14:textId="5EB0E2CE" w:rsidR="00C56D76" w:rsidRDefault="005C7818" w:rsidP="005C7818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 xml:space="preserve">Whilst </w:t>
      </w:r>
      <w:r w:rsidR="004E07B7">
        <w:rPr>
          <w:rFonts w:ascii="Arial" w:hAnsi="Arial"/>
        </w:rPr>
        <w:t>g</w:t>
      </w:r>
      <w:r>
        <w:rPr>
          <w:rFonts w:ascii="Arial" w:hAnsi="Arial"/>
        </w:rPr>
        <w:t xml:space="preserve">uidance </w:t>
      </w:r>
      <w:r w:rsidR="004E07B7">
        <w:rPr>
          <w:rFonts w:ascii="Arial" w:hAnsi="Arial"/>
        </w:rPr>
        <w:t>notices</w:t>
      </w:r>
      <w:r>
        <w:rPr>
          <w:rFonts w:ascii="Arial" w:hAnsi="Arial"/>
        </w:rPr>
        <w:t xml:space="preserve"> </w:t>
      </w:r>
      <w:r w:rsidR="00522B79">
        <w:rPr>
          <w:rFonts w:ascii="Arial" w:hAnsi="Arial"/>
        </w:rPr>
        <w:t xml:space="preserve">and notes </w:t>
      </w:r>
      <w:r>
        <w:rPr>
          <w:rFonts w:ascii="Arial" w:hAnsi="Arial"/>
        </w:rPr>
        <w:t xml:space="preserve">are not usually issued for </w:t>
      </w:r>
      <w:r w:rsidR="00285F83">
        <w:rPr>
          <w:rFonts w:ascii="Arial" w:hAnsi="Arial"/>
        </w:rPr>
        <w:t>industry</w:t>
      </w:r>
      <w:r>
        <w:rPr>
          <w:rFonts w:ascii="Arial" w:hAnsi="Arial"/>
        </w:rPr>
        <w:t xml:space="preserve"> comments, g</w:t>
      </w:r>
      <w:r w:rsidRPr="005C7818">
        <w:rPr>
          <w:rFonts w:ascii="Arial" w:hAnsi="Arial"/>
        </w:rPr>
        <w:t>iven the nascent nature of climate risk management, and the requirement for specialist skills, capacity and data, the</w:t>
      </w:r>
      <w:r>
        <w:rPr>
          <w:rFonts w:ascii="Arial" w:hAnsi="Arial"/>
        </w:rPr>
        <w:t>se</w:t>
      </w:r>
      <w:r w:rsidRPr="005C7818">
        <w:rPr>
          <w:rFonts w:ascii="Arial" w:hAnsi="Arial"/>
        </w:rPr>
        <w:t xml:space="preserve"> notices</w:t>
      </w:r>
      <w:r w:rsidR="00813FC9">
        <w:rPr>
          <w:rFonts w:ascii="Arial" w:hAnsi="Arial"/>
        </w:rPr>
        <w:t xml:space="preserve"> and notes</w:t>
      </w:r>
      <w:r w:rsidRPr="005C7818">
        <w:rPr>
          <w:rFonts w:ascii="Arial" w:hAnsi="Arial"/>
        </w:rPr>
        <w:t xml:space="preserve"> are released for </w:t>
      </w:r>
      <w:r w:rsidR="00285F83">
        <w:rPr>
          <w:rFonts w:ascii="Arial" w:hAnsi="Arial"/>
        </w:rPr>
        <w:t>comments</w:t>
      </w:r>
      <w:r w:rsidR="00724CD4">
        <w:rPr>
          <w:rFonts w:ascii="Arial" w:hAnsi="Arial"/>
        </w:rPr>
        <w:t xml:space="preserve"> and inputs</w:t>
      </w:r>
      <w:r w:rsidR="00285F83">
        <w:rPr>
          <w:rFonts w:ascii="Arial" w:hAnsi="Arial"/>
        </w:rPr>
        <w:t>, before being finalised</w:t>
      </w:r>
      <w:r w:rsidRPr="005C7818">
        <w:rPr>
          <w:rFonts w:ascii="Arial" w:hAnsi="Arial"/>
        </w:rPr>
        <w:t>.</w:t>
      </w:r>
      <w:r w:rsidR="00BC7B41">
        <w:rPr>
          <w:rFonts w:ascii="Arial" w:hAnsi="Arial"/>
        </w:rPr>
        <w:t xml:space="preserve"> In addition to general comments, the PA is requesting</w:t>
      </w:r>
      <w:r w:rsidR="00812A94">
        <w:rPr>
          <w:rFonts w:ascii="Arial" w:hAnsi="Arial"/>
        </w:rPr>
        <w:t xml:space="preserve"> </w:t>
      </w:r>
      <w:r w:rsidR="00724CD4">
        <w:rPr>
          <w:rFonts w:ascii="Arial" w:hAnsi="Arial"/>
        </w:rPr>
        <w:t>inputs</w:t>
      </w:r>
      <w:r w:rsidR="00812A94">
        <w:rPr>
          <w:rFonts w:ascii="Arial" w:hAnsi="Arial"/>
        </w:rPr>
        <w:t xml:space="preserve"> on</w:t>
      </w:r>
      <w:r w:rsidR="00C56D76">
        <w:rPr>
          <w:rFonts w:ascii="Arial" w:hAnsi="Arial"/>
        </w:rPr>
        <w:t xml:space="preserve"> the following areas:</w:t>
      </w:r>
    </w:p>
    <w:p w14:paraId="4EAFDE0B" w14:textId="7D281267" w:rsidR="005C7818" w:rsidRDefault="00C56D76" w:rsidP="00C56D76">
      <w:pPr>
        <w:pStyle w:val="ListParagraph"/>
        <w:numPr>
          <w:ilvl w:val="0"/>
          <w:numId w:val="5"/>
        </w:numPr>
        <w:spacing w:after="240"/>
        <w:jc w:val="both"/>
      </w:pPr>
      <w:r>
        <w:t>W</w:t>
      </w:r>
      <w:r w:rsidR="00812A94" w:rsidRPr="00C56D76">
        <w:t xml:space="preserve">hether the Guidance Notices </w:t>
      </w:r>
      <w:r w:rsidR="00813FC9">
        <w:t xml:space="preserve">and Guidance Notes </w:t>
      </w:r>
      <w:r w:rsidR="00812A94" w:rsidRPr="00C56D76">
        <w:t xml:space="preserve">provide an appropriate level of ambition for climate-related </w:t>
      </w:r>
      <w:r w:rsidRPr="00C56D76">
        <w:t>risk management and disclosures, relat</w:t>
      </w:r>
      <w:r>
        <w:t>ive</w:t>
      </w:r>
      <w:r w:rsidRPr="00C56D76">
        <w:t xml:space="preserve"> to your institutions</w:t>
      </w:r>
      <w:r>
        <w:t xml:space="preserve"> approach to climate-related risks and opportunities.</w:t>
      </w:r>
    </w:p>
    <w:p w14:paraId="7A58C1C6" w14:textId="51D3EF9E" w:rsidR="00C56D76" w:rsidRDefault="00C56D76" w:rsidP="00C56D76">
      <w:pPr>
        <w:pStyle w:val="ListParagraph"/>
        <w:numPr>
          <w:ilvl w:val="0"/>
          <w:numId w:val="5"/>
        </w:numPr>
        <w:spacing w:after="240"/>
        <w:jc w:val="both"/>
      </w:pPr>
      <w:r>
        <w:t>What are your current or anticipated key challen</w:t>
      </w:r>
      <w:r w:rsidR="00F851C8">
        <w:t>ges</w:t>
      </w:r>
      <w:r w:rsidR="003A7E89">
        <w:t xml:space="preserve"> </w:t>
      </w:r>
      <w:r w:rsidR="003A7E89">
        <w:rPr>
          <w:rFonts w:cs="Arial"/>
        </w:rPr>
        <w:t>in climate-related risk practices and disclosures</w:t>
      </w:r>
      <w:r w:rsidR="00F851C8">
        <w:t>.</w:t>
      </w:r>
    </w:p>
    <w:p w14:paraId="632F5502" w14:textId="53942B9D" w:rsidR="00F851B0" w:rsidRPr="00F851C8" w:rsidRDefault="00F851C8" w:rsidP="005C7818">
      <w:pPr>
        <w:pStyle w:val="ListParagraph"/>
        <w:numPr>
          <w:ilvl w:val="0"/>
          <w:numId w:val="5"/>
        </w:numPr>
        <w:spacing w:after="240"/>
        <w:jc w:val="both"/>
      </w:pPr>
      <w:r>
        <w:t>Whether there are any major areas which the Guidance Notice</w:t>
      </w:r>
      <w:r w:rsidR="009A4B1F">
        <w:t xml:space="preserve"> and Guidance Notices</w:t>
      </w:r>
      <w:r>
        <w:t xml:space="preserve"> do</w:t>
      </w:r>
      <w:r w:rsidR="00B763D0">
        <w:t xml:space="preserve"> </w:t>
      </w:r>
      <w:r>
        <w:t>not cover</w:t>
      </w:r>
      <w:r w:rsidR="00F44E50">
        <w:t xml:space="preserve"> or should </w:t>
      </w:r>
      <w:r w:rsidR="003A7E89">
        <w:t xml:space="preserve">not </w:t>
      </w:r>
      <w:r w:rsidR="00F44E50">
        <w:t>cover</w:t>
      </w:r>
      <w:r w:rsidR="003A7E89">
        <w:t>.</w:t>
      </w:r>
    </w:p>
    <w:p w14:paraId="5BAF7C77" w14:textId="56BE21C0" w:rsidR="005C7818" w:rsidRPr="005C7818" w:rsidRDefault="005C7818" w:rsidP="005C7818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 xml:space="preserve">All comments and responses should be submitted, using the comment templates provided, </w:t>
      </w:r>
      <w:r w:rsidRPr="005C7818">
        <w:rPr>
          <w:rFonts w:ascii="Arial" w:hAnsi="Arial"/>
        </w:rPr>
        <w:t xml:space="preserve">to: </w:t>
      </w:r>
      <w:hyperlink r:id="rId11" w:history="1">
        <w:r w:rsidRPr="00A069F2">
          <w:rPr>
            <w:rStyle w:val="Hyperlink"/>
            <w:rFonts w:ascii="Arial" w:hAnsi="Arial" w:cs="Arial"/>
          </w:rPr>
          <w:t>PA-Standards@resbank.co.za</w:t>
        </w:r>
      </w:hyperlink>
      <w:r w:rsidRPr="00A069F2">
        <w:rPr>
          <w:rFonts w:ascii="Arial" w:hAnsi="Arial" w:cs="Arial"/>
        </w:rPr>
        <w:t xml:space="preserve"> </w:t>
      </w:r>
      <w:r w:rsidRPr="005C7818">
        <w:rPr>
          <w:rFonts w:ascii="Arial" w:hAnsi="Arial"/>
        </w:rPr>
        <w:t>for the attention of Ms. Sarah McPhail</w:t>
      </w:r>
      <w:r w:rsidR="00F23321">
        <w:rPr>
          <w:rFonts w:ascii="Arial" w:hAnsi="Arial"/>
        </w:rPr>
        <w:t xml:space="preserve">, Mr Christiaan Henning and </w:t>
      </w:r>
      <w:r w:rsidR="001701C1">
        <w:rPr>
          <w:rFonts w:ascii="Arial" w:hAnsi="Arial"/>
        </w:rPr>
        <w:t>Mr Ashendran Padayachee</w:t>
      </w:r>
      <w:r w:rsidRPr="005C7818">
        <w:rPr>
          <w:rFonts w:ascii="Arial" w:hAnsi="Arial"/>
        </w:rPr>
        <w:t>,</w:t>
      </w:r>
      <w:r w:rsidR="00A069F2">
        <w:rPr>
          <w:rFonts w:ascii="Arial" w:hAnsi="Arial"/>
        </w:rPr>
        <w:t xml:space="preserve"> on or before </w:t>
      </w:r>
      <w:r w:rsidR="00222177">
        <w:rPr>
          <w:rFonts w:ascii="Arial" w:hAnsi="Arial"/>
        </w:rPr>
        <w:t xml:space="preserve">13 September 2023. </w:t>
      </w:r>
    </w:p>
    <w:p w14:paraId="36E3444F" w14:textId="77777777" w:rsidR="004C6560" w:rsidRPr="001708F1" w:rsidRDefault="004C6560" w:rsidP="004C6560">
      <w:pPr>
        <w:pStyle w:val="Default"/>
        <w:ind w:left="720" w:hanging="720"/>
        <w:jc w:val="both"/>
        <w:rPr>
          <w:color w:val="auto"/>
        </w:rPr>
      </w:pPr>
    </w:p>
    <w:p w14:paraId="47C06A15" w14:textId="77777777" w:rsidR="004C6560" w:rsidRDefault="004C6560" w:rsidP="004C6560">
      <w:pPr>
        <w:pStyle w:val="Default"/>
        <w:ind w:left="720" w:hanging="720"/>
        <w:jc w:val="both"/>
        <w:rPr>
          <w:color w:val="auto"/>
        </w:rPr>
      </w:pPr>
    </w:p>
    <w:p w14:paraId="1F2CB26D" w14:textId="77777777" w:rsidR="006D2CC0" w:rsidRPr="001708F1" w:rsidRDefault="006D2CC0" w:rsidP="004C6560">
      <w:pPr>
        <w:pStyle w:val="Default"/>
        <w:ind w:left="720" w:hanging="720"/>
        <w:jc w:val="both"/>
        <w:rPr>
          <w:color w:val="auto"/>
        </w:rPr>
      </w:pPr>
    </w:p>
    <w:p w14:paraId="3BB28A3C" w14:textId="77777777" w:rsidR="004C6560" w:rsidRPr="001708F1" w:rsidRDefault="004C6560" w:rsidP="004C6560">
      <w:pPr>
        <w:pStyle w:val="Default"/>
        <w:ind w:left="720" w:hanging="720"/>
        <w:jc w:val="both"/>
        <w:rPr>
          <w:color w:val="auto"/>
        </w:rPr>
      </w:pPr>
    </w:p>
    <w:p w14:paraId="660B87AD" w14:textId="77777777" w:rsidR="00A26DCE" w:rsidRDefault="00A26DCE"/>
    <w:sectPr w:rsidR="00A26D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0863" w14:textId="77777777" w:rsidR="001458AB" w:rsidRDefault="001458AB" w:rsidP="004C6560">
      <w:r>
        <w:separator/>
      </w:r>
    </w:p>
  </w:endnote>
  <w:endnote w:type="continuationSeparator" w:id="0">
    <w:p w14:paraId="32661D9D" w14:textId="77777777" w:rsidR="001458AB" w:rsidRDefault="001458AB" w:rsidP="004C6560">
      <w:r>
        <w:continuationSeparator/>
      </w:r>
    </w:p>
  </w:endnote>
  <w:endnote w:type="continuationNotice" w:id="1">
    <w:p w14:paraId="7663463C" w14:textId="77777777" w:rsidR="001458AB" w:rsidRDefault="00145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3DA5" w14:textId="77777777" w:rsidR="001150B3" w:rsidRDefault="0011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8753" w14:textId="77777777" w:rsidR="001150B3" w:rsidRDefault="00FE3025">
    <w:pPr>
      <w:pStyle w:val="Footer"/>
      <w:jc w:val="right"/>
      <w:rPr>
        <w:rFonts w:ascii="Arial" w:hAnsi="Arial" w:cs="Arial"/>
        <w:sz w:val="20"/>
        <w:lang w:val="en-US"/>
      </w:rPr>
    </w:pPr>
    <w:r w:rsidRPr="007145FD">
      <w:rPr>
        <w:rFonts w:ascii="Arial" w:hAnsi="Arial" w:cs="Arial"/>
        <w:sz w:val="20"/>
        <w:lang w:val="en-US"/>
      </w:rPr>
      <w:t>2</w:t>
    </w:r>
  </w:p>
  <w:p w14:paraId="5E736938" w14:textId="77777777" w:rsidR="001150B3" w:rsidRPr="007145FD" w:rsidRDefault="001150B3">
    <w:pPr>
      <w:pStyle w:val="Footer"/>
      <w:jc w:val="right"/>
      <w:rPr>
        <w:rFonts w:ascii="Arial" w:hAnsi="Arial" w:cs="Arial"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6BD1" w14:textId="77777777" w:rsidR="001150B3" w:rsidRPr="00104070" w:rsidRDefault="00FE3025">
    <w:pPr>
      <w:pStyle w:val="Footer"/>
      <w:tabs>
        <w:tab w:val="clear" w:pos="4153"/>
        <w:tab w:val="clear" w:pos="8306"/>
        <w:tab w:val="center" w:pos="9498"/>
        <w:tab w:val="right" w:pos="9632"/>
      </w:tabs>
      <w:spacing w:after="120"/>
      <w:rPr>
        <w:rFonts w:ascii="Arial" w:eastAsiaTheme="majorEastAsia" w:hAnsi="Arial" w:cs="Arial"/>
        <w:noProof/>
        <w:sz w:val="20"/>
      </w:rPr>
    </w:pPr>
    <w:r w:rsidRPr="00104070">
      <w:rPr>
        <w:rFonts w:ascii="Arial" w:eastAsiaTheme="minorEastAsia" w:hAnsi="Arial" w:cs="Arial"/>
        <w:sz w:val="20"/>
      </w:rPr>
      <w:tab/>
    </w:r>
    <w:r w:rsidRPr="00104070">
      <w:rPr>
        <w:rFonts w:ascii="Arial" w:eastAsiaTheme="minorEastAsia" w:hAnsi="Arial" w:cs="Arial"/>
        <w:sz w:val="20"/>
      </w:rPr>
      <w:fldChar w:fldCharType="begin"/>
    </w:r>
    <w:r w:rsidRPr="00104070">
      <w:rPr>
        <w:rFonts w:ascii="Arial" w:hAnsi="Arial" w:cs="Arial"/>
        <w:sz w:val="20"/>
      </w:rPr>
      <w:instrText xml:space="preserve"> PAGE    \* MERGEFORMAT </w:instrText>
    </w:r>
    <w:r w:rsidRPr="00104070">
      <w:rPr>
        <w:rFonts w:ascii="Arial" w:eastAsiaTheme="minorEastAsia" w:hAnsi="Arial" w:cs="Arial"/>
        <w:sz w:val="20"/>
      </w:rPr>
      <w:fldChar w:fldCharType="separate"/>
    </w:r>
    <w:r w:rsidRPr="002273EA">
      <w:rPr>
        <w:rFonts w:ascii="Arial" w:eastAsiaTheme="majorEastAsia" w:hAnsi="Arial" w:cs="Arial"/>
        <w:noProof/>
        <w:sz w:val="20"/>
      </w:rPr>
      <w:t>1</w:t>
    </w:r>
    <w:r w:rsidRPr="00104070">
      <w:rPr>
        <w:rFonts w:ascii="Arial" w:eastAsiaTheme="majorEastAsia" w:hAnsi="Arial" w:cs="Arial"/>
        <w:noProof/>
        <w:sz w:val="20"/>
      </w:rPr>
      <w:fldChar w:fldCharType="end"/>
    </w:r>
  </w:p>
  <w:p w14:paraId="453C3147" w14:textId="77777777" w:rsidR="001150B3" w:rsidRPr="00104070" w:rsidRDefault="001150B3">
    <w:pPr>
      <w:spacing w:after="120"/>
      <w:jc w:val="center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1BFE" w14:textId="77777777" w:rsidR="001458AB" w:rsidRDefault="001458AB" w:rsidP="004C6560">
      <w:r>
        <w:separator/>
      </w:r>
    </w:p>
  </w:footnote>
  <w:footnote w:type="continuationSeparator" w:id="0">
    <w:p w14:paraId="00A8EC33" w14:textId="77777777" w:rsidR="001458AB" w:rsidRDefault="001458AB" w:rsidP="004C6560">
      <w:r>
        <w:continuationSeparator/>
      </w:r>
    </w:p>
  </w:footnote>
  <w:footnote w:type="continuationNotice" w:id="1">
    <w:p w14:paraId="46836ED8" w14:textId="77777777" w:rsidR="001458AB" w:rsidRDefault="001458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3FE5" w14:textId="77777777" w:rsidR="001150B3" w:rsidRDefault="00115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5BD0" w14:textId="77777777" w:rsidR="001150B3" w:rsidRDefault="00115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8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"/>
      <w:gridCol w:w="3376"/>
      <w:gridCol w:w="5693"/>
    </w:tblGrid>
    <w:tr w:rsidR="001150B3" w14:paraId="1F0ABCE5" w14:textId="77777777">
      <w:trPr>
        <w:trHeight w:val="363"/>
      </w:trPr>
      <w:tc>
        <w:tcPr>
          <w:tcW w:w="315" w:type="dxa"/>
        </w:tcPr>
        <w:p w14:paraId="51E77CC8" w14:textId="77777777" w:rsidR="001150B3" w:rsidRDefault="00FE3025">
          <w:pPr>
            <w:jc w:val="center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4B8B3070" wp14:editId="35CE038B">
                <wp:extent cx="194310" cy="45720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" cy="4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6" w:type="dxa"/>
          <w:tcMar>
            <w:left w:w="113" w:type="dxa"/>
          </w:tcMar>
        </w:tcPr>
        <w:p w14:paraId="38AAEB4F" w14:textId="77777777" w:rsidR="001150B3" w:rsidRPr="0083109A" w:rsidRDefault="001150B3">
          <w:pPr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5693" w:type="dxa"/>
          <w:vMerge w:val="restart"/>
        </w:tcPr>
        <w:p w14:paraId="101209B2" w14:textId="77777777" w:rsidR="001150B3" w:rsidRDefault="00FE3025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B6AB095" wp14:editId="070509BE">
                <wp:extent cx="1347470" cy="1078865"/>
                <wp:effectExtent l="0" t="0" r="508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150B3" w14:paraId="0C270CCE" w14:textId="77777777">
      <w:trPr>
        <w:trHeight w:hRule="exact" w:val="365"/>
      </w:trPr>
      <w:tc>
        <w:tcPr>
          <w:tcW w:w="315" w:type="dxa"/>
          <w:noWrap/>
          <w:tcMar>
            <w:bottom w:w="17" w:type="dxa"/>
          </w:tcMar>
          <w:vAlign w:val="bottom"/>
        </w:tcPr>
        <w:p w14:paraId="79FD5EC0" w14:textId="77777777" w:rsidR="001150B3" w:rsidRDefault="00FE3025">
          <w:pPr>
            <w:jc w:val="center"/>
          </w:pPr>
          <w:r>
            <w:rPr>
              <w:rFonts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1" layoutInCell="1" allowOverlap="1" wp14:anchorId="675367AE" wp14:editId="05BD7E1E">
                <wp:simplePos x="0" y="0"/>
                <wp:positionH relativeFrom="column">
                  <wp:posOffset>26670</wp:posOffset>
                </wp:positionH>
                <wp:positionV relativeFrom="paragraph">
                  <wp:posOffset>60960</wp:posOffset>
                </wp:positionV>
                <wp:extent cx="147600" cy="144000"/>
                <wp:effectExtent l="0" t="0" r="5080" b="889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76" w:type="dxa"/>
          <w:noWrap/>
          <w:tcMar>
            <w:left w:w="57" w:type="dxa"/>
            <w:bottom w:w="17" w:type="dxa"/>
          </w:tcMar>
          <w:vAlign w:val="bottom"/>
        </w:tcPr>
        <w:p w14:paraId="0828E97C" w14:textId="77777777" w:rsidR="001150B3" w:rsidRDefault="00FE3025">
          <w:r w:rsidRPr="0083109A">
            <w:rPr>
              <w:rFonts w:cs="Arial"/>
              <w:sz w:val="16"/>
              <w:szCs w:val="16"/>
            </w:rPr>
            <w:t>P O Box 427  Pretoria  0001  South Africa</w:t>
          </w:r>
        </w:p>
      </w:tc>
      <w:tc>
        <w:tcPr>
          <w:tcW w:w="5693" w:type="dxa"/>
          <w:vMerge/>
        </w:tcPr>
        <w:p w14:paraId="2491E5BB" w14:textId="77777777" w:rsidR="001150B3" w:rsidRPr="0083109A" w:rsidRDefault="001150B3">
          <w:pPr>
            <w:jc w:val="right"/>
            <w:rPr>
              <w:rFonts w:cs="Arial"/>
              <w:sz w:val="16"/>
              <w:szCs w:val="16"/>
            </w:rPr>
          </w:pPr>
        </w:p>
      </w:tc>
    </w:tr>
    <w:tr w:rsidR="001150B3" w14:paraId="706C13C9" w14:textId="77777777">
      <w:trPr>
        <w:trHeight w:hRule="exact" w:val="365"/>
      </w:trPr>
      <w:tc>
        <w:tcPr>
          <w:tcW w:w="315" w:type="dxa"/>
          <w:noWrap/>
          <w:tcMar>
            <w:bottom w:w="17" w:type="dxa"/>
          </w:tcMar>
          <w:vAlign w:val="bottom"/>
        </w:tcPr>
        <w:p w14:paraId="5122F474" w14:textId="77777777" w:rsidR="001150B3" w:rsidRDefault="00FE3025">
          <w:pPr>
            <w:jc w:val="center"/>
          </w:pPr>
          <w:r>
            <w:rPr>
              <w:rFonts w:cs="Arial"/>
              <w:noProof/>
              <w:sz w:val="16"/>
              <w:szCs w:val="16"/>
            </w:rPr>
            <w:drawing>
              <wp:anchor distT="0" distB="0" distL="114300" distR="114300" simplePos="0" relativeHeight="251658241" behindDoc="1" locked="0" layoutInCell="1" allowOverlap="1" wp14:anchorId="519BFAB2" wp14:editId="67ED6889">
                <wp:simplePos x="0" y="0"/>
                <wp:positionH relativeFrom="column">
                  <wp:posOffset>46990</wp:posOffset>
                </wp:positionH>
                <wp:positionV relativeFrom="paragraph">
                  <wp:posOffset>63500</wp:posOffset>
                </wp:positionV>
                <wp:extent cx="111600" cy="144000"/>
                <wp:effectExtent l="0" t="0" r="0" b="889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76" w:type="dxa"/>
          <w:noWrap/>
          <w:tcMar>
            <w:left w:w="57" w:type="dxa"/>
            <w:bottom w:w="17" w:type="dxa"/>
          </w:tcMar>
          <w:vAlign w:val="bottom"/>
        </w:tcPr>
        <w:p w14:paraId="4508FA21" w14:textId="77777777" w:rsidR="001150B3" w:rsidRDefault="00FE3025">
          <w:r w:rsidRPr="0083109A">
            <w:rPr>
              <w:rFonts w:cs="Arial"/>
              <w:sz w:val="16"/>
              <w:szCs w:val="16"/>
            </w:rPr>
            <w:t>370 Helen Joseph Street  Pretoria  0002</w:t>
          </w:r>
        </w:p>
      </w:tc>
      <w:tc>
        <w:tcPr>
          <w:tcW w:w="5693" w:type="dxa"/>
          <w:vMerge/>
        </w:tcPr>
        <w:p w14:paraId="0470A4BA" w14:textId="77777777" w:rsidR="001150B3" w:rsidRPr="0083109A" w:rsidRDefault="001150B3">
          <w:pPr>
            <w:rPr>
              <w:rFonts w:cs="Arial"/>
              <w:sz w:val="16"/>
              <w:szCs w:val="16"/>
            </w:rPr>
          </w:pPr>
        </w:p>
      </w:tc>
    </w:tr>
    <w:tr w:rsidR="001150B3" w14:paraId="3AA7176D" w14:textId="77777777">
      <w:trPr>
        <w:trHeight w:hRule="exact" w:val="365"/>
      </w:trPr>
      <w:tc>
        <w:tcPr>
          <w:tcW w:w="315" w:type="dxa"/>
          <w:noWrap/>
          <w:tcMar>
            <w:bottom w:w="17" w:type="dxa"/>
          </w:tcMar>
          <w:vAlign w:val="bottom"/>
        </w:tcPr>
        <w:p w14:paraId="7D400A44" w14:textId="77777777" w:rsidR="001150B3" w:rsidRDefault="00FE3025">
          <w:pPr>
            <w:jc w:val="center"/>
          </w:pPr>
          <w:r>
            <w:rPr>
              <w:rFonts w:cs="Arial"/>
              <w:noProof/>
              <w:sz w:val="16"/>
              <w:szCs w:val="16"/>
            </w:rPr>
            <w:drawing>
              <wp:anchor distT="0" distB="0" distL="114300" distR="114300" simplePos="0" relativeHeight="251658242" behindDoc="1" locked="1" layoutInCell="1" allowOverlap="1" wp14:anchorId="19D042DD" wp14:editId="65A1CBC2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9200" cy="144000"/>
                <wp:effectExtent l="0" t="0" r="8890" b="889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76" w:type="dxa"/>
          <w:noWrap/>
          <w:tcMar>
            <w:left w:w="57" w:type="dxa"/>
            <w:bottom w:w="17" w:type="dxa"/>
          </w:tcMar>
          <w:vAlign w:val="bottom"/>
        </w:tcPr>
        <w:p w14:paraId="1CD6C379" w14:textId="77777777" w:rsidR="001150B3" w:rsidRDefault="00FE3025">
          <w:r w:rsidRPr="0083109A">
            <w:rPr>
              <w:rFonts w:cs="Arial"/>
              <w:sz w:val="16"/>
              <w:szCs w:val="16"/>
            </w:rPr>
            <w:t>+27 12 313</w:t>
          </w:r>
          <w:r>
            <w:rPr>
              <w:rFonts w:cs="Arial"/>
              <w:sz w:val="16"/>
              <w:szCs w:val="16"/>
            </w:rPr>
            <w:t xml:space="preserve"> </w:t>
          </w:r>
          <w:r w:rsidRPr="0083109A">
            <w:rPr>
              <w:rFonts w:cs="Arial"/>
              <w:sz w:val="16"/>
              <w:szCs w:val="16"/>
            </w:rPr>
            <w:t>3911 / 0861 12 7272</w:t>
          </w:r>
        </w:p>
      </w:tc>
      <w:tc>
        <w:tcPr>
          <w:tcW w:w="5693" w:type="dxa"/>
          <w:vMerge/>
        </w:tcPr>
        <w:p w14:paraId="7615BAAB" w14:textId="77777777" w:rsidR="001150B3" w:rsidRPr="0083109A" w:rsidRDefault="001150B3">
          <w:pPr>
            <w:rPr>
              <w:rFonts w:cs="Arial"/>
              <w:sz w:val="16"/>
              <w:szCs w:val="16"/>
            </w:rPr>
          </w:pPr>
        </w:p>
      </w:tc>
    </w:tr>
    <w:tr w:rsidR="001150B3" w14:paraId="3865C3FE" w14:textId="77777777">
      <w:trPr>
        <w:trHeight w:hRule="exact" w:val="365"/>
      </w:trPr>
      <w:tc>
        <w:tcPr>
          <w:tcW w:w="315" w:type="dxa"/>
          <w:noWrap/>
          <w:tcMar>
            <w:bottom w:w="17" w:type="dxa"/>
          </w:tcMar>
          <w:vAlign w:val="bottom"/>
        </w:tcPr>
        <w:p w14:paraId="373A7A41" w14:textId="77777777" w:rsidR="001150B3" w:rsidRDefault="00FE3025">
          <w:pPr>
            <w:jc w:val="center"/>
          </w:pPr>
          <w:r w:rsidRPr="005055C4">
            <w:rPr>
              <w:noProof/>
            </w:rPr>
            <w:drawing>
              <wp:anchor distT="0" distB="0" distL="114300" distR="114300" simplePos="0" relativeHeight="251658243" behindDoc="1" locked="1" layoutInCell="1" allowOverlap="1" wp14:anchorId="0B12C984" wp14:editId="6AC97FFA">
                <wp:simplePos x="0" y="0"/>
                <wp:positionH relativeFrom="column">
                  <wp:posOffset>31750</wp:posOffset>
                </wp:positionH>
                <wp:positionV relativeFrom="paragraph">
                  <wp:posOffset>64770</wp:posOffset>
                </wp:positionV>
                <wp:extent cx="144000" cy="144000"/>
                <wp:effectExtent l="0" t="0" r="8890" b="8890"/>
                <wp:wrapNone/>
                <wp:docPr id="9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>
                          <a:picLocks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76" w:type="dxa"/>
          <w:noWrap/>
          <w:tcMar>
            <w:left w:w="57" w:type="dxa"/>
            <w:bottom w:w="17" w:type="dxa"/>
          </w:tcMar>
          <w:vAlign w:val="bottom"/>
        </w:tcPr>
        <w:p w14:paraId="5970D84B" w14:textId="77777777" w:rsidR="001150B3" w:rsidRDefault="00FE3025">
          <w:r w:rsidRPr="007E323D">
            <w:rPr>
              <w:rFonts w:cs="Arial"/>
              <w:iCs/>
              <w:sz w:val="16"/>
              <w:szCs w:val="16"/>
            </w:rPr>
            <w:t>www.resbank.co.za</w:t>
          </w:r>
        </w:p>
      </w:tc>
      <w:tc>
        <w:tcPr>
          <w:tcW w:w="5693" w:type="dxa"/>
          <w:vMerge/>
        </w:tcPr>
        <w:p w14:paraId="5926966D" w14:textId="77777777" w:rsidR="001150B3" w:rsidRPr="0083109A" w:rsidRDefault="001150B3">
          <w:pPr>
            <w:rPr>
              <w:rFonts w:cs="Arial"/>
              <w:iCs/>
              <w:sz w:val="16"/>
              <w:szCs w:val="16"/>
            </w:rPr>
          </w:pPr>
        </w:p>
      </w:tc>
    </w:tr>
  </w:tbl>
  <w:p w14:paraId="331CAC6F" w14:textId="77777777" w:rsidR="001150B3" w:rsidRPr="009E4F81" w:rsidRDefault="001150B3">
    <w:pPr>
      <w:tabs>
        <w:tab w:val="center" w:pos="4819"/>
        <w:tab w:val="left" w:pos="7875"/>
      </w:tabs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9424"/>
    <w:lvl w:ilvl="0">
      <w:numFmt w:val="bullet"/>
      <w:lvlText w:val="*"/>
      <w:lvlJc w:val="left"/>
    </w:lvl>
  </w:abstractNum>
  <w:abstractNum w:abstractNumId="1" w15:restartNumberingAfterBreak="0">
    <w:nsid w:val="1766505C"/>
    <w:multiLevelType w:val="multilevel"/>
    <w:tmpl w:val="5E80B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540AC3"/>
    <w:multiLevelType w:val="hybridMultilevel"/>
    <w:tmpl w:val="83FE281A"/>
    <w:lvl w:ilvl="0" w:tplc="8F4E0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C4260"/>
    <w:multiLevelType w:val="hybridMultilevel"/>
    <w:tmpl w:val="3B7A1E3A"/>
    <w:lvl w:ilvl="0" w:tplc="1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612A57FE"/>
    <w:multiLevelType w:val="hybridMultilevel"/>
    <w:tmpl w:val="EB2EC5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84870">
    <w:abstractNumId w:val="1"/>
  </w:num>
  <w:num w:numId="2" w16cid:durableId="144214855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" w16cid:durableId="1385523783">
    <w:abstractNumId w:val="4"/>
  </w:num>
  <w:num w:numId="4" w16cid:durableId="404692819">
    <w:abstractNumId w:val="2"/>
  </w:num>
  <w:num w:numId="5" w16cid:durableId="182558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60"/>
    <w:rsid w:val="0000188F"/>
    <w:rsid w:val="000158F5"/>
    <w:rsid w:val="000212B9"/>
    <w:rsid w:val="00066946"/>
    <w:rsid w:val="0006761D"/>
    <w:rsid w:val="0007640E"/>
    <w:rsid w:val="000B7ADB"/>
    <w:rsid w:val="000E6AD9"/>
    <w:rsid w:val="00107FF4"/>
    <w:rsid w:val="001150B3"/>
    <w:rsid w:val="00121D23"/>
    <w:rsid w:val="00123F2B"/>
    <w:rsid w:val="001458AB"/>
    <w:rsid w:val="00167F64"/>
    <w:rsid w:val="001701C1"/>
    <w:rsid w:val="00171432"/>
    <w:rsid w:val="001907BA"/>
    <w:rsid w:val="001A7845"/>
    <w:rsid w:val="001B3909"/>
    <w:rsid w:val="001B3BC9"/>
    <w:rsid w:val="001B6B56"/>
    <w:rsid w:val="001B7F02"/>
    <w:rsid w:val="001D0A90"/>
    <w:rsid w:val="001D2106"/>
    <w:rsid w:val="001E281D"/>
    <w:rsid w:val="001E4C27"/>
    <w:rsid w:val="002032E5"/>
    <w:rsid w:val="002040E4"/>
    <w:rsid w:val="002061BC"/>
    <w:rsid w:val="00222177"/>
    <w:rsid w:val="00231F41"/>
    <w:rsid w:val="0023747B"/>
    <w:rsid w:val="002375F4"/>
    <w:rsid w:val="002412C3"/>
    <w:rsid w:val="00251420"/>
    <w:rsid w:val="00255EC0"/>
    <w:rsid w:val="0025641D"/>
    <w:rsid w:val="002632B7"/>
    <w:rsid w:val="0026590C"/>
    <w:rsid w:val="0027023D"/>
    <w:rsid w:val="00274713"/>
    <w:rsid w:val="00274FCD"/>
    <w:rsid w:val="002754FE"/>
    <w:rsid w:val="00285F83"/>
    <w:rsid w:val="002869C2"/>
    <w:rsid w:val="002B37AE"/>
    <w:rsid w:val="002B7880"/>
    <w:rsid w:val="002C4DBA"/>
    <w:rsid w:val="002D2CBC"/>
    <w:rsid w:val="002D54E3"/>
    <w:rsid w:val="002E002F"/>
    <w:rsid w:val="002F02D2"/>
    <w:rsid w:val="002F07AA"/>
    <w:rsid w:val="00302804"/>
    <w:rsid w:val="00310FA3"/>
    <w:rsid w:val="0033657D"/>
    <w:rsid w:val="003431B3"/>
    <w:rsid w:val="0035643D"/>
    <w:rsid w:val="003568D3"/>
    <w:rsid w:val="00367876"/>
    <w:rsid w:val="00377556"/>
    <w:rsid w:val="003865C4"/>
    <w:rsid w:val="003A39EF"/>
    <w:rsid w:val="003A7E89"/>
    <w:rsid w:val="003B5280"/>
    <w:rsid w:val="003C0D01"/>
    <w:rsid w:val="003C3537"/>
    <w:rsid w:val="00401DFA"/>
    <w:rsid w:val="00405084"/>
    <w:rsid w:val="00437F7B"/>
    <w:rsid w:val="00444D97"/>
    <w:rsid w:val="004455FE"/>
    <w:rsid w:val="00453A47"/>
    <w:rsid w:val="00470578"/>
    <w:rsid w:val="00493967"/>
    <w:rsid w:val="004B298C"/>
    <w:rsid w:val="004B698B"/>
    <w:rsid w:val="004C6560"/>
    <w:rsid w:val="004D2F1D"/>
    <w:rsid w:val="004E07B7"/>
    <w:rsid w:val="004F0358"/>
    <w:rsid w:val="004F0525"/>
    <w:rsid w:val="0050233B"/>
    <w:rsid w:val="00503817"/>
    <w:rsid w:val="00517F83"/>
    <w:rsid w:val="00522B79"/>
    <w:rsid w:val="00525824"/>
    <w:rsid w:val="005462B1"/>
    <w:rsid w:val="0056456A"/>
    <w:rsid w:val="005879D7"/>
    <w:rsid w:val="005A00DD"/>
    <w:rsid w:val="005A274E"/>
    <w:rsid w:val="005A7961"/>
    <w:rsid w:val="005B5F00"/>
    <w:rsid w:val="005C2EE2"/>
    <w:rsid w:val="005C7818"/>
    <w:rsid w:val="005D7A78"/>
    <w:rsid w:val="005E1C24"/>
    <w:rsid w:val="005F2ADA"/>
    <w:rsid w:val="00605350"/>
    <w:rsid w:val="00630D01"/>
    <w:rsid w:val="00632443"/>
    <w:rsid w:val="00643EE4"/>
    <w:rsid w:val="00655232"/>
    <w:rsid w:val="00681DD4"/>
    <w:rsid w:val="00687A3E"/>
    <w:rsid w:val="00690B6C"/>
    <w:rsid w:val="00695A05"/>
    <w:rsid w:val="006B7932"/>
    <w:rsid w:val="006C6E9F"/>
    <w:rsid w:val="006D2CC0"/>
    <w:rsid w:val="006E1BB4"/>
    <w:rsid w:val="006F4C40"/>
    <w:rsid w:val="00701B99"/>
    <w:rsid w:val="00724CD4"/>
    <w:rsid w:val="0075122B"/>
    <w:rsid w:val="00757C5D"/>
    <w:rsid w:val="00780E26"/>
    <w:rsid w:val="00781B41"/>
    <w:rsid w:val="00787CC2"/>
    <w:rsid w:val="00792693"/>
    <w:rsid w:val="00794978"/>
    <w:rsid w:val="007B1FF9"/>
    <w:rsid w:val="007B3858"/>
    <w:rsid w:val="007D4A28"/>
    <w:rsid w:val="007D4E46"/>
    <w:rsid w:val="00812A94"/>
    <w:rsid w:val="00813641"/>
    <w:rsid w:val="00813FC9"/>
    <w:rsid w:val="00842109"/>
    <w:rsid w:val="00843072"/>
    <w:rsid w:val="0084409D"/>
    <w:rsid w:val="00846BA7"/>
    <w:rsid w:val="00862CF3"/>
    <w:rsid w:val="0086330A"/>
    <w:rsid w:val="00871483"/>
    <w:rsid w:val="00877E8F"/>
    <w:rsid w:val="00897497"/>
    <w:rsid w:val="008B0701"/>
    <w:rsid w:val="008B293D"/>
    <w:rsid w:val="008B54B2"/>
    <w:rsid w:val="008B6E72"/>
    <w:rsid w:val="009329C2"/>
    <w:rsid w:val="00955B0D"/>
    <w:rsid w:val="00960A03"/>
    <w:rsid w:val="0096470E"/>
    <w:rsid w:val="009A4B1F"/>
    <w:rsid w:val="009B20C2"/>
    <w:rsid w:val="009B3E72"/>
    <w:rsid w:val="009D1EC0"/>
    <w:rsid w:val="009E526A"/>
    <w:rsid w:val="00A053C4"/>
    <w:rsid w:val="00A069F2"/>
    <w:rsid w:val="00A26DCE"/>
    <w:rsid w:val="00A328E5"/>
    <w:rsid w:val="00A75E05"/>
    <w:rsid w:val="00A8252F"/>
    <w:rsid w:val="00A92DA5"/>
    <w:rsid w:val="00AA5E57"/>
    <w:rsid w:val="00AC37FF"/>
    <w:rsid w:val="00AC3EBF"/>
    <w:rsid w:val="00AF43C9"/>
    <w:rsid w:val="00B060F7"/>
    <w:rsid w:val="00B164A4"/>
    <w:rsid w:val="00B514C4"/>
    <w:rsid w:val="00B61C5E"/>
    <w:rsid w:val="00B62366"/>
    <w:rsid w:val="00B744D0"/>
    <w:rsid w:val="00B763D0"/>
    <w:rsid w:val="00B81ED5"/>
    <w:rsid w:val="00B9548A"/>
    <w:rsid w:val="00BC025F"/>
    <w:rsid w:val="00BC7B41"/>
    <w:rsid w:val="00BF021A"/>
    <w:rsid w:val="00C02336"/>
    <w:rsid w:val="00C1146F"/>
    <w:rsid w:val="00C206EF"/>
    <w:rsid w:val="00C33B36"/>
    <w:rsid w:val="00C40D83"/>
    <w:rsid w:val="00C56D76"/>
    <w:rsid w:val="00C60D15"/>
    <w:rsid w:val="00C64790"/>
    <w:rsid w:val="00C679F6"/>
    <w:rsid w:val="00C7751F"/>
    <w:rsid w:val="00C8377A"/>
    <w:rsid w:val="00CA0542"/>
    <w:rsid w:val="00CB0C3A"/>
    <w:rsid w:val="00CB63DA"/>
    <w:rsid w:val="00CE673C"/>
    <w:rsid w:val="00CF01BD"/>
    <w:rsid w:val="00D15140"/>
    <w:rsid w:val="00D66816"/>
    <w:rsid w:val="00D83770"/>
    <w:rsid w:val="00D91E7E"/>
    <w:rsid w:val="00D96F43"/>
    <w:rsid w:val="00DA0ED8"/>
    <w:rsid w:val="00DA265B"/>
    <w:rsid w:val="00DB20DF"/>
    <w:rsid w:val="00DB3DF5"/>
    <w:rsid w:val="00DB7653"/>
    <w:rsid w:val="00DF07B7"/>
    <w:rsid w:val="00DF09D3"/>
    <w:rsid w:val="00E00C41"/>
    <w:rsid w:val="00E01A20"/>
    <w:rsid w:val="00E10590"/>
    <w:rsid w:val="00E268C9"/>
    <w:rsid w:val="00E338C2"/>
    <w:rsid w:val="00E73B8D"/>
    <w:rsid w:val="00E85F46"/>
    <w:rsid w:val="00E96783"/>
    <w:rsid w:val="00EA080C"/>
    <w:rsid w:val="00EA558D"/>
    <w:rsid w:val="00EB30B2"/>
    <w:rsid w:val="00EB47B5"/>
    <w:rsid w:val="00EC032A"/>
    <w:rsid w:val="00EC15E5"/>
    <w:rsid w:val="00EE1219"/>
    <w:rsid w:val="00EE3E6A"/>
    <w:rsid w:val="00F0022B"/>
    <w:rsid w:val="00F10A77"/>
    <w:rsid w:val="00F22643"/>
    <w:rsid w:val="00F23321"/>
    <w:rsid w:val="00F326B0"/>
    <w:rsid w:val="00F32AA3"/>
    <w:rsid w:val="00F4212E"/>
    <w:rsid w:val="00F44E50"/>
    <w:rsid w:val="00F50F88"/>
    <w:rsid w:val="00F65FBB"/>
    <w:rsid w:val="00F8181F"/>
    <w:rsid w:val="00F851B0"/>
    <w:rsid w:val="00F851C8"/>
    <w:rsid w:val="00F905FC"/>
    <w:rsid w:val="00FA1574"/>
    <w:rsid w:val="00FD379D"/>
    <w:rsid w:val="00FE3025"/>
    <w:rsid w:val="028F003A"/>
    <w:rsid w:val="03E00572"/>
    <w:rsid w:val="040C063A"/>
    <w:rsid w:val="0B81CE01"/>
    <w:rsid w:val="1208936C"/>
    <w:rsid w:val="1A739E72"/>
    <w:rsid w:val="1E0C2F53"/>
    <w:rsid w:val="2157EF14"/>
    <w:rsid w:val="238F0A9E"/>
    <w:rsid w:val="2A377AA5"/>
    <w:rsid w:val="2A51C134"/>
    <w:rsid w:val="2BBC2FC1"/>
    <w:rsid w:val="347F0B1E"/>
    <w:rsid w:val="397B5E40"/>
    <w:rsid w:val="3A1769EF"/>
    <w:rsid w:val="3BECFD78"/>
    <w:rsid w:val="3BEFE668"/>
    <w:rsid w:val="3E4DBE4A"/>
    <w:rsid w:val="4DEDAC55"/>
    <w:rsid w:val="4F0FF304"/>
    <w:rsid w:val="4F11C072"/>
    <w:rsid w:val="54E38C76"/>
    <w:rsid w:val="5B9E940B"/>
    <w:rsid w:val="63528B65"/>
    <w:rsid w:val="65766490"/>
    <w:rsid w:val="69F892E3"/>
    <w:rsid w:val="6BD3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5E8755"/>
  <w15:chartTrackingRefBased/>
  <w15:docId w15:val="{5E37CD9B-D873-4F32-B2DE-40A7445E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560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65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560"/>
    <w:rPr>
      <w:rFonts w:ascii="Univers" w:eastAsia="Times New Roman" w:hAnsi="Univers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rsid w:val="004C65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560"/>
    <w:rPr>
      <w:rFonts w:ascii="Univers" w:eastAsia="Times New Roman" w:hAnsi="Univers" w:cs="Times New Roman"/>
      <w:sz w:val="24"/>
      <w:szCs w:val="20"/>
      <w:lang w:val="en-ZA"/>
    </w:rPr>
  </w:style>
  <w:style w:type="paragraph" w:customStyle="1" w:styleId="StyleTitle">
    <w:name w:val="StyleTitle"/>
    <w:basedOn w:val="Normal"/>
    <w:next w:val="Normal"/>
    <w:rsid w:val="004C6560"/>
    <w:pPr>
      <w:tabs>
        <w:tab w:val="left" w:pos="1134"/>
      </w:tabs>
      <w:spacing w:line="360" w:lineRule="auto"/>
      <w:jc w:val="both"/>
    </w:pPr>
    <w:rPr>
      <w:rFonts w:ascii="Arial" w:hAnsi="Arial"/>
      <w:b/>
    </w:rPr>
  </w:style>
  <w:style w:type="table" w:styleId="TableGrid">
    <w:name w:val="Table Grid"/>
    <w:basedOn w:val="TableNormal"/>
    <w:uiPriority w:val="59"/>
    <w:rsid w:val="004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4C6560"/>
    <w:rPr>
      <w:color w:val="0044B6"/>
      <w:u w:val="single"/>
    </w:rPr>
  </w:style>
  <w:style w:type="paragraph" w:styleId="ListParagraph">
    <w:name w:val="List Paragraph"/>
    <w:basedOn w:val="Normal"/>
    <w:uiPriority w:val="34"/>
    <w:qFormat/>
    <w:rsid w:val="004C6560"/>
    <w:pPr>
      <w:ind w:left="720"/>
      <w:contextualSpacing/>
    </w:pPr>
    <w:rPr>
      <w:rFonts w:ascii="Arial" w:hAnsi="Arial"/>
    </w:rPr>
  </w:style>
  <w:style w:type="paragraph" w:customStyle="1" w:styleId="Default">
    <w:name w:val="Default"/>
    <w:rsid w:val="004C6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4C6560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C65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C656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6560"/>
    <w:rPr>
      <w:sz w:val="20"/>
      <w:szCs w:val="20"/>
      <w:lang w:val="en-ZA"/>
    </w:rPr>
  </w:style>
  <w:style w:type="paragraph" w:styleId="Revision">
    <w:name w:val="Revision"/>
    <w:hidden/>
    <w:uiPriority w:val="99"/>
    <w:semiHidden/>
    <w:rsid w:val="000E6AD9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794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9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978"/>
    <w:rPr>
      <w:rFonts w:ascii="Univers" w:eastAsia="Times New Roman" w:hAnsi="Univers" w:cs="Times New Roman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978"/>
    <w:rPr>
      <w:rFonts w:ascii="Univers" w:eastAsia="Times New Roman" w:hAnsi="Univers" w:cs="Times New Roman"/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-Standards@resbank.co.z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D8CECBF22844C98526E34F1232841" ma:contentTypeVersion="2" ma:contentTypeDescription="Create a new document." ma:contentTypeScope="" ma:versionID="c8b65e1fc62df4a9b2d9bce115f6bb11">
  <xsd:schema xmlns:xsd="http://www.w3.org/2001/XMLSchema" xmlns:xs="http://www.w3.org/2001/XMLSchema" xmlns:p="http://schemas.microsoft.com/office/2006/metadata/properties" xmlns:ns2="b01a4578-e2af-4868-ae07-76f4e57a8d9b" targetNamespace="http://schemas.microsoft.com/office/2006/metadata/properties" ma:root="true" ma:fieldsID="a3cee5ad901a74b1b75d99b9959b19a5" ns2:_="">
    <xsd:import namespace="b01a4578-e2af-4868-ae07-76f4e57a8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a4578-e2af-4868-ae07-76f4e57a8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51C18-5589-4CCC-BCB4-56D2A9C68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7C13D-BA64-458F-BA55-79A62B8A1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a4578-e2af-4868-ae07-76f4e57a8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37F6A-1048-4BEC-8682-BD07C08BF31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Resbank</Company>
  <LinksUpToDate>false</LinksUpToDate>
  <CharactersWithSpaces>1742</CharactersWithSpaces>
  <SharedDoc>false</SharedDoc>
  <HLinks>
    <vt:vector size="6" baseType="variant"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mailto:PA-Standards@resbank.co.za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 Naidoo</dc:creator>
  <cp:keywords/>
  <dc:description/>
  <cp:lastModifiedBy>Sarah McPhail</cp:lastModifiedBy>
  <cp:revision>6</cp:revision>
  <dcterms:created xsi:type="dcterms:W3CDTF">2023-07-14T06:15:00Z</dcterms:created>
  <dcterms:modified xsi:type="dcterms:W3CDTF">2023-08-01T15:49:00Z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0x010100BD9D8CECBF22844C98526E34F1232841</vt:lpwstr>
  </property>
  <property fmtid="{D5CDD505-2E9C-101B-9397-08002B2CF9AE}" pid="3" name="GrammarlyDocumentId">
    <vt:lpwstr>0ce4dbc478f6c2ce721cd46c9d5b83f7022d744b1755f2709c283cdab47b573a</vt:lpwstr>
  </property>
</Properties>
</file>