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5B69D" w14:textId="6DF0CD60" w:rsidR="00B442EC" w:rsidRPr="00B442EC" w:rsidRDefault="006C2EF0" w:rsidP="00B442EC">
      <w:pPr>
        <w:spacing w:after="120" w:line="264" w:lineRule="auto"/>
        <w:jc w:val="both"/>
        <w:rPr>
          <w:rFonts w:ascii="Calibri" w:eastAsia="Times New Roman" w:hAnsi="Calibri" w:cs="Times New Roman"/>
          <w:b/>
          <w:bCs/>
          <w:color w:val="44546A"/>
          <w:sz w:val="40"/>
          <w:szCs w:val="40"/>
        </w:rPr>
      </w:pPr>
      <w:r>
        <w:rPr>
          <w:rFonts w:ascii="Calibri" w:eastAsia="Times New Roman" w:hAnsi="Calibri" w:cs="Times New Roman"/>
          <w:b/>
          <w:bCs/>
          <w:color w:val="44546A"/>
          <w:sz w:val="40"/>
          <w:szCs w:val="40"/>
        </w:rPr>
        <w:t>Form</w:t>
      </w:r>
      <w:r w:rsidR="00B442EC" w:rsidRPr="00B442EC">
        <w:rPr>
          <w:rFonts w:ascii="Calibri" w:eastAsia="Times New Roman" w:hAnsi="Calibri" w:cs="Times New Roman"/>
          <w:b/>
          <w:bCs/>
          <w:color w:val="44546A"/>
          <w:sz w:val="40"/>
          <w:szCs w:val="40"/>
        </w:rPr>
        <w:t xml:space="preserve"> BA400 </w:t>
      </w:r>
      <w:r>
        <w:rPr>
          <w:rFonts w:ascii="Calibri" w:eastAsia="Times New Roman" w:hAnsi="Calibri" w:cs="Times New Roman"/>
          <w:b/>
          <w:bCs/>
          <w:color w:val="44546A"/>
          <w:sz w:val="40"/>
          <w:szCs w:val="40"/>
        </w:rPr>
        <w:t>r</w:t>
      </w:r>
      <w:r w:rsidR="00B442EC" w:rsidRPr="00B442EC">
        <w:rPr>
          <w:rFonts w:ascii="Calibri" w:eastAsia="Times New Roman" w:hAnsi="Calibri" w:cs="Times New Roman"/>
          <w:b/>
          <w:bCs/>
          <w:color w:val="44546A"/>
          <w:sz w:val="40"/>
          <w:szCs w:val="40"/>
        </w:rPr>
        <w:t>eturn</w:t>
      </w:r>
    </w:p>
    <w:p w14:paraId="584B5D01" w14:textId="77777777" w:rsidR="00B442EC" w:rsidRPr="00B442EC" w:rsidRDefault="00B442EC" w:rsidP="00B442EC">
      <w:pPr>
        <w:spacing w:after="120" w:line="264" w:lineRule="auto"/>
        <w:contextualSpacing/>
        <w:jc w:val="both"/>
        <w:rPr>
          <w:rFonts w:ascii="Calibri" w:eastAsia="Times New Roman" w:hAnsi="Calibri" w:cs="Times New Roman"/>
          <w:b/>
          <w:bCs/>
          <w:sz w:val="24"/>
          <w:szCs w:val="24"/>
        </w:rPr>
      </w:pPr>
      <w:r w:rsidRPr="00B442EC">
        <w:rPr>
          <w:rFonts w:ascii="Calibri" w:eastAsia="Times New Roman" w:hAnsi="Calibri" w:cs="Times New Roman"/>
          <w:b/>
          <w:bCs/>
          <w:sz w:val="24"/>
          <w:szCs w:val="24"/>
        </w:rPr>
        <w:t>General</w:t>
      </w:r>
    </w:p>
    <w:p w14:paraId="5E3BE380" w14:textId="77777777" w:rsidR="00B442EC" w:rsidRPr="00B442EC" w:rsidRDefault="00B442EC" w:rsidP="00B442EC">
      <w:pPr>
        <w:numPr>
          <w:ilvl w:val="0"/>
          <w:numId w:val="1"/>
        </w:numPr>
        <w:spacing w:after="120" w:line="264" w:lineRule="auto"/>
        <w:contextualSpacing/>
        <w:jc w:val="both"/>
        <w:rPr>
          <w:rFonts w:ascii="Calibri" w:eastAsia="Times New Roman" w:hAnsi="Calibri" w:cs="Times New Roman"/>
        </w:rPr>
      </w:pPr>
      <w:r w:rsidRPr="00B442EC">
        <w:rPr>
          <w:rFonts w:ascii="Calibri" w:eastAsia="Times New Roman" w:hAnsi="Calibri" w:cs="Times New Roman"/>
        </w:rPr>
        <w:t xml:space="preserve">The BA400 returns requires collected data on three panels: balance sheet and other items (panel A), income statement (panel B) and operational risk losses (panel C). Panel D presents calculations for each of the main </w:t>
      </w:r>
      <w:bookmarkStart w:id="0" w:name="_Hlk85020054"/>
      <w:r w:rsidRPr="00B442EC">
        <w:rPr>
          <w:rFonts w:ascii="Calibri" w:eastAsia="Times New Roman" w:hAnsi="Calibri" w:cs="Times New Roman"/>
        </w:rPr>
        <w:t xml:space="preserve">standardised approach components </w:t>
      </w:r>
      <w:bookmarkEnd w:id="0"/>
      <w:r w:rsidRPr="00B442EC">
        <w:rPr>
          <w:rFonts w:ascii="Calibri" w:eastAsia="Times New Roman" w:hAnsi="Calibri" w:cs="Times New Roman"/>
        </w:rPr>
        <w:t>and panel E, presents the calculations of Operational risk capital.</w:t>
      </w:r>
    </w:p>
    <w:p w14:paraId="3A93942B" w14:textId="77777777" w:rsidR="00B442EC" w:rsidRPr="00B442EC" w:rsidRDefault="00B442EC" w:rsidP="00B442EC">
      <w:pPr>
        <w:numPr>
          <w:ilvl w:val="0"/>
          <w:numId w:val="1"/>
        </w:numPr>
        <w:spacing w:after="120" w:line="264" w:lineRule="auto"/>
        <w:contextualSpacing/>
        <w:jc w:val="both"/>
        <w:rPr>
          <w:rFonts w:ascii="Calibri" w:eastAsia="Times New Roman" w:hAnsi="Calibri" w:cs="Times New Roman"/>
        </w:rPr>
      </w:pPr>
      <w:r w:rsidRPr="00B442EC">
        <w:rPr>
          <w:rFonts w:ascii="Calibri" w:eastAsia="Times New Roman" w:hAnsi="Calibri" w:cs="Times New Roman"/>
        </w:rPr>
        <w:t xml:space="preserve">All Banks are required to populate panel A to C. In the case where information is not available, a corresponding cell should be left blank </w:t>
      </w:r>
    </w:p>
    <w:p w14:paraId="4AA81A53" w14:textId="77777777" w:rsidR="00B442EC" w:rsidRPr="00B442EC" w:rsidRDefault="00B442EC" w:rsidP="00B442EC">
      <w:pPr>
        <w:numPr>
          <w:ilvl w:val="0"/>
          <w:numId w:val="1"/>
        </w:numPr>
        <w:spacing w:after="120" w:line="264" w:lineRule="auto"/>
        <w:contextualSpacing/>
        <w:jc w:val="both"/>
        <w:rPr>
          <w:rFonts w:ascii="Calibri" w:eastAsia="Times New Roman" w:hAnsi="Calibri" w:cs="Times New Roman"/>
        </w:rPr>
      </w:pPr>
      <w:r w:rsidRPr="00B442EC">
        <w:rPr>
          <w:rFonts w:ascii="Calibri" w:eastAsia="Times New Roman" w:hAnsi="Calibri" w:cs="Times New Roman"/>
        </w:rPr>
        <w:t>Under bank’s information, all banks are required to populate and select relevant information which is applicable to their organisation.</w:t>
      </w:r>
    </w:p>
    <w:p w14:paraId="2E06C0CA" w14:textId="77777777" w:rsidR="00B442EC" w:rsidRPr="00B442EC" w:rsidRDefault="00B442EC" w:rsidP="00B442EC">
      <w:pPr>
        <w:numPr>
          <w:ilvl w:val="0"/>
          <w:numId w:val="1"/>
        </w:numPr>
        <w:spacing w:after="120" w:line="264" w:lineRule="auto"/>
        <w:contextualSpacing/>
        <w:jc w:val="both"/>
        <w:rPr>
          <w:rFonts w:ascii="Calibri" w:eastAsia="Times New Roman" w:hAnsi="Calibri" w:cs="Times New Roman"/>
        </w:rPr>
      </w:pPr>
      <w:r w:rsidRPr="00B442EC">
        <w:rPr>
          <w:rFonts w:ascii="Calibri" w:eastAsia="Times New Roman" w:hAnsi="Calibri" w:cs="Times New Roman"/>
        </w:rPr>
        <w:t>Only banks designated as D-SIBS, and meet the PA’s requirements for use of ILM, will be allowed use of ILM. All banks shall comply with all exclusions as defined in the relevant regulatory instrument.</w:t>
      </w:r>
    </w:p>
    <w:p w14:paraId="541EC8AB" w14:textId="77777777" w:rsidR="00B442EC" w:rsidRPr="00B442EC" w:rsidRDefault="00B442EC" w:rsidP="00B442EC">
      <w:pPr>
        <w:numPr>
          <w:ilvl w:val="0"/>
          <w:numId w:val="3"/>
        </w:numPr>
        <w:spacing w:after="120" w:line="264" w:lineRule="auto"/>
        <w:contextualSpacing/>
        <w:jc w:val="both"/>
        <w:rPr>
          <w:rFonts w:ascii="Calibri" w:eastAsia="Times New Roman" w:hAnsi="Calibri" w:cs="Times New Roman"/>
        </w:rPr>
      </w:pPr>
      <w:r w:rsidRPr="00B442EC">
        <w:rPr>
          <w:rFonts w:ascii="Calibri" w:eastAsia="Times New Roman" w:hAnsi="Calibri" w:cs="Times New Roman"/>
        </w:rPr>
        <w:t>The BA400 return must be reported on Bank Solo, Bank Consolidated and Controlling Company Consolidated for all entities which are consolidated by the bank for risk-based regulatory purposes. This will be reported bi-annually, as at financial year-end and corresponding half year.</w:t>
      </w:r>
    </w:p>
    <w:p w14:paraId="3C05264E" w14:textId="77777777" w:rsidR="00B442EC" w:rsidRPr="00B442EC" w:rsidRDefault="00B442EC" w:rsidP="00B442EC">
      <w:pPr>
        <w:numPr>
          <w:ilvl w:val="0"/>
          <w:numId w:val="3"/>
        </w:numPr>
        <w:spacing w:after="120" w:line="264" w:lineRule="auto"/>
        <w:contextualSpacing/>
        <w:jc w:val="both"/>
        <w:rPr>
          <w:rFonts w:ascii="Calibri" w:eastAsia="Times New Roman" w:hAnsi="Calibri" w:cs="Times New Roman"/>
        </w:rPr>
      </w:pPr>
      <w:r w:rsidRPr="00B442EC">
        <w:rPr>
          <w:rFonts w:ascii="Calibri" w:eastAsia="Times New Roman" w:hAnsi="Calibri" w:cs="Times New Roman"/>
        </w:rPr>
        <w:t>Data must be reported using the reporting currency and reporting unit set in the template as of the end of the reporting period set in the template.</w:t>
      </w:r>
    </w:p>
    <w:p w14:paraId="2C9B648A" w14:textId="008CD7C8" w:rsidR="00B442EC" w:rsidRPr="00B442EC" w:rsidRDefault="00B442EC" w:rsidP="00B442EC">
      <w:pPr>
        <w:numPr>
          <w:ilvl w:val="0"/>
          <w:numId w:val="3"/>
        </w:numPr>
        <w:spacing w:after="120" w:line="264" w:lineRule="auto"/>
        <w:contextualSpacing/>
        <w:jc w:val="both"/>
        <w:rPr>
          <w:rFonts w:ascii="Calibri" w:eastAsia="Times New Roman" w:hAnsi="Calibri" w:cs="Times New Roman"/>
        </w:rPr>
      </w:pPr>
      <w:r w:rsidRPr="00B442EC">
        <w:rPr>
          <w:rFonts w:ascii="Calibri" w:eastAsia="Times New Roman" w:hAnsi="Calibri" w:cs="Times New Roman"/>
        </w:rPr>
        <w:t xml:space="preserve">For corresponding half year reporting, a 12-month rolling method will be applied for the current period under review. This excludes Panel A (Balance sheet and other items) which will reflect position as at end of corresponding half year. </w:t>
      </w:r>
    </w:p>
    <w:p w14:paraId="606CD2AE" w14:textId="77777777" w:rsidR="00B442EC" w:rsidRPr="00B442EC" w:rsidRDefault="00B442EC" w:rsidP="00B442EC">
      <w:pPr>
        <w:spacing w:after="120" w:line="264" w:lineRule="auto"/>
        <w:ind w:left="1080"/>
        <w:contextualSpacing/>
        <w:jc w:val="both"/>
        <w:rPr>
          <w:rFonts w:ascii="Calibri" w:eastAsia="Times New Roman" w:hAnsi="Calibri" w:cs="Times New Roman"/>
        </w:rPr>
      </w:pPr>
    </w:p>
    <w:tbl>
      <w:tblPr>
        <w:tblW w:w="8792" w:type="dxa"/>
        <w:tblInd w:w="-10" w:type="dxa"/>
        <w:tblCellMar>
          <w:left w:w="0" w:type="dxa"/>
          <w:right w:w="0" w:type="dxa"/>
        </w:tblCellMar>
        <w:tblLook w:val="04A0" w:firstRow="1" w:lastRow="0" w:firstColumn="1" w:lastColumn="0" w:noHBand="0" w:noVBand="1"/>
      </w:tblPr>
      <w:tblGrid>
        <w:gridCol w:w="1128"/>
        <w:gridCol w:w="1397"/>
        <w:gridCol w:w="453"/>
        <w:gridCol w:w="1397"/>
        <w:gridCol w:w="1509"/>
        <w:gridCol w:w="1509"/>
        <w:gridCol w:w="1399"/>
      </w:tblGrid>
      <w:tr w:rsidR="00B442EC" w:rsidRPr="00B442EC" w14:paraId="7B5FCDEF" w14:textId="77777777" w:rsidTr="0001430D">
        <w:trPr>
          <w:trHeight w:val="347"/>
        </w:trPr>
        <w:tc>
          <w:tcPr>
            <w:tcW w:w="8792" w:type="dxa"/>
            <w:gridSpan w:val="7"/>
            <w:tcBorders>
              <w:top w:val="single" w:sz="8" w:space="0" w:color="auto"/>
              <w:left w:val="single" w:sz="8" w:space="0" w:color="auto"/>
              <w:bottom w:val="single" w:sz="8" w:space="0" w:color="auto"/>
              <w:right w:val="single" w:sz="8" w:space="0" w:color="auto"/>
            </w:tcBorders>
          </w:tcPr>
          <w:p w14:paraId="49DB412A" w14:textId="77777777" w:rsidR="00B442EC" w:rsidRPr="00B442EC" w:rsidRDefault="00B442EC" w:rsidP="00B442EC">
            <w:pPr>
              <w:spacing w:after="120" w:line="264" w:lineRule="auto"/>
              <w:contextualSpacing/>
              <w:jc w:val="both"/>
              <w:rPr>
                <w:rFonts w:ascii="Calibri" w:eastAsia="Times New Roman" w:hAnsi="Calibri" w:cs="Times New Roman"/>
                <w:i/>
                <w:iCs/>
                <w:sz w:val="20"/>
                <w:szCs w:val="20"/>
              </w:rPr>
            </w:pPr>
            <w:r w:rsidRPr="00B442EC">
              <w:rPr>
                <w:rFonts w:ascii="Calibri" w:eastAsia="Times New Roman" w:hAnsi="Calibri" w:cs="Times New Roman"/>
                <w:i/>
                <w:iCs/>
                <w:sz w:val="20"/>
                <w:szCs w:val="20"/>
              </w:rPr>
              <w:t>@</w:t>
            </w:r>
            <w:proofErr w:type="gramStart"/>
            <w:r w:rsidRPr="00B442EC">
              <w:rPr>
                <w:rFonts w:ascii="Calibri" w:eastAsia="Times New Roman" w:hAnsi="Calibri" w:cs="Times New Roman"/>
                <w:i/>
                <w:iCs/>
                <w:sz w:val="20"/>
                <w:szCs w:val="20"/>
              </w:rPr>
              <w:t>corresponding</w:t>
            </w:r>
            <w:proofErr w:type="gramEnd"/>
            <w:r w:rsidRPr="00B442EC">
              <w:rPr>
                <w:rFonts w:ascii="Calibri" w:eastAsia="Times New Roman" w:hAnsi="Calibri" w:cs="Times New Roman"/>
                <w:i/>
                <w:iCs/>
                <w:sz w:val="20"/>
                <w:szCs w:val="20"/>
              </w:rPr>
              <w:t xml:space="preserve"> half-year example Financial Half Year 2021 reporting period</w:t>
            </w:r>
          </w:p>
        </w:tc>
      </w:tr>
      <w:tr w:rsidR="00B442EC" w:rsidRPr="00B442EC" w14:paraId="66DD8A4E" w14:textId="77777777" w:rsidTr="0001430D">
        <w:trPr>
          <w:trHeight w:val="357"/>
        </w:trPr>
        <w:tc>
          <w:tcPr>
            <w:tcW w:w="1128" w:type="dxa"/>
            <w:tcBorders>
              <w:top w:val="nil"/>
              <w:left w:val="single" w:sz="8" w:space="0" w:color="auto"/>
              <w:bottom w:val="single" w:sz="8" w:space="0" w:color="auto"/>
              <w:right w:val="single" w:sz="8" w:space="0" w:color="auto"/>
            </w:tcBorders>
          </w:tcPr>
          <w:p w14:paraId="256C3653" w14:textId="77777777" w:rsidR="00B442EC" w:rsidRPr="00B442EC" w:rsidRDefault="00B442EC" w:rsidP="00B442EC">
            <w:pPr>
              <w:spacing w:after="120" w:line="264" w:lineRule="auto"/>
              <w:contextualSpacing/>
              <w:jc w:val="both"/>
              <w:rPr>
                <w:rFonts w:ascii="Calibri" w:eastAsia="Times New Roman" w:hAnsi="Calibri" w:cs="Times New Roman"/>
                <w:b/>
                <w:bCs/>
                <w:sz w:val="20"/>
                <w:szCs w:val="20"/>
              </w:rPr>
            </w:pPr>
            <w:r w:rsidRPr="00B442EC">
              <w:rPr>
                <w:rFonts w:ascii="Calibri" w:eastAsia="Times New Roman" w:hAnsi="Calibri" w:cs="Times New Roman"/>
                <w:b/>
                <w:bCs/>
                <w:sz w:val="20"/>
                <w:szCs w:val="20"/>
              </w:rPr>
              <w:t>Period</w:t>
            </w:r>
          </w:p>
        </w:tc>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6CC23A" w14:textId="77777777" w:rsidR="00B442EC" w:rsidRPr="00B442EC" w:rsidRDefault="00B442EC" w:rsidP="00B442EC">
            <w:pPr>
              <w:spacing w:after="120" w:line="264" w:lineRule="auto"/>
              <w:contextualSpacing/>
              <w:jc w:val="both"/>
              <w:rPr>
                <w:rFonts w:ascii="Calibri" w:eastAsia="Times New Roman" w:hAnsi="Calibri" w:cs="Times New Roman"/>
                <w:b/>
                <w:bCs/>
                <w:sz w:val="20"/>
                <w:szCs w:val="20"/>
              </w:rPr>
            </w:pPr>
            <w:r w:rsidRPr="00B442EC">
              <w:rPr>
                <w:rFonts w:ascii="Calibri" w:eastAsia="Times New Roman" w:hAnsi="Calibri" w:cs="Times New Roman"/>
                <w:b/>
                <w:bCs/>
                <w:sz w:val="20"/>
                <w:szCs w:val="20"/>
              </w:rPr>
              <w:t>Financial Year End 2012</w:t>
            </w:r>
          </w:p>
        </w:tc>
        <w:tc>
          <w:tcPr>
            <w:tcW w:w="453" w:type="dxa"/>
            <w:tcBorders>
              <w:top w:val="nil"/>
              <w:left w:val="nil"/>
              <w:bottom w:val="single" w:sz="8" w:space="0" w:color="auto"/>
              <w:right w:val="single" w:sz="8" w:space="0" w:color="auto"/>
            </w:tcBorders>
            <w:tcMar>
              <w:top w:w="0" w:type="dxa"/>
              <w:left w:w="108" w:type="dxa"/>
              <w:bottom w:w="0" w:type="dxa"/>
              <w:right w:w="108" w:type="dxa"/>
            </w:tcMar>
            <w:hideMark/>
          </w:tcPr>
          <w:p w14:paraId="3E640E20" w14:textId="77777777" w:rsidR="00B442EC" w:rsidRPr="00B442EC" w:rsidRDefault="00B442EC" w:rsidP="00B442EC">
            <w:pPr>
              <w:spacing w:after="120" w:line="264" w:lineRule="auto"/>
              <w:contextualSpacing/>
              <w:jc w:val="both"/>
              <w:rPr>
                <w:rFonts w:ascii="Calibri" w:eastAsia="Times New Roman" w:hAnsi="Calibri" w:cs="Times New Roman"/>
                <w:b/>
                <w:bCs/>
                <w:sz w:val="20"/>
                <w:szCs w:val="20"/>
              </w:rPr>
            </w:pPr>
            <w:r w:rsidRPr="00B442EC">
              <w:rPr>
                <w:rFonts w:ascii="Calibri" w:eastAsia="Times New Roman" w:hAnsi="Calibri" w:cs="Times New Roman"/>
                <w:b/>
                <w:bCs/>
                <w:sz w:val="20"/>
                <w:szCs w:val="20"/>
              </w:rPr>
              <w:t>…</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14:paraId="1F7EC069" w14:textId="77777777" w:rsidR="00B442EC" w:rsidRPr="00B442EC" w:rsidRDefault="00B442EC" w:rsidP="00B442EC">
            <w:pPr>
              <w:spacing w:after="120" w:line="264" w:lineRule="auto"/>
              <w:contextualSpacing/>
              <w:jc w:val="both"/>
              <w:rPr>
                <w:rFonts w:ascii="Calibri" w:eastAsia="Times New Roman" w:hAnsi="Calibri" w:cs="Times New Roman"/>
                <w:b/>
                <w:bCs/>
                <w:sz w:val="20"/>
                <w:szCs w:val="20"/>
              </w:rPr>
            </w:pPr>
            <w:r w:rsidRPr="00B442EC">
              <w:rPr>
                <w:rFonts w:ascii="Calibri" w:eastAsia="Times New Roman" w:hAnsi="Calibri" w:cs="Times New Roman"/>
                <w:b/>
                <w:bCs/>
                <w:sz w:val="20"/>
                <w:szCs w:val="20"/>
              </w:rPr>
              <w:t>Financial Year End 2019</w:t>
            </w: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14:paraId="5CA84D5E" w14:textId="77777777" w:rsidR="00B442EC" w:rsidRPr="00B442EC" w:rsidRDefault="00B442EC" w:rsidP="00B442EC">
            <w:pPr>
              <w:spacing w:after="120" w:line="264" w:lineRule="auto"/>
              <w:contextualSpacing/>
              <w:jc w:val="both"/>
              <w:rPr>
                <w:rFonts w:ascii="Calibri" w:eastAsia="Times New Roman" w:hAnsi="Calibri" w:cs="Times New Roman"/>
                <w:b/>
                <w:bCs/>
                <w:sz w:val="20"/>
                <w:szCs w:val="20"/>
              </w:rPr>
            </w:pPr>
            <w:r w:rsidRPr="00B442EC">
              <w:rPr>
                <w:rFonts w:ascii="Calibri" w:eastAsia="Times New Roman" w:hAnsi="Calibri" w:cs="Times New Roman"/>
                <w:b/>
                <w:bCs/>
                <w:sz w:val="20"/>
                <w:szCs w:val="20"/>
              </w:rPr>
              <w:t>Financial Year End 2020</w:t>
            </w:r>
          </w:p>
        </w:tc>
        <w:tc>
          <w:tcPr>
            <w:tcW w:w="290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FACE517" w14:textId="77777777" w:rsidR="00B442EC" w:rsidRPr="00B442EC" w:rsidRDefault="00B442EC" w:rsidP="00B442EC">
            <w:pPr>
              <w:spacing w:after="120" w:line="264" w:lineRule="auto"/>
              <w:contextualSpacing/>
              <w:jc w:val="both"/>
              <w:rPr>
                <w:rFonts w:ascii="Calibri" w:eastAsia="Times New Roman" w:hAnsi="Calibri" w:cs="Times New Roman"/>
                <w:b/>
                <w:bCs/>
                <w:sz w:val="20"/>
                <w:szCs w:val="20"/>
              </w:rPr>
            </w:pPr>
            <w:r w:rsidRPr="00B442EC">
              <w:rPr>
                <w:rFonts w:ascii="Calibri" w:eastAsia="Times New Roman" w:hAnsi="Calibri" w:cs="Times New Roman"/>
                <w:b/>
                <w:bCs/>
                <w:sz w:val="20"/>
                <w:szCs w:val="20"/>
              </w:rPr>
              <w:t>Corresponding Half Year 2021</w:t>
            </w:r>
          </w:p>
        </w:tc>
      </w:tr>
      <w:tr w:rsidR="00B442EC" w:rsidRPr="00B442EC" w14:paraId="5680ED49" w14:textId="77777777" w:rsidTr="0001430D">
        <w:trPr>
          <w:trHeight w:val="357"/>
        </w:trPr>
        <w:tc>
          <w:tcPr>
            <w:tcW w:w="1128" w:type="dxa"/>
            <w:vMerge w:val="restart"/>
            <w:tcBorders>
              <w:top w:val="nil"/>
              <w:left w:val="single" w:sz="8" w:space="0" w:color="auto"/>
              <w:right w:val="single" w:sz="8" w:space="0" w:color="auto"/>
            </w:tcBorders>
          </w:tcPr>
          <w:p w14:paraId="5C0FC234" w14:textId="77777777" w:rsidR="00B442EC" w:rsidRPr="00B442EC" w:rsidRDefault="00B442EC" w:rsidP="00B442EC">
            <w:pPr>
              <w:spacing w:after="120" w:line="264" w:lineRule="auto"/>
              <w:contextualSpacing/>
              <w:jc w:val="both"/>
              <w:rPr>
                <w:rFonts w:ascii="Calibri" w:eastAsia="Times New Roman" w:hAnsi="Calibri" w:cs="Times New Roman"/>
                <w:sz w:val="20"/>
                <w:szCs w:val="20"/>
              </w:rPr>
            </w:pPr>
          </w:p>
          <w:p w14:paraId="639A25FF" w14:textId="77777777" w:rsidR="00B442EC" w:rsidRPr="00B442EC" w:rsidRDefault="00B442EC" w:rsidP="00B442EC">
            <w:pPr>
              <w:spacing w:after="120" w:line="264" w:lineRule="auto"/>
              <w:contextualSpacing/>
              <w:jc w:val="both"/>
              <w:rPr>
                <w:rFonts w:ascii="Calibri" w:eastAsia="Times New Roman" w:hAnsi="Calibri" w:cs="Times New Roman"/>
                <w:b/>
                <w:bCs/>
                <w:sz w:val="20"/>
                <w:szCs w:val="20"/>
              </w:rPr>
            </w:pPr>
            <w:r w:rsidRPr="00B442EC">
              <w:rPr>
                <w:rFonts w:ascii="Calibri" w:eastAsia="Times New Roman" w:hAnsi="Calibri" w:cs="Times New Roman"/>
                <w:sz w:val="20"/>
                <w:szCs w:val="20"/>
              </w:rPr>
              <w:t>12-month rollup</w:t>
            </w:r>
          </w:p>
        </w:tc>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09110" w14:textId="77777777" w:rsidR="00B442EC" w:rsidRPr="00B442EC" w:rsidRDefault="00B442EC" w:rsidP="00B442EC">
            <w:pPr>
              <w:spacing w:after="120" w:line="264" w:lineRule="auto"/>
              <w:contextualSpacing/>
              <w:jc w:val="both"/>
              <w:rPr>
                <w:rFonts w:ascii="Calibri" w:eastAsia="Times New Roman" w:hAnsi="Calibri" w:cs="Times New Roman"/>
                <w:b/>
                <w:bCs/>
                <w:sz w:val="20"/>
                <w:szCs w:val="20"/>
              </w:rPr>
            </w:pPr>
            <w:r w:rsidRPr="00B442EC">
              <w:rPr>
                <w:rFonts w:ascii="Calibri" w:eastAsia="Times New Roman" w:hAnsi="Calibri" w:cs="Times New Roman"/>
                <w:b/>
                <w:bCs/>
                <w:sz w:val="20"/>
                <w:szCs w:val="20"/>
              </w:rPr>
              <w:t>2012</w:t>
            </w:r>
          </w:p>
        </w:tc>
        <w:tc>
          <w:tcPr>
            <w:tcW w:w="453" w:type="dxa"/>
            <w:tcBorders>
              <w:top w:val="nil"/>
              <w:left w:val="nil"/>
              <w:bottom w:val="single" w:sz="8" w:space="0" w:color="auto"/>
              <w:right w:val="single" w:sz="8" w:space="0" w:color="auto"/>
            </w:tcBorders>
            <w:tcMar>
              <w:top w:w="0" w:type="dxa"/>
              <w:left w:w="108" w:type="dxa"/>
              <w:bottom w:w="0" w:type="dxa"/>
              <w:right w:w="108" w:type="dxa"/>
            </w:tcMar>
          </w:tcPr>
          <w:p w14:paraId="2FB9DC18" w14:textId="77777777" w:rsidR="00B442EC" w:rsidRPr="00B442EC" w:rsidRDefault="00B442EC" w:rsidP="00B442EC">
            <w:pPr>
              <w:spacing w:after="120" w:line="264" w:lineRule="auto"/>
              <w:contextualSpacing/>
              <w:jc w:val="both"/>
              <w:rPr>
                <w:rFonts w:ascii="Calibri" w:eastAsia="Times New Roman" w:hAnsi="Calibri" w:cs="Times New Roman"/>
                <w:b/>
                <w:bCs/>
                <w:sz w:val="20"/>
                <w:szCs w:val="20"/>
              </w:rPr>
            </w:pPr>
            <w:r w:rsidRPr="00B442EC">
              <w:rPr>
                <w:rFonts w:ascii="Calibri" w:eastAsia="Times New Roman" w:hAnsi="Calibri" w:cs="Times New Roman"/>
                <w:b/>
                <w:bCs/>
                <w:sz w:val="20"/>
                <w:szCs w:val="20"/>
              </w:rPr>
              <w:t>…</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14:paraId="083D50ED" w14:textId="77777777" w:rsidR="00B442EC" w:rsidRPr="00B442EC" w:rsidRDefault="00B442EC" w:rsidP="00B442EC">
            <w:pPr>
              <w:spacing w:after="120" w:line="264" w:lineRule="auto"/>
              <w:contextualSpacing/>
              <w:jc w:val="both"/>
              <w:rPr>
                <w:rFonts w:ascii="Calibri" w:eastAsia="Times New Roman" w:hAnsi="Calibri" w:cs="Times New Roman"/>
                <w:b/>
                <w:bCs/>
                <w:sz w:val="20"/>
                <w:szCs w:val="20"/>
              </w:rPr>
            </w:pPr>
            <w:r w:rsidRPr="00B442EC">
              <w:rPr>
                <w:rFonts w:ascii="Calibri" w:eastAsia="Times New Roman" w:hAnsi="Calibri" w:cs="Times New Roman"/>
                <w:b/>
                <w:bCs/>
                <w:sz w:val="20"/>
                <w:szCs w:val="20"/>
              </w:rPr>
              <w:t>2019</w:t>
            </w: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14:paraId="33563D29" w14:textId="77777777" w:rsidR="00B442EC" w:rsidRPr="00B442EC" w:rsidRDefault="00B442EC" w:rsidP="00B442EC">
            <w:pPr>
              <w:spacing w:after="120" w:line="264" w:lineRule="auto"/>
              <w:contextualSpacing/>
              <w:jc w:val="both"/>
              <w:rPr>
                <w:rFonts w:ascii="Calibri" w:eastAsia="Times New Roman" w:hAnsi="Calibri" w:cs="Times New Roman"/>
                <w:b/>
                <w:bCs/>
                <w:sz w:val="20"/>
                <w:szCs w:val="20"/>
              </w:rPr>
            </w:pPr>
            <w:r w:rsidRPr="00B442EC">
              <w:rPr>
                <w:rFonts w:ascii="Calibri" w:eastAsia="Times New Roman" w:hAnsi="Calibri" w:cs="Times New Roman"/>
                <w:b/>
                <w:bCs/>
                <w:sz w:val="20"/>
                <w:szCs w:val="20"/>
              </w:rPr>
              <w:t>2020</w:t>
            </w: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14:paraId="0E75160E" w14:textId="77777777" w:rsidR="00B442EC" w:rsidRPr="00B442EC" w:rsidRDefault="00B442EC" w:rsidP="00B442EC">
            <w:pPr>
              <w:spacing w:after="120" w:line="264" w:lineRule="auto"/>
              <w:contextualSpacing/>
              <w:jc w:val="both"/>
              <w:rPr>
                <w:rFonts w:ascii="Calibri" w:eastAsia="Times New Roman" w:hAnsi="Calibri" w:cs="Times New Roman"/>
                <w:b/>
                <w:bCs/>
                <w:sz w:val="20"/>
                <w:szCs w:val="20"/>
              </w:rPr>
            </w:pPr>
            <w:r w:rsidRPr="00B442EC">
              <w:rPr>
                <w:rFonts w:ascii="Calibri" w:eastAsia="Times New Roman" w:hAnsi="Calibri" w:cs="Times New Roman"/>
                <w:b/>
                <w:bCs/>
                <w:sz w:val="20"/>
                <w:szCs w:val="20"/>
              </w:rPr>
              <w:t>2020</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14:paraId="3CDBC77D" w14:textId="77777777" w:rsidR="00B442EC" w:rsidRPr="00B442EC" w:rsidRDefault="00B442EC" w:rsidP="00B442EC">
            <w:pPr>
              <w:spacing w:after="120" w:line="264" w:lineRule="auto"/>
              <w:contextualSpacing/>
              <w:jc w:val="both"/>
              <w:rPr>
                <w:rFonts w:ascii="Calibri" w:eastAsia="Times New Roman" w:hAnsi="Calibri" w:cs="Times New Roman"/>
                <w:b/>
                <w:bCs/>
                <w:sz w:val="20"/>
                <w:szCs w:val="20"/>
              </w:rPr>
            </w:pPr>
            <w:r w:rsidRPr="00B442EC">
              <w:rPr>
                <w:rFonts w:ascii="Calibri" w:eastAsia="Times New Roman" w:hAnsi="Calibri" w:cs="Times New Roman"/>
                <w:b/>
                <w:bCs/>
                <w:sz w:val="20"/>
                <w:szCs w:val="20"/>
              </w:rPr>
              <w:t>2021</w:t>
            </w:r>
          </w:p>
        </w:tc>
      </w:tr>
      <w:tr w:rsidR="00B442EC" w:rsidRPr="00B442EC" w14:paraId="57B4DD71" w14:textId="77777777" w:rsidTr="0001430D">
        <w:trPr>
          <w:trHeight w:val="357"/>
        </w:trPr>
        <w:tc>
          <w:tcPr>
            <w:tcW w:w="1128" w:type="dxa"/>
            <w:vMerge/>
            <w:tcBorders>
              <w:left w:val="single" w:sz="8" w:space="0" w:color="auto"/>
              <w:right w:val="single" w:sz="8" w:space="0" w:color="auto"/>
            </w:tcBorders>
          </w:tcPr>
          <w:p w14:paraId="2B1BF26C" w14:textId="77777777" w:rsidR="00B442EC" w:rsidRPr="00B442EC" w:rsidRDefault="00B442EC" w:rsidP="00B442EC">
            <w:pPr>
              <w:spacing w:after="120" w:line="264" w:lineRule="auto"/>
              <w:contextualSpacing/>
              <w:jc w:val="both"/>
              <w:rPr>
                <w:rFonts w:ascii="Calibri" w:eastAsia="Times New Roman" w:hAnsi="Calibri" w:cs="Times New Roman"/>
                <w:b/>
                <w:bCs/>
                <w:sz w:val="20"/>
                <w:szCs w:val="20"/>
              </w:rPr>
            </w:pPr>
          </w:p>
        </w:tc>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2FD819" w14:textId="77777777" w:rsidR="00B442EC" w:rsidRPr="00B442EC" w:rsidRDefault="00B442EC" w:rsidP="00B442EC">
            <w:pPr>
              <w:spacing w:after="120" w:line="264" w:lineRule="auto"/>
              <w:contextualSpacing/>
              <w:jc w:val="both"/>
              <w:rPr>
                <w:rFonts w:ascii="Calibri" w:eastAsia="Times New Roman" w:hAnsi="Calibri" w:cs="Times New Roman"/>
                <w:b/>
                <w:bCs/>
                <w:sz w:val="20"/>
                <w:szCs w:val="20"/>
              </w:rPr>
            </w:pPr>
            <w:r w:rsidRPr="00B442EC">
              <w:rPr>
                <w:rFonts w:ascii="Calibri" w:eastAsia="Times New Roman" w:hAnsi="Calibri" w:cs="Times New Roman"/>
                <w:b/>
                <w:bCs/>
                <w:sz w:val="20"/>
                <w:szCs w:val="20"/>
              </w:rPr>
              <w:t>12 months</w:t>
            </w:r>
          </w:p>
        </w:tc>
        <w:tc>
          <w:tcPr>
            <w:tcW w:w="453" w:type="dxa"/>
            <w:tcBorders>
              <w:top w:val="nil"/>
              <w:left w:val="nil"/>
              <w:bottom w:val="single" w:sz="8" w:space="0" w:color="auto"/>
              <w:right w:val="single" w:sz="8" w:space="0" w:color="auto"/>
            </w:tcBorders>
            <w:tcMar>
              <w:top w:w="0" w:type="dxa"/>
              <w:left w:w="108" w:type="dxa"/>
              <w:bottom w:w="0" w:type="dxa"/>
              <w:right w:w="108" w:type="dxa"/>
            </w:tcMar>
            <w:hideMark/>
          </w:tcPr>
          <w:p w14:paraId="48822022" w14:textId="77777777" w:rsidR="00B442EC" w:rsidRPr="00B442EC" w:rsidRDefault="00B442EC" w:rsidP="00B442EC">
            <w:pPr>
              <w:spacing w:after="120" w:line="264" w:lineRule="auto"/>
              <w:contextualSpacing/>
              <w:jc w:val="both"/>
              <w:rPr>
                <w:rFonts w:ascii="Calibri" w:eastAsia="Times New Roman" w:hAnsi="Calibri" w:cs="Times New Roman"/>
                <w:b/>
                <w:bCs/>
                <w:sz w:val="20"/>
                <w:szCs w:val="20"/>
              </w:rPr>
            </w:pPr>
            <w:r w:rsidRPr="00B442EC">
              <w:rPr>
                <w:rFonts w:ascii="Calibri" w:eastAsia="Times New Roman" w:hAnsi="Calibri" w:cs="Times New Roman"/>
                <w:b/>
                <w:bCs/>
                <w:sz w:val="20"/>
                <w:szCs w:val="20"/>
              </w:rPr>
              <w:t>…</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14:paraId="43178527" w14:textId="77777777" w:rsidR="00B442EC" w:rsidRPr="00B442EC" w:rsidRDefault="00B442EC" w:rsidP="00B442EC">
            <w:pPr>
              <w:spacing w:after="120" w:line="264" w:lineRule="auto"/>
              <w:contextualSpacing/>
              <w:jc w:val="both"/>
              <w:rPr>
                <w:rFonts w:ascii="Calibri" w:eastAsia="Times New Roman" w:hAnsi="Calibri" w:cs="Times New Roman"/>
                <w:b/>
                <w:bCs/>
                <w:sz w:val="20"/>
                <w:szCs w:val="20"/>
              </w:rPr>
            </w:pPr>
            <w:r w:rsidRPr="00B442EC">
              <w:rPr>
                <w:rFonts w:ascii="Calibri" w:eastAsia="Times New Roman" w:hAnsi="Calibri" w:cs="Times New Roman"/>
                <w:b/>
                <w:bCs/>
                <w:sz w:val="20"/>
                <w:szCs w:val="20"/>
              </w:rPr>
              <w:t>12 months</w:t>
            </w: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14:paraId="785C09F9" w14:textId="77777777" w:rsidR="00B442EC" w:rsidRPr="00B442EC" w:rsidRDefault="00B442EC" w:rsidP="00B442EC">
            <w:pPr>
              <w:spacing w:after="120" w:line="264" w:lineRule="auto"/>
              <w:contextualSpacing/>
              <w:jc w:val="both"/>
              <w:rPr>
                <w:rFonts w:ascii="Calibri" w:eastAsia="Times New Roman" w:hAnsi="Calibri" w:cs="Times New Roman"/>
                <w:b/>
                <w:bCs/>
                <w:sz w:val="20"/>
                <w:szCs w:val="20"/>
              </w:rPr>
            </w:pPr>
            <w:r w:rsidRPr="00B442EC">
              <w:rPr>
                <w:rFonts w:ascii="Calibri" w:eastAsia="Times New Roman" w:hAnsi="Calibri" w:cs="Times New Roman"/>
                <w:b/>
                <w:bCs/>
                <w:sz w:val="20"/>
                <w:szCs w:val="20"/>
              </w:rPr>
              <w:t>12 months</w:t>
            </w: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14:paraId="7DF7895E" w14:textId="77777777" w:rsidR="00B442EC" w:rsidRPr="00B442EC" w:rsidRDefault="00B442EC" w:rsidP="00B442EC">
            <w:pPr>
              <w:spacing w:after="120" w:line="264" w:lineRule="auto"/>
              <w:contextualSpacing/>
              <w:jc w:val="both"/>
              <w:rPr>
                <w:rFonts w:ascii="Calibri" w:eastAsia="Times New Roman" w:hAnsi="Calibri" w:cs="Times New Roman"/>
                <w:b/>
                <w:bCs/>
                <w:sz w:val="20"/>
                <w:szCs w:val="20"/>
              </w:rPr>
            </w:pPr>
            <w:r w:rsidRPr="00B442EC">
              <w:rPr>
                <w:rFonts w:ascii="Calibri" w:eastAsia="Times New Roman" w:hAnsi="Calibri" w:cs="Times New Roman"/>
                <w:b/>
                <w:bCs/>
                <w:sz w:val="20"/>
                <w:szCs w:val="20"/>
              </w:rPr>
              <w:t>7 to 12 months</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14:paraId="1C5DDB5A" w14:textId="77777777" w:rsidR="00B442EC" w:rsidRPr="00B442EC" w:rsidRDefault="00B442EC" w:rsidP="00B442EC">
            <w:pPr>
              <w:spacing w:after="120" w:line="264" w:lineRule="auto"/>
              <w:contextualSpacing/>
              <w:jc w:val="both"/>
              <w:rPr>
                <w:rFonts w:ascii="Calibri" w:eastAsia="Times New Roman" w:hAnsi="Calibri" w:cs="Times New Roman"/>
                <w:b/>
                <w:bCs/>
                <w:sz w:val="20"/>
                <w:szCs w:val="20"/>
              </w:rPr>
            </w:pPr>
            <w:r w:rsidRPr="00B442EC">
              <w:rPr>
                <w:rFonts w:ascii="Calibri" w:eastAsia="Times New Roman" w:hAnsi="Calibri" w:cs="Times New Roman"/>
                <w:b/>
                <w:bCs/>
                <w:sz w:val="20"/>
                <w:szCs w:val="20"/>
              </w:rPr>
              <w:t>1 to 6 months</w:t>
            </w:r>
          </w:p>
        </w:tc>
      </w:tr>
      <w:tr w:rsidR="00B442EC" w:rsidRPr="00B442EC" w14:paraId="54EAC56B" w14:textId="77777777" w:rsidTr="0001430D">
        <w:trPr>
          <w:trHeight w:val="357"/>
        </w:trPr>
        <w:tc>
          <w:tcPr>
            <w:tcW w:w="1128" w:type="dxa"/>
            <w:vMerge/>
            <w:tcBorders>
              <w:left w:val="single" w:sz="8" w:space="0" w:color="auto"/>
              <w:bottom w:val="single" w:sz="8" w:space="0" w:color="auto"/>
              <w:right w:val="single" w:sz="8" w:space="0" w:color="auto"/>
            </w:tcBorders>
          </w:tcPr>
          <w:p w14:paraId="50A01868" w14:textId="77777777" w:rsidR="00B442EC" w:rsidRPr="00B442EC" w:rsidRDefault="00B442EC" w:rsidP="00B442EC">
            <w:pPr>
              <w:spacing w:after="120" w:line="264" w:lineRule="auto"/>
              <w:contextualSpacing/>
              <w:jc w:val="both"/>
              <w:rPr>
                <w:rFonts w:ascii="Calibri" w:eastAsia="Times New Roman" w:hAnsi="Calibri" w:cs="Times New Roman"/>
                <w:sz w:val="20"/>
                <w:szCs w:val="20"/>
              </w:rPr>
            </w:pPr>
          </w:p>
        </w:tc>
        <w:tc>
          <w:tcPr>
            <w:tcW w:w="1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D53E40" w14:textId="77777777" w:rsidR="00B442EC" w:rsidRPr="00B442EC" w:rsidRDefault="00B442EC" w:rsidP="00B442EC">
            <w:pPr>
              <w:spacing w:after="120" w:line="264" w:lineRule="auto"/>
              <w:contextualSpacing/>
              <w:jc w:val="both"/>
              <w:rPr>
                <w:rFonts w:ascii="Calibri" w:eastAsia="Times New Roman" w:hAnsi="Calibri" w:cs="Times New Roman"/>
                <w:sz w:val="20"/>
                <w:szCs w:val="20"/>
              </w:rPr>
            </w:pPr>
            <w:r w:rsidRPr="00B442EC">
              <w:rPr>
                <w:rFonts w:ascii="Calibri" w:eastAsia="Times New Roman" w:hAnsi="Calibri" w:cs="Times New Roman"/>
                <w:sz w:val="20"/>
                <w:szCs w:val="20"/>
              </w:rPr>
              <w:t>Financial Year to Date</w:t>
            </w:r>
          </w:p>
        </w:tc>
        <w:tc>
          <w:tcPr>
            <w:tcW w:w="453" w:type="dxa"/>
            <w:tcBorders>
              <w:top w:val="nil"/>
              <w:left w:val="nil"/>
              <w:bottom w:val="single" w:sz="8" w:space="0" w:color="auto"/>
              <w:right w:val="single" w:sz="8" w:space="0" w:color="auto"/>
            </w:tcBorders>
            <w:tcMar>
              <w:top w:w="0" w:type="dxa"/>
              <w:left w:w="108" w:type="dxa"/>
              <w:bottom w:w="0" w:type="dxa"/>
              <w:right w:w="108" w:type="dxa"/>
            </w:tcMar>
            <w:hideMark/>
          </w:tcPr>
          <w:p w14:paraId="17C1E961" w14:textId="77777777" w:rsidR="00B442EC" w:rsidRPr="00B442EC" w:rsidRDefault="00B442EC" w:rsidP="00B442EC">
            <w:pPr>
              <w:spacing w:after="120" w:line="264" w:lineRule="auto"/>
              <w:contextualSpacing/>
              <w:jc w:val="both"/>
              <w:rPr>
                <w:rFonts w:ascii="Calibri" w:eastAsia="Times New Roman" w:hAnsi="Calibri" w:cs="Times New Roman"/>
                <w:sz w:val="20"/>
                <w:szCs w:val="20"/>
              </w:rPr>
            </w:pPr>
            <w:r w:rsidRPr="00B442EC">
              <w:rPr>
                <w:rFonts w:ascii="Calibri" w:eastAsia="Times New Roman" w:hAnsi="Calibri" w:cs="Times New Roman"/>
                <w:sz w:val="20"/>
                <w:szCs w:val="20"/>
              </w:rPr>
              <w:t>…</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14:paraId="0522F6B3" w14:textId="77777777" w:rsidR="00B442EC" w:rsidRPr="00B442EC" w:rsidRDefault="00B442EC" w:rsidP="00B442EC">
            <w:pPr>
              <w:spacing w:after="120" w:line="264" w:lineRule="auto"/>
              <w:contextualSpacing/>
              <w:jc w:val="both"/>
              <w:rPr>
                <w:rFonts w:ascii="Calibri" w:eastAsia="Times New Roman" w:hAnsi="Calibri" w:cs="Times New Roman"/>
                <w:sz w:val="20"/>
                <w:szCs w:val="20"/>
              </w:rPr>
            </w:pPr>
            <w:r w:rsidRPr="00B442EC">
              <w:rPr>
                <w:rFonts w:ascii="Calibri" w:eastAsia="Times New Roman" w:hAnsi="Calibri" w:cs="Times New Roman"/>
                <w:sz w:val="20"/>
                <w:szCs w:val="20"/>
              </w:rPr>
              <w:t>Financial Year to Date</w:t>
            </w: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14:paraId="295ED6F1" w14:textId="77777777" w:rsidR="00B442EC" w:rsidRPr="00B442EC" w:rsidRDefault="00B442EC" w:rsidP="00B442EC">
            <w:pPr>
              <w:spacing w:after="120" w:line="264" w:lineRule="auto"/>
              <w:contextualSpacing/>
              <w:jc w:val="both"/>
              <w:rPr>
                <w:rFonts w:ascii="Calibri" w:eastAsia="Times New Roman" w:hAnsi="Calibri" w:cs="Times New Roman"/>
                <w:sz w:val="20"/>
                <w:szCs w:val="20"/>
              </w:rPr>
            </w:pPr>
            <w:r w:rsidRPr="00B442EC">
              <w:rPr>
                <w:rFonts w:ascii="Calibri" w:eastAsia="Times New Roman" w:hAnsi="Calibri" w:cs="Times New Roman"/>
                <w:sz w:val="20"/>
                <w:szCs w:val="20"/>
              </w:rPr>
              <w:t>Financial Year to Date</w:t>
            </w: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14:paraId="3668B1F2" w14:textId="77777777" w:rsidR="00B442EC" w:rsidRPr="00B442EC" w:rsidRDefault="00B442EC" w:rsidP="00B442EC">
            <w:pPr>
              <w:spacing w:after="120" w:line="264" w:lineRule="auto"/>
              <w:contextualSpacing/>
              <w:jc w:val="both"/>
              <w:rPr>
                <w:rFonts w:ascii="Calibri" w:eastAsia="Times New Roman" w:hAnsi="Calibri" w:cs="Times New Roman"/>
                <w:sz w:val="20"/>
                <w:szCs w:val="20"/>
              </w:rPr>
            </w:pPr>
            <w:r w:rsidRPr="00B442EC">
              <w:rPr>
                <w:rFonts w:ascii="Calibri" w:eastAsia="Times New Roman" w:hAnsi="Calibri" w:cs="Times New Roman"/>
                <w:sz w:val="20"/>
                <w:szCs w:val="20"/>
              </w:rPr>
              <w:t>H2 of prior Financial Year</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14:paraId="697F54F2" w14:textId="77777777" w:rsidR="00B442EC" w:rsidRPr="00B442EC" w:rsidRDefault="00B442EC" w:rsidP="00B442EC">
            <w:pPr>
              <w:spacing w:after="120" w:line="264" w:lineRule="auto"/>
              <w:contextualSpacing/>
              <w:jc w:val="both"/>
              <w:rPr>
                <w:rFonts w:ascii="Calibri" w:eastAsia="Times New Roman" w:hAnsi="Calibri" w:cs="Times New Roman"/>
                <w:sz w:val="20"/>
                <w:szCs w:val="20"/>
              </w:rPr>
            </w:pPr>
            <w:r w:rsidRPr="00B442EC">
              <w:rPr>
                <w:rFonts w:ascii="Calibri" w:eastAsia="Times New Roman" w:hAnsi="Calibri" w:cs="Times New Roman"/>
                <w:sz w:val="20"/>
                <w:szCs w:val="20"/>
              </w:rPr>
              <w:t>H1 of current Financial Year</w:t>
            </w:r>
          </w:p>
        </w:tc>
      </w:tr>
    </w:tbl>
    <w:p w14:paraId="4DA47D3A" w14:textId="77777777" w:rsidR="00B442EC" w:rsidRPr="00B442EC" w:rsidRDefault="00B442EC" w:rsidP="00B442EC">
      <w:pPr>
        <w:spacing w:after="120" w:line="264" w:lineRule="auto"/>
        <w:jc w:val="both"/>
        <w:rPr>
          <w:rFonts w:ascii="Calibri" w:eastAsia="Times New Roman" w:hAnsi="Calibri" w:cs="Times New Roman"/>
        </w:rPr>
      </w:pPr>
    </w:p>
    <w:p w14:paraId="3A64EE5E" w14:textId="77777777" w:rsidR="00B442EC" w:rsidRPr="00B442EC" w:rsidRDefault="00B442EC" w:rsidP="00B442EC">
      <w:pPr>
        <w:spacing w:after="120" w:line="264" w:lineRule="auto"/>
        <w:jc w:val="both"/>
        <w:rPr>
          <w:rFonts w:ascii="Calibri" w:eastAsia="Times New Roman" w:hAnsi="Calibri" w:cs="Times New Roman"/>
          <w:color w:val="2E74B5"/>
        </w:rPr>
      </w:pPr>
      <w:r w:rsidRPr="00B442EC">
        <w:rPr>
          <w:rFonts w:ascii="Calibri" w:eastAsia="Times New Roman" w:hAnsi="Calibri" w:cs="Times New Roman"/>
          <w:color w:val="2E74B5"/>
        </w:rPr>
        <w:br w:type="page"/>
      </w:r>
      <w:r w:rsidRPr="00B442EC">
        <w:rPr>
          <w:rFonts w:ascii="Calibri" w:eastAsia="Times New Roman" w:hAnsi="Calibri" w:cs="Times New Roman"/>
          <w:b/>
          <w:bCs/>
          <w:sz w:val="24"/>
          <w:szCs w:val="24"/>
        </w:rPr>
        <w:lastRenderedPageBreak/>
        <w:t xml:space="preserve">Panel A: Balance sheet and other items </w:t>
      </w:r>
    </w:p>
    <w:p w14:paraId="4D194CE3" w14:textId="77777777" w:rsidR="00B442EC" w:rsidRPr="00B442EC" w:rsidRDefault="00B442EC" w:rsidP="00B442EC">
      <w:pPr>
        <w:numPr>
          <w:ilvl w:val="0"/>
          <w:numId w:val="1"/>
        </w:numPr>
        <w:spacing w:after="120" w:line="264" w:lineRule="auto"/>
        <w:contextualSpacing/>
        <w:jc w:val="both"/>
        <w:rPr>
          <w:rFonts w:ascii="Calibri" w:eastAsia="Times New Roman" w:hAnsi="Calibri" w:cs="Times New Roman"/>
        </w:rPr>
      </w:pPr>
      <w:r w:rsidRPr="00B442EC">
        <w:rPr>
          <w:rFonts w:ascii="Calibri" w:eastAsia="Times New Roman" w:hAnsi="Calibri" w:cs="Times New Roman"/>
        </w:rPr>
        <w:t>Panel A collects information on specific items of the balance sheet.</w:t>
      </w:r>
    </w:p>
    <w:p w14:paraId="5EA777E8" w14:textId="77777777" w:rsidR="00B442EC" w:rsidRPr="00B442EC" w:rsidRDefault="00B442EC" w:rsidP="00B442EC">
      <w:pPr>
        <w:spacing w:after="120" w:line="264" w:lineRule="auto"/>
        <w:ind w:left="720"/>
        <w:contextualSpacing/>
        <w:jc w:val="both"/>
        <w:rPr>
          <w:rFonts w:ascii="Calibri" w:eastAsia="Times New Roman" w:hAnsi="Calibri" w:cs="Times New Roman"/>
        </w:rPr>
      </w:pPr>
    </w:p>
    <w:tbl>
      <w:tblPr>
        <w:tblStyle w:val="TableGrid1"/>
        <w:tblW w:w="9175" w:type="dxa"/>
        <w:tblLook w:val="04A0" w:firstRow="1" w:lastRow="0" w:firstColumn="1" w:lastColumn="0" w:noHBand="0" w:noVBand="1"/>
      </w:tblPr>
      <w:tblGrid>
        <w:gridCol w:w="683"/>
        <w:gridCol w:w="972"/>
        <w:gridCol w:w="1670"/>
        <w:gridCol w:w="2790"/>
        <w:gridCol w:w="1530"/>
        <w:gridCol w:w="1530"/>
      </w:tblGrid>
      <w:tr w:rsidR="00B442EC" w:rsidRPr="00B442EC" w14:paraId="0F75AA45" w14:textId="77777777" w:rsidTr="00B442EC">
        <w:trPr>
          <w:trHeight w:val="529"/>
          <w:tblHeader/>
        </w:trPr>
        <w:tc>
          <w:tcPr>
            <w:tcW w:w="0" w:type="auto"/>
            <w:shd w:val="clear" w:color="auto" w:fill="F2F2F2"/>
          </w:tcPr>
          <w:p w14:paraId="59AFD825" w14:textId="77777777" w:rsidR="00B442EC" w:rsidRPr="00B442EC" w:rsidRDefault="00B442EC" w:rsidP="00B442EC">
            <w:pPr>
              <w:spacing w:after="120" w:line="264" w:lineRule="auto"/>
              <w:contextualSpacing/>
              <w:jc w:val="both"/>
              <w:rPr>
                <w:rFonts w:ascii="Calibri" w:hAnsi="Calibri" w:cs="Times New Roman"/>
                <w:b/>
                <w:bCs/>
              </w:rPr>
            </w:pPr>
            <w:r w:rsidRPr="00B442EC">
              <w:rPr>
                <w:rFonts w:ascii="Calibri" w:hAnsi="Calibri" w:cs="Times New Roman"/>
                <w:b/>
                <w:bCs/>
              </w:rPr>
              <w:t>Row No</w:t>
            </w:r>
          </w:p>
        </w:tc>
        <w:tc>
          <w:tcPr>
            <w:tcW w:w="0" w:type="auto"/>
            <w:shd w:val="clear" w:color="auto" w:fill="F2F2F2"/>
          </w:tcPr>
          <w:p w14:paraId="4A03ED9D" w14:textId="77777777" w:rsidR="00B442EC" w:rsidRPr="00B442EC" w:rsidRDefault="00B442EC" w:rsidP="00B442EC">
            <w:pPr>
              <w:spacing w:after="120" w:line="264" w:lineRule="auto"/>
              <w:contextualSpacing/>
              <w:jc w:val="both"/>
              <w:rPr>
                <w:rFonts w:ascii="Calibri" w:hAnsi="Calibri" w:cs="Times New Roman"/>
                <w:b/>
                <w:bCs/>
              </w:rPr>
            </w:pPr>
            <w:r w:rsidRPr="00B442EC">
              <w:rPr>
                <w:rFonts w:ascii="Calibri" w:hAnsi="Calibri" w:cs="Times New Roman"/>
                <w:b/>
                <w:bCs/>
              </w:rPr>
              <w:t>Column No.</w:t>
            </w:r>
          </w:p>
        </w:tc>
        <w:tc>
          <w:tcPr>
            <w:tcW w:w="1670" w:type="dxa"/>
            <w:shd w:val="clear" w:color="auto" w:fill="F2F2F2"/>
          </w:tcPr>
          <w:p w14:paraId="13BF88A3" w14:textId="77777777" w:rsidR="00B442EC" w:rsidRPr="00B442EC" w:rsidRDefault="00B442EC" w:rsidP="00B442EC">
            <w:pPr>
              <w:spacing w:after="120" w:line="264" w:lineRule="auto"/>
              <w:contextualSpacing/>
              <w:jc w:val="both"/>
              <w:rPr>
                <w:rFonts w:ascii="Calibri" w:hAnsi="Calibri" w:cs="Times New Roman"/>
                <w:b/>
                <w:bCs/>
              </w:rPr>
            </w:pPr>
            <w:r w:rsidRPr="00B442EC">
              <w:rPr>
                <w:rFonts w:ascii="Calibri" w:hAnsi="Calibri" w:cs="Times New Roman"/>
                <w:b/>
                <w:bCs/>
              </w:rPr>
              <w:t>Heading</w:t>
            </w:r>
          </w:p>
        </w:tc>
        <w:tc>
          <w:tcPr>
            <w:tcW w:w="2790" w:type="dxa"/>
            <w:shd w:val="clear" w:color="auto" w:fill="F2F2F2"/>
          </w:tcPr>
          <w:p w14:paraId="35E99E92" w14:textId="77777777" w:rsidR="00B442EC" w:rsidRPr="00B442EC" w:rsidRDefault="00B442EC" w:rsidP="00B442EC">
            <w:pPr>
              <w:spacing w:after="120" w:line="264" w:lineRule="auto"/>
              <w:contextualSpacing/>
              <w:jc w:val="both"/>
              <w:rPr>
                <w:rFonts w:ascii="Calibri" w:hAnsi="Calibri" w:cs="Times New Roman"/>
                <w:b/>
                <w:bCs/>
              </w:rPr>
            </w:pPr>
            <w:r w:rsidRPr="00B442EC">
              <w:rPr>
                <w:rFonts w:ascii="Calibri" w:hAnsi="Calibri" w:cs="Times New Roman"/>
                <w:b/>
                <w:bCs/>
              </w:rPr>
              <w:t>Description</w:t>
            </w:r>
            <w:r w:rsidRPr="00B442EC">
              <w:rPr>
                <w:rFonts w:ascii="Calibri" w:hAnsi="Calibri" w:cs="Times New Roman"/>
                <w:b/>
                <w:bCs/>
                <w:color w:val="FF0000"/>
              </w:rPr>
              <w:t xml:space="preserve"> </w:t>
            </w:r>
          </w:p>
        </w:tc>
        <w:tc>
          <w:tcPr>
            <w:tcW w:w="1530" w:type="dxa"/>
            <w:shd w:val="clear" w:color="auto" w:fill="F2F2F2"/>
          </w:tcPr>
          <w:p w14:paraId="5E751A35" w14:textId="77777777" w:rsidR="00B442EC" w:rsidRPr="00B442EC" w:rsidRDefault="00B442EC" w:rsidP="00B442EC">
            <w:pPr>
              <w:spacing w:after="120" w:line="264" w:lineRule="auto"/>
              <w:contextualSpacing/>
              <w:jc w:val="both"/>
              <w:rPr>
                <w:rFonts w:ascii="Calibri" w:hAnsi="Calibri" w:cs="Times New Roman"/>
                <w:b/>
                <w:bCs/>
              </w:rPr>
            </w:pPr>
            <w:r w:rsidRPr="00B442EC">
              <w:rPr>
                <w:rFonts w:ascii="Calibri" w:hAnsi="Calibri" w:cs="Times New Roman"/>
                <w:b/>
                <w:bCs/>
              </w:rPr>
              <w:t xml:space="preserve">Mapping </w:t>
            </w:r>
            <w:r w:rsidRPr="00B442EC">
              <w:rPr>
                <w:rFonts w:ascii="Calibri" w:hAnsi="Calibri" w:cs="Times New Roman"/>
                <w:b/>
                <w:bCs/>
              </w:rPr>
              <w:br/>
            </w:r>
          </w:p>
        </w:tc>
        <w:tc>
          <w:tcPr>
            <w:tcW w:w="1530" w:type="dxa"/>
            <w:shd w:val="clear" w:color="auto" w:fill="F2F2F2"/>
          </w:tcPr>
          <w:p w14:paraId="4D7B54EB" w14:textId="77777777" w:rsidR="00B442EC" w:rsidRPr="00B442EC" w:rsidRDefault="00B442EC" w:rsidP="00B442EC">
            <w:pPr>
              <w:spacing w:after="120" w:line="264" w:lineRule="auto"/>
              <w:contextualSpacing/>
              <w:jc w:val="both"/>
              <w:rPr>
                <w:rFonts w:ascii="Calibri" w:hAnsi="Calibri" w:cs="Times New Roman"/>
                <w:b/>
                <w:bCs/>
              </w:rPr>
            </w:pPr>
            <w:r w:rsidRPr="00B442EC">
              <w:rPr>
                <w:rFonts w:ascii="Calibri" w:hAnsi="Calibri" w:cs="Times New Roman"/>
                <w:b/>
                <w:bCs/>
              </w:rPr>
              <w:t>Comments</w:t>
            </w:r>
          </w:p>
        </w:tc>
      </w:tr>
      <w:tr w:rsidR="00B442EC" w:rsidRPr="00B442EC" w14:paraId="0CD5E43B" w14:textId="77777777" w:rsidTr="0001430D">
        <w:trPr>
          <w:trHeight w:val="278"/>
        </w:trPr>
        <w:tc>
          <w:tcPr>
            <w:tcW w:w="0" w:type="auto"/>
          </w:tcPr>
          <w:p w14:paraId="3011C5F3"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1</w:t>
            </w:r>
          </w:p>
        </w:tc>
        <w:tc>
          <w:tcPr>
            <w:tcW w:w="0" w:type="auto"/>
          </w:tcPr>
          <w:p w14:paraId="34E3CD8D"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8-10</w:t>
            </w:r>
          </w:p>
        </w:tc>
        <w:tc>
          <w:tcPr>
            <w:tcW w:w="1670" w:type="dxa"/>
          </w:tcPr>
          <w:p w14:paraId="22515EA2"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Total assets</w:t>
            </w:r>
          </w:p>
        </w:tc>
        <w:tc>
          <w:tcPr>
            <w:tcW w:w="2790" w:type="dxa"/>
          </w:tcPr>
          <w:p w14:paraId="26A84079"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Total Assets</w:t>
            </w:r>
          </w:p>
        </w:tc>
        <w:tc>
          <w:tcPr>
            <w:tcW w:w="1530" w:type="dxa"/>
          </w:tcPr>
          <w:p w14:paraId="1FBE30B5"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BA 100 Line 54</w:t>
            </w:r>
          </w:p>
        </w:tc>
        <w:tc>
          <w:tcPr>
            <w:tcW w:w="1530" w:type="dxa"/>
          </w:tcPr>
          <w:p w14:paraId="5E5F65EB" w14:textId="77777777" w:rsidR="00B442EC" w:rsidRPr="00B442EC" w:rsidRDefault="00B442EC" w:rsidP="00B442EC">
            <w:pPr>
              <w:spacing w:after="120" w:line="264" w:lineRule="auto"/>
              <w:contextualSpacing/>
              <w:jc w:val="both"/>
              <w:rPr>
                <w:rFonts w:ascii="Calibri" w:hAnsi="Calibri" w:cs="Times New Roman"/>
              </w:rPr>
            </w:pPr>
          </w:p>
        </w:tc>
      </w:tr>
      <w:tr w:rsidR="00B442EC" w:rsidRPr="00B442EC" w14:paraId="1A223D46" w14:textId="77777777" w:rsidTr="0001430D">
        <w:trPr>
          <w:trHeight w:val="517"/>
        </w:trPr>
        <w:tc>
          <w:tcPr>
            <w:tcW w:w="0" w:type="auto"/>
          </w:tcPr>
          <w:p w14:paraId="04A16894"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2</w:t>
            </w:r>
          </w:p>
        </w:tc>
        <w:tc>
          <w:tcPr>
            <w:tcW w:w="0" w:type="auto"/>
          </w:tcPr>
          <w:p w14:paraId="3F35B1A2"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8-10</w:t>
            </w:r>
          </w:p>
        </w:tc>
        <w:tc>
          <w:tcPr>
            <w:tcW w:w="1670" w:type="dxa"/>
          </w:tcPr>
          <w:p w14:paraId="09EC72B7"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of which: interest-earning assets (including lease assets)</w:t>
            </w:r>
          </w:p>
        </w:tc>
        <w:tc>
          <w:tcPr>
            <w:tcW w:w="2790" w:type="dxa"/>
          </w:tcPr>
          <w:p w14:paraId="4EF9884F"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Total gross outstanding loans, advances, interest bearing securities (including government bonds), and lease assets measured at the end of each financial year</w:t>
            </w:r>
          </w:p>
        </w:tc>
        <w:tc>
          <w:tcPr>
            <w:tcW w:w="1530" w:type="dxa"/>
          </w:tcPr>
          <w:p w14:paraId="55EF1085"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BA100 Line 4, 5</w:t>
            </w:r>
          </w:p>
          <w:p w14:paraId="4F59A5A4"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BA100 Line 6, 7, 12</w:t>
            </w:r>
          </w:p>
          <w:p w14:paraId="3D3470ED"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BA 100 Line 30, 31, 37, 38</w:t>
            </w:r>
          </w:p>
        </w:tc>
        <w:tc>
          <w:tcPr>
            <w:tcW w:w="1530" w:type="dxa"/>
          </w:tcPr>
          <w:p w14:paraId="1FDD009A"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Line 6, 7, 12 are fully inclusive. Lines 30, 31, 37, 38 must only include sub-items that are interest earning.</w:t>
            </w:r>
          </w:p>
          <w:p w14:paraId="7C6CD8E0"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Interest earning cash balances must be included e.g., sub items of Lines 4, 5.</w:t>
            </w:r>
          </w:p>
          <w:p w14:paraId="76C90DC5" w14:textId="77777777" w:rsidR="00B442EC" w:rsidRPr="00B442EC" w:rsidRDefault="00B442EC" w:rsidP="00B442EC">
            <w:pPr>
              <w:spacing w:after="120" w:line="264" w:lineRule="auto"/>
              <w:contextualSpacing/>
              <w:jc w:val="both"/>
              <w:rPr>
                <w:rFonts w:ascii="Calibri" w:hAnsi="Calibri" w:cs="Times New Roman"/>
              </w:rPr>
            </w:pPr>
          </w:p>
        </w:tc>
      </w:tr>
    </w:tbl>
    <w:p w14:paraId="2E955FE7" w14:textId="77777777" w:rsidR="00B442EC" w:rsidRPr="00B442EC" w:rsidRDefault="00B442EC" w:rsidP="00B442EC">
      <w:pPr>
        <w:spacing w:after="120" w:line="264" w:lineRule="auto"/>
        <w:jc w:val="both"/>
        <w:rPr>
          <w:rFonts w:ascii="Calibri" w:eastAsia="Times New Roman" w:hAnsi="Calibri" w:cs="Times New Roman"/>
          <w:b/>
          <w:bCs/>
        </w:rPr>
      </w:pPr>
    </w:p>
    <w:p w14:paraId="338CE09C" w14:textId="77777777" w:rsidR="00B442EC" w:rsidRPr="00B442EC" w:rsidRDefault="00B442EC" w:rsidP="00B442EC">
      <w:pPr>
        <w:spacing w:after="120" w:line="264" w:lineRule="auto"/>
        <w:contextualSpacing/>
        <w:jc w:val="both"/>
        <w:rPr>
          <w:rFonts w:ascii="Calibri" w:eastAsia="Times New Roman" w:hAnsi="Calibri" w:cs="Times New Roman"/>
          <w:b/>
          <w:bCs/>
          <w:sz w:val="24"/>
          <w:szCs w:val="24"/>
        </w:rPr>
      </w:pPr>
      <w:r w:rsidRPr="00B442EC">
        <w:rPr>
          <w:rFonts w:ascii="Calibri" w:eastAsia="Times New Roman" w:hAnsi="Calibri" w:cs="Times New Roman"/>
          <w:b/>
          <w:bCs/>
          <w:sz w:val="24"/>
          <w:szCs w:val="24"/>
        </w:rPr>
        <w:t xml:space="preserve">Panel B: Income statement </w:t>
      </w:r>
    </w:p>
    <w:p w14:paraId="3E918349" w14:textId="77777777" w:rsidR="00B442EC" w:rsidRPr="00B442EC" w:rsidRDefault="00B442EC" w:rsidP="00B442EC">
      <w:pPr>
        <w:spacing w:after="120" w:line="264" w:lineRule="auto"/>
        <w:contextualSpacing/>
        <w:jc w:val="both"/>
        <w:rPr>
          <w:rFonts w:ascii="Calibri" w:eastAsia="Times New Roman" w:hAnsi="Calibri" w:cs="Times New Roman"/>
          <w:b/>
          <w:bCs/>
          <w:color w:val="FF0000"/>
        </w:rPr>
      </w:pPr>
    </w:p>
    <w:p w14:paraId="6F664D5A" w14:textId="77777777" w:rsidR="00B442EC" w:rsidRPr="00B442EC" w:rsidRDefault="00B442EC" w:rsidP="00B442EC">
      <w:pPr>
        <w:numPr>
          <w:ilvl w:val="0"/>
          <w:numId w:val="1"/>
        </w:numPr>
        <w:spacing w:after="120" w:line="264" w:lineRule="auto"/>
        <w:contextualSpacing/>
        <w:jc w:val="both"/>
        <w:rPr>
          <w:rFonts w:ascii="Calibri" w:eastAsia="Times New Roman" w:hAnsi="Calibri" w:cs="Times New Roman"/>
        </w:rPr>
      </w:pPr>
      <w:r w:rsidRPr="00B442EC">
        <w:rPr>
          <w:rFonts w:ascii="Calibri" w:eastAsia="Times New Roman" w:hAnsi="Calibri" w:cs="Times New Roman"/>
        </w:rPr>
        <w:t>Panel B collects information on specific items of the income statement.</w:t>
      </w:r>
    </w:p>
    <w:p w14:paraId="42B25AA0" w14:textId="77777777" w:rsidR="00B442EC" w:rsidRPr="00B442EC" w:rsidRDefault="00B442EC" w:rsidP="00B442EC">
      <w:pPr>
        <w:spacing w:after="120" w:line="264" w:lineRule="auto"/>
        <w:ind w:left="720"/>
        <w:contextualSpacing/>
        <w:jc w:val="both"/>
        <w:rPr>
          <w:rFonts w:ascii="Calibri" w:eastAsia="Times New Roman" w:hAnsi="Calibri" w:cs="Times New Roman"/>
        </w:rPr>
      </w:pPr>
    </w:p>
    <w:tbl>
      <w:tblPr>
        <w:tblStyle w:val="TableGrid1"/>
        <w:tblW w:w="0" w:type="auto"/>
        <w:tblLook w:val="04A0" w:firstRow="1" w:lastRow="0" w:firstColumn="1" w:lastColumn="0" w:noHBand="0" w:noVBand="1"/>
      </w:tblPr>
      <w:tblGrid>
        <w:gridCol w:w="597"/>
        <w:gridCol w:w="870"/>
        <w:gridCol w:w="1453"/>
        <w:gridCol w:w="2035"/>
        <w:gridCol w:w="1067"/>
        <w:gridCol w:w="2994"/>
      </w:tblGrid>
      <w:tr w:rsidR="00B442EC" w:rsidRPr="00B442EC" w14:paraId="6EC0B36A" w14:textId="77777777" w:rsidTr="00B442EC">
        <w:trPr>
          <w:trHeight w:val="529"/>
          <w:tblHeader/>
        </w:trPr>
        <w:tc>
          <w:tcPr>
            <w:tcW w:w="0" w:type="auto"/>
            <w:shd w:val="clear" w:color="auto" w:fill="F2F2F2"/>
          </w:tcPr>
          <w:p w14:paraId="4F4B7960" w14:textId="77777777" w:rsidR="00B442EC" w:rsidRPr="00B442EC" w:rsidRDefault="00B442EC" w:rsidP="00B442EC">
            <w:pPr>
              <w:spacing w:after="120" w:line="264" w:lineRule="auto"/>
              <w:contextualSpacing/>
              <w:jc w:val="both"/>
              <w:rPr>
                <w:rFonts w:ascii="Calibri" w:hAnsi="Calibri" w:cs="Times New Roman"/>
                <w:b/>
                <w:bCs/>
              </w:rPr>
            </w:pPr>
            <w:r w:rsidRPr="00B442EC">
              <w:rPr>
                <w:rFonts w:ascii="Calibri" w:hAnsi="Calibri" w:cs="Times New Roman"/>
                <w:b/>
                <w:bCs/>
              </w:rPr>
              <w:t>Row No</w:t>
            </w:r>
          </w:p>
        </w:tc>
        <w:tc>
          <w:tcPr>
            <w:tcW w:w="0" w:type="auto"/>
            <w:shd w:val="clear" w:color="auto" w:fill="F2F2F2"/>
          </w:tcPr>
          <w:p w14:paraId="1D7C3C22" w14:textId="77777777" w:rsidR="00B442EC" w:rsidRPr="00B442EC" w:rsidRDefault="00B442EC" w:rsidP="00B442EC">
            <w:pPr>
              <w:spacing w:after="120" w:line="264" w:lineRule="auto"/>
              <w:contextualSpacing/>
              <w:jc w:val="both"/>
              <w:rPr>
                <w:rFonts w:ascii="Calibri" w:hAnsi="Calibri" w:cs="Times New Roman"/>
                <w:b/>
                <w:bCs/>
              </w:rPr>
            </w:pPr>
            <w:r w:rsidRPr="00B442EC">
              <w:rPr>
                <w:rFonts w:ascii="Calibri" w:hAnsi="Calibri" w:cs="Times New Roman"/>
                <w:b/>
                <w:bCs/>
              </w:rPr>
              <w:t>Column No.</w:t>
            </w:r>
          </w:p>
        </w:tc>
        <w:tc>
          <w:tcPr>
            <w:tcW w:w="0" w:type="auto"/>
            <w:shd w:val="clear" w:color="auto" w:fill="F2F2F2"/>
          </w:tcPr>
          <w:p w14:paraId="421B992D" w14:textId="77777777" w:rsidR="00B442EC" w:rsidRPr="00B442EC" w:rsidRDefault="00B442EC" w:rsidP="00B442EC">
            <w:pPr>
              <w:spacing w:after="120" w:line="264" w:lineRule="auto"/>
              <w:contextualSpacing/>
              <w:jc w:val="both"/>
              <w:rPr>
                <w:rFonts w:ascii="Calibri" w:hAnsi="Calibri" w:cs="Times New Roman"/>
                <w:b/>
                <w:bCs/>
              </w:rPr>
            </w:pPr>
            <w:r w:rsidRPr="00B442EC">
              <w:rPr>
                <w:rFonts w:ascii="Calibri" w:hAnsi="Calibri" w:cs="Times New Roman"/>
                <w:b/>
                <w:bCs/>
              </w:rPr>
              <w:t>Heading</w:t>
            </w:r>
          </w:p>
        </w:tc>
        <w:tc>
          <w:tcPr>
            <w:tcW w:w="0" w:type="auto"/>
            <w:shd w:val="clear" w:color="auto" w:fill="F2F2F2"/>
          </w:tcPr>
          <w:p w14:paraId="37D02F5C" w14:textId="77777777" w:rsidR="00B442EC" w:rsidRPr="00B442EC" w:rsidRDefault="00B442EC" w:rsidP="00B442EC">
            <w:pPr>
              <w:spacing w:after="120" w:line="264" w:lineRule="auto"/>
              <w:contextualSpacing/>
              <w:jc w:val="both"/>
              <w:rPr>
                <w:rFonts w:ascii="Calibri" w:hAnsi="Calibri" w:cs="Times New Roman"/>
                <w:b/>
                <w:bCs/>
              </w:rPr>
            </w:pPr>
            <w:r w:rsidRPr="00B442EC">
              <w:rPr>
                <w:rFonts w:ascii="Calibri" w:hAnsi="Calibri" w:cs="Times New Roman"/>
                <w:b/>
                <w:bCs/>
              </w:rPr>
              <w:t>Description</w:t>
            </w:r>
            <w:r w:rsidRPr="00B442EC">
              <w:rPr>
                <w:rFonts w:ascii="Calibri" w:hAnsi="Calibri" w:cs="Times New Roman"/>
                <w:b/>
                <w:bCs/>
                <w:color w:val="FF0000"/>
              </w:rPr>
              <w:t xml:space="preserve"> </w:t>
            </w:r>
            <w:r w:rsidRPr="00B442EC">
              <w:rPr>
                <w:rFonts w:ascii="Calibri" w:hAnsi="Calibri" w:cs="Times New Roman"/>
                <w:b/>
                <w:bCs/>
                <w:color w:val="FF0000"/>
              </w:rPr>
              <w:br/>
            </w:r>
          </w:p>
        </w:tc>
        <w:tc>
          <w:tcPr>
            <w:tcW w:w="0" w:type="auto"/>
            <w:shd w:val="clear" w:color="auto" w:fill="F2F2F2"/>
          </w:tcPr>
          <w:p w14:paraId="48B5B85C" w14:textId="77777777" w:rsidR="00B442EC" w:rsidRPr="00B442EC" w:rsidRDefault="00B442EC" w:rsidP="00B442EC">
            <w:pPr>
              <w:spacing w:after="120" w:line="264" w:lineRule="auto"/>
              <w:contextualSpacing/>
              <w:jc w:val="both"/>
              <w:rPr>
                <w:rFonts w:ascii="Calibri" w:hAnsi="Calibri" w:cs="Times New Roman"/>
                <w:b/>
                <w:bCs/>
              </w:rPr>
            </w:pPr>
            <w:r w:rsidRPr="00B442EC">
              <w:rPr>
                <w:rFonts w:ascii="Calibri" w:hAnsi="Calibri" w:cs="Times New Roman"/>
                <w:b/>
                <w:bCs/>
              </w:rPr>
              <w:t xml:space="preserve">Mapping </w:t>
            </w:r>
            <w:r w:rsidRPr="00B442EC">
              <w:rPr>
                <w:rFonts w:ascii="Calibri" w:hAnsi="Calibri" w:cs="Times New Roman"/>
                <w:b/>
                <w:bCs/>
              </w:rPr>
              <w:br/>
            </w:r>
          </w:p>
        </w:tc>
        <w:tc>
          <w:tcPr>
            <w:tcW w:w="0" w:type="auto"/>
            <w:shd w:val="clear" w:color="auto" w:fill="F2F2F2"/>
          </w:tcPr>
          <w:p w14:paraId="7E6E7663" w14:textId="77777777" w:rsidR="00B442EC" w:rsidRPr="00B442EC" w:rsidRDefault="00B442EC" w:rsidP="00B442EC">
            <w:pPr>
              <w:spacing w:after="120" w:line="264" w:lineRule="auto"/>
              <w:contextualSpacing/>
              <w:jc w:val="both"/>
              <w:rPr>
                <w:rFonts w:ascii="Calibri" w:hAnsi="Calibri" w:cs="Times New Roman"/>
                <w:b/>
                <w:bCs/>
              </w:rPr>
            </w:pPr>
            <w:r w:rsidRPr="00B442EC">
              <w:rPr>
                <w:rFonts w:ascii="Calibri" w:hAnsi="Calibri" w:cs="Times New Roman"/>
                <w:b/>
                <w:bCs/>
              </w:rPr>
              <w:t>Comments</w:t>
            </w:r>
          </w:p>
        </w:tc>
      </w:tr>
      <w:tr w:rsidR="00B442EC" w:rsidRPr="00B442EC" w14:paraId="3B575348" w14:textId="77777777" w:rsidTr="0001430D">
        <w:trPr>
          <w:trHeight w:val="433"/>
        </w:trPr>
        <w:tc>
          <w:tcPr>
            <w:tcW w:w="0" w:type="auto"/>
            <w:shd w:val="clear" w:color="auto" w:fill="auto"/>
          </w:tcPr>
          <w:p w14:paraId="71AFE8A9"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4</w:t>
            </w:r>
          </w:p>
        </w:tc>
        <w:tc>
          <w:tcPr>
            <w:tcW w:w="0" w:type="auto"/>
            <w:shd w:val="clear" w:color="auto" w:fill="auto"/>
          </w:tcPr>
          <w:p w14:paraId="047D7EAE"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8-10</w:t>
            </w:r>
          </w:p>
        </w:tc>
        <w:tc>
          <w:tcPr>
            <w:tcW w:w="0" w:type="auto"/>
            <w:shd w:val="clear" w:color="auto" w:fill="auto"/>
          </w:tcPr>
          <w:p w14:paraId="5D71803F"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Gross Income</w:t>
            </w:r>
          </w:p>
        </w:tc>
        <w:tc>
          <w:tcPr>
            <w:tcW w:w="0" w:type="auto"/>
            <w:shd w:val="clear" w:color="auto" w:fill="auto"/>
          </w:tcPr>
          <w:p w14:paraId="6651E313"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These items are formula driven in the BA400 return</w:t>
            </w:r>
          </w:p>
        </w:tc>
        <w:tc>
          <w:tcPr>
            <w:tcW w:w="0" w:type="auto"/>
            <w:shd w:val="clear" w:color="auto" w:fill="auto"/>
          </w:tcPr>
          <w:p w14:paraId="6E814935"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Reconcile to the BA120 line 65</w:t>
            </w:r>
          </w:p>
        </w:tc>
        <w:tc>
          <w:tcPr>
            <w:tcW w:w="0" w:type="auto"/>
            <w:shd w:val="clear" w:color="auto" w:fill="auto"/>
          </w:tcPr>
          <w:p w14:paraId="70E27960" w14:textId="77777777" w:rsidR="00B442EC" w:rsidRPr="00B442EC" w:rsidRDefault="00B442EC" w:rsidP="00B442EC">
            <w:pPr>
              <w:spacing w:after="120" w:line="264" w:lineRule="auto"/>
              <w:contextualSpacing/>
              <w:jc w:val="both"/>
              <w:rPr>
                <w:rFonts w:ascii="Calibri" w:hAnsi="Calibri" w:cs="Times New Roman"/>
              </w:rPr>
            </w:pPr>
          </w:p>
        </w:tc>
      </w:tr>
      <w:tr w:rsidR="00B442EC" w:rsidRPr="00B442EC" w14:paraId="24BE6854" w14:textId="77777777" w:rsidTr="0001430D">
        <w:trPr>
          <w:trHeight w:val="517"/>
        </w:trPr>
        <w:tc>
          <w:tcPr>
            <w:tcW w:w="0" w:type="auto"/>
            <w:shd w:val="clear" w:color="auto" w:fill="auto"/>
          </w:tcPr>
          <w:p w14:paraId="2022D14B"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5</w:t>
            </w:r>
          </w:p>
        </w:tc>
        <w:tc>
          <w:tcPr>
            <w:tcW w:w="0" w:type="auto"/>
            <w:shd w:val="clear" w:color="auto" w:fill="auto"/>
          </w:tcPr>
          <w:p w14:paraId="72C3DF71"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8-10</w:t>
            </w:r>
          </w:p>
        </w:tc>
        <w:tc>
          <w:tcPr>
            <w:tcW w:w="0" w:type="auto"/>
            <w:shd w:val="clear" w:color="auto" w:fill="auto"/>
          </w:tcPr>
          <w:p w14:paraId="5F5FF0E7"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Interest income</w:t>
            </w:r>
          </w:p>
        </w:tc>
        <w:tc>
          <w:tcPr>
            <w:tcW w:w="0" w:type="auto"/>
            <w:shd w:val="clear" w:color="auto" w:fill="auto"/>
          </w:tcPr>
          <w:p w14:paraId="7EA9BBAF"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Interest income from all financial assets and other interest income (includes interest income from financial and operating leases and profits from leased assets)</w:t>
            </w:r>
          </w:p>
        </w:tc>
        <w:tc>
          <w:tcPr>
            <w:tcW w:w="0" w:type="auto"/>
            <w:shd w:val="clear" w:color="auto" w:fill="auto"/>
          </w:tcPr>
          <w:p w14:paraId="50922CBF"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BA 120 Line 1</w:t>
            </w:r>
          </w:p>
        </w:tc>
        <w:tc>
          <w:tcPr>
            <w:tcW w:w="0" w:type="auto"/>
            <w:shd w:val="clear" w:color="auto" w:fill="auto"/>
          </w:tcPr>
          <w:p w14:paraId="12CB851D" w14:textId="77777777" w:rsidR="00B442EC" w:rsidRPr="00B442EC" w:rsidRDefault="00B442EC" w:rsidP="00B442EC">
            <w:pPr>
              <w:spacing w:after="120" w:line="264" w:lineRule="auto"/>
              <w:contextualSpacing/>
              <w:jc w:val="both"/>
              <w:rPr>
                <w:rFonts w:ascii="Calibri" w:hAnsi="Calibri" w:cs="Times New Roman"/>
              </w:rPr>
            </w:pPr>
          </w:p>
        </w:tc>
      </w:tr>
      <w:tr w:rsidR="00B442EC" w:rsidRPr="00B442EC" w14:paraId="5F00BB0A" w14:textId="77777777" w:rsidTr="0001430D">
        <w:trPr>
          <w:trHeight w:val="517"/>
        </w:trPr>
        <w:tc>
          <w:tcPr>
            <w:tcW w:w="0" w:type="auto"/>
          </w:tcPr>
          <w:p w14:paraId="37B51A3C"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6</w:t>
            </w:r>
          </w:p>
        </w:tc>
        <w:tc>
          <w:tcPr>
            <w:tcW w:w="0" w:type="auto"/>
          </w:tcPr>
          <w:p w14:paraId="39BC40B8"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8-10</w:t>
            </w:r>
          </w:p>
        </w:tc>
        <w:tc>
          <w:tcPr>
            <w:tcW w:w="0" w:type="auto"/>
          </w:tcPr>
          <w:p w14:paraId="060BB348"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of which: interest-earning assets (including lease assets)</w:t>
            </w:r>
          </w:p>
        </w:tc>
        <w:tc>
          <w:tcPr>
            <w:tcW w:w="0" w:type="auto"/>
          </w:tcPr>
          <w:p w14:paraId="09E97BDE" w14:textId="77777777" w:rsidR="00B442EC" w:rsidRPr="00B442EC" w:rsidRDefault="00B442EC" w:rsidP="00B442EC">
            <w:pPr>
              <w:spacing w:after="120" w:line="264" w:lineRule="auto"/>
              <w:contextualSpacing/>
              <w:jc w:val="both"/>
              <w:rPr>
                <w:rFonts w:ascii="Calibri" w:hAnsi="Calibri" w:cs="Times New Roman"/>
              </w:rPr>
            </w:pPr>
          </w:p>
        </w:tc>
        <w:tc>
          <w:tcPr>
            <w:tcW w:w="0" w:type="auto"/>
          </w:tcPr>
          <w:p w14:paraId="5D41BBA7" w14:textId="77777777" w:rsidR="00B442EC" w:rsidRPr="00B442EC" w:rsidRDefault="00B442EC" w:rsidP="00B442EC">
            <w:pPr>
              <w:spacing w:after="120" w:line="264" w:lineRule="auto"/>
              <w:contextualSpacing/>
              <w:jc w:val="both"/>
              <w:rPr>
                <w:rFonts w:ascii="Calibri" w:hAnsi="Calibri" w:cs="Times New Roman"/>
              </w:rPr>
            </w:pPr>
          </w:p>
        </w:tc>
        <w:tc>
          <w:tcPr>
            <w:tcW w:w="0" w:type="auto"/>
          </w:tcPr>
          <w:p w14:paraId="3DC8E4DD" w14:textId="77777777" w:rsidR="00B442EC" w:rsidRPr="00B442EC" w:rsidRDefault="00B442EC" w:rsidP="00B442EC">
            <w:pPr>
              <w:spacing w:after="120" w:line="264" w:lineRule="auto"/>
              <w:contextualSpacing/>
              <w:jc w:val="both"/>
              <w:rPr>
                <w:rFonts w:ascii="Calibri" w:hAnsi="Calibri" w:cs="Times New Roman"/>
              </w:rPr>
            </w:pPr>
          </w:p>
        </w:tc>
      </w:tr>
      <w:tr w:rsidR="00B442EC" w:rsidRPr="00B442EC" w14:paraId="3A08C990" w14:textId="77777777" w:rsidTr="0001430D">
        <w:trPr>
          <w:trHeight w:val="517"/>
        </w:trPr>
        <w:tc>
          <w:tcPr>
            <w:tcW w:w="0" w:type="auto"/>
          </w:tcPr>
          <w:p w14:paraId="3A1456C9"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7</w:t>
            </w:r>
          </w:p>
        </w:tc>
        <w:tc>
          <w:tcPr>
            <w:tcW w:w="0" w:type="auto"/>
          </w:tcPr>
          <w:p w14:paraId="395222EE"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8-10</w:t>
            </w:r>
          </w:p>
        </w:tc>
        <w:tc>
          <w:tcPr>
            <w:tcW w:w="0" w:type="auto"/>
          </w:tcPr>
          <w:p w14:paraId="1F12C9FF"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Interest expenses of which:</w:t>
            </w:r>
          </w:p>
        </w:tc>
        <w:tc>
          <w:tcPr>
            <w:tcW w:w="0" w:type="auto"/>
          </w:tcPr>
          <w:p w14:paraId="2EDC04B1"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 xml:space="preserve">Interest expenses from all financial liabilities and other interest expenses </w:t>
            </w:r>
            <w:r w:rsidRPr="00B442EC">
              <w:rPr>
                <w:rFonts w:ascii="Calibri" w:hAnsi="Calibri" w:cs="Times New Roman"/>
              </w:rPr>
              <w:lastRenderedPageBreak/>
              <w:t>(includes interest expense from financial and operating leases, losses, depreciation, and impairment of operating leased assets)</w:t>
            </w:r>
          </w:p>
        </w:tc>
        <w:tc>
          <w:tcPr>
            <w:tcW w:w="0" w:type="auto"/>
          </w:tcPr>
          <w:p w14:paraId="49ACD7F6"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lastRenderedPageBreak/>
              <w:t>BA 120 Line 16</w:t>
            </w:r>
          </w:p>
        </w:tc>
        <w:tc>
          <w:tcPr>
            <w:tcW w:w="0" w:type="auto"/>
          </w:tcPr>
          <w:p w14:paraId="06E5D428" w14:textId="77777777" w:rsidR="00B442EC" w:rsidRPr="00B442EC" w:rsidRDefault="00B442EC" w:rsidP="00B442EC">
            <w:pPr>
              <w:spacing w:after="120" w:line="264" w:lineRule="auto"/>
              <w:contextualSpacing/>
              <w:jc w:val="both"/>
              <w:rPr>
                <w:rFonts w:ascii="Calibri" w:hAnsi="Calibri" w:cs="Times New Roman"/>
              </w:rPr>
            </w:pPr>
          </w:p>
        </w:tc>
      </w:tr>
      <w:tr w:rsidR="00B442EC" w:rsidRPr="00B442EC" w14:paraId="340EB53D" w14:textId="77777777" w:rsidTr="0001430D">
        <w:trPr>
          <w:trHeight w:val="517"/>
        </w:trPr>
        <w:tc>
          <w:tcPr>
            <w:tcW w:w="0" w:type="auto"/>
          </w:tcPr>
          <w:p w14:paraId="7E297AA4"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8</w:t>
            </w:r>
          </w:p>
        </w:tc>
        <w:tc>
          <w:tcPr>
            <w:tcW w:w="0" w:type="auto"/>
          </w:tcPr>
          <w:p w14:paraId="1852E3E9"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8-10</w:t>
            </w:r>
          </w:p>
        </w:tc>
        <w:tc>
          <w:tcPr>
            <w:tcW w:w="0" w:type="auto"/>
          </w:tcPr>
          <w:p w14:paraId="3EFE1EB6"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Expenses from financial and operational lease</w:t>
            </w:r>
          </w:p>
        </w:tc>
        <w:tc>
          <w:tcPr>
            <w:tcW w:w="0" w:type="auto"/>
          </w:tcPr>
          <w:p w14:paraId="35ED0761" w14:textId="77777777" w:rsidR="00B442EC" w:rsidRPr="00B442EC" w:rsidRDefault="00B442EC" w:rsidP="00B442EC">
            <w:pPr>
              <w:spacing w:after="120" w:line="264" w:lineRule="auto"/>
              <w:contextualSpacing/>
              <w:jc w:val="both"/>
              <w:rPr>
                <w:rFonts w:ascii="Calibri" w:hAnsi="Calibri" w:cs="Times New Roman"/>
              </w:rPr>
            </w:pPr>
          </w:p>
        </w:tc>
        <w:tc>
          <w:tcPr>
            <w:tcW w:w="0" w:type="auto"/>
          </w:tcPr>
          <w:p w14:paraId="6140F738" w14:textId="77777777" w:rsidR="00B442EC" w:rsidRPr="00B442EC" w:rsidRDefault="00B442EC" w:rsidP="00B442EC">
            <w:pPr>
              <w:spacing w:after="120" w:line="264" w:lineRule="auto"/>
              <w:contextualSpacing/>
              <w:jc w:val="both"/>
              <w:rPr>
                <w:rFonts w:ascii="Calibri" w:hAnsi="Calibri" w:cs="Times New Roman"/>
              </w:rPr>
            </w:pPr>
          </w:p>
        </w:tc>
        <w:tc>
          <w:tcPr>
            <w:tcW w:w="0" w:type="auto"/>
          </w:tcPr>
          <w:p w14:paraId="1458F72A" w14:textId="77777777" w:rsidR="00B442EC" w:rsidRPr="00B442EC" w:rsidRDefault="00B442EC" w:rsidP="00B442EC">
            <w:pPr>
              <w:spacing w:after="120" w:line="264" w:lineRule="auto"/>
              <w:contextualSpacing/>
              <w:jc w:val="both"/>
              <w:rPr>
                <w:rFonts w:ascii="Calibri" w:hAnsi="Calibri" w:cs="Times New Roman"/>
              </w:rPr>
            </w:pPr>
          </w:p>
        </w:tc>
      </w:tr>
      <w:tr w:rsidR="00B442EC" w:rsidRPr="00B442EC" w14:paraId="7B105054" w14:textId="77777777" w:rsidTr="0001430D">
        <w:trPr>
          <w:trHeight w:val="517"/>
        </w:trPr>
        <w:tc>
          <w:tcPr>
            <w:tcW w:w="0" w:type="auto"/>
            <w:shd w:val="clear" w:color="auto" w:fill="auto"/>
          </w:tcPr>
          <w:p w14:paraId="334BBABB"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9</w:t>
            </w:r>
          </w:p>
        </w:tc>
        <w:tc>
          <w:tcPr>
            <w:tcW w:w="0" w:type="auto"/>
            <w:shd w:val="clear" w:color="auto" w:fill="auto"/>
          </w:tcPr>
          <w:p w14:paraId="7B475C0A"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8-10</w:t>
            </w:r>
          </w:p>
        </w:tc>
        <w:tc>
          <w:tcPr>
            <w:tcW w:w="0" w:type="auto"/>
            <w:shd w:val="clear" w:color="auto" w:fill="auto"/>
          </w:tcPr>
          <w:p w14:paraId="7BA2F01A"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Absolute value of net interest income (including financial and operational lease)</w:t>
            </w:r>
          </w:p>
        </w:tc>
        <w:tc>
          <w:tcPr>
            <w:tcW w:w="0" w:type="auto"/>
            <w:shd w:val="clear" w:color="auto" w:fill="auto"/>
          </w:tcPr>
          <w:p w14:paraId="34E21B0B"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These items are formula driven in the BA400 return</w:t>
            </w:r>
          </w:p>
        </w:tc>
        <w:tc>
          <w:tcPr>
            <w:tcW w:w="0" w:type="auto"/>
            <w:shd w:val="clear" w:color="auto" w:fill="auto"/>
          </w:tcPr>
          <w:p w14:paraId="613449BD" w14:textId="77777777" w:rsidR="00B442EC" w:rsidRPr="00B442EC" w:rsidRDefault="00B442EC" w:rsidP="00B442EC">
            <w:pPr>
              <w:spacing w:after="120" w:line="264" w:lineRule="auto"/>
              <w:contextualSpacing/>
              <w:jc w:val="both"/>
              <w:rPr>
                <w:rFonts w:ascii="Calibri" w:hAnsi="Calibri" w:cs="Times New Roman"/>
              </w:rPr>
            </w:pPr>
          </w:p>
        </w:tc>
        <w:tc>
          <w:tcPr>
            <w:tcW w:w="0" w:type="auto"/>
            <w:shd w:val="clear" w:color="auto" w:fill="auto"/>
          </w:tcPr>
          <w:p w14:paraId="2DFDC236" w14:textId="77777777" w:rsidR="00B442EC" w:rsidRPr="00B442EC" w:rsidRDefault="00B442EC" w:rsidP="00B442EC">
            <w:pPr>
              <w:spacing w:after="120" w:line="264" w:lineRule="auto"/>
              <w:contextualSpacing/>
              <w:jc w:val="both"/>
              <w:rPr>
                <w:rFonts w:ascii="Calibri" w:hAnsi="Calibri" w:cs="Times New Roman"/>
              </w:rPr>
            </w:pPr>
          </w:p>
        </w:tc>
      </w:tr>
      <w:tr w:rsidR="00B442EC" w:rsidRPr="00B442EC" w14:paraId="4510DC9A" w14:textId="77777777" w:rsidTr="0001430D">
        <w:trPr>
          <w:trHeight w:val="517"/>
        </w:trPr>
        <w:tc>
          <w:tcPr>
            <w:tcW w:w="0" w:type="auto"/>
            <w:shd w:val="clear" w:color="auto" w:fill="auto"/>
          </w:tcPr>
          <w:p w14:paraId="3BE6A7FE"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10</w:t>
            </w:r>
          </w:p>
        </w:tc>
        <w:tc>
          <w:tcPr>
            <w:tcW w:w="0" w:type="auto"/>
            <w:shd w:val="clear" w:color="auto" w:fill="auto"/>
          </w:tcPr>
          <w:p w14:paraId="1AC79052"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8-10</w:t>
            </w:r>
          </w:p>
        </w:tc>
        <w:tc>
          <w:tcPr>
            <w:tcW w:w="0" w:type="auto"/>
            <w:shd w:val="clear" w:color="auto" w:fill="auto"/>
          </w:tcPr>
          <w:p w14:paraId="74F8537B"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Dividend income</w:t>
            </w:r>
          </w:p>
        </w:tc>
        <w:tc>
          <w:tcPr>
            <w:tcW w:w="0" w:type="auto"/>
            <w:shd w:val="clear" w:color="auto" w:fill="auto"/>
          </w:tcPr>
          <w:p w14:paraId="75A790A3"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Dividend income from investments in stocks and funds not consolidated in the bank’s financial statements, including dividend income from non-consolidated subsidiaries, associates, and joint ventures.</w:t>
            </w:r>
          </w:p>
        </w:tc>
        <w:tc>
          <w:tcPr>
            <w:tcW w:w="0" w:type="auto"/>
            <w:shd w:val="clear" w:color="auto" w:fill="auto"/>
          </w:tcPr>
          <w:p w14:paraId="3864C044"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BA 120 Line 46</w:t>
            </w:r>
          </w:p>
        </w:tc>
        <w:tc>
          <w:tcPr>
            <w:tcW w:w="0" w:type="auto"/>
            <w:shd w:val="clear" w:color="auto" w:fill="auto"/>
          </w:tcPr>
          <w:p w14:paraId="0C30BEB5"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Adjust for Insurance Business (Insurance Brokerage/ commission as part of banking business is included)</w:t>
            </w:r>
          </w:p>
        </w:tc>
      </w:tr>
      <w:tr w:rsidR="00B442EC" w:rsidRPr="00B442EC" w14:paraId="799C99C8" w14:textId="77777777" w:rsidTr="0001430D">
        <w:trPr>
          <w:trHeight w:val="517"/>
        </w:trPr>
        <w:tc>
          <w:tcPr>
            <w:tcW w:w="0" w:type="auto"/>
          </w:tcPr>
          <w:p w14:paraId="32EBD849"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11</w:t>
            </w:r>
          </w:p>
        </w:tc>
        <w:tc>
          <w:tcPr>
            <w:tcW w:w="0" w:type="auto"/>
          </w:tcPr>
          <w:p w14:paraId="1CD54848"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8-10</w:t>
            </w:r>
          </w:p>
        </w:tc>
        <w:tc>
          <w:tcPr>
            <w:tcW w:w="0" w:type="auto"/>
          </w:tcPr>
          <w:p w14:paraId="3D42AAE1"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Fee and commission income</w:t>
            </w:r>
          </w:p>
        </w:tc>
        <w:tc>
          <w:tcPr>
            <w:tcW w:w="0" w:type="auto"/>
          </w:tcPr>
          <w:p w14:paraId="41A24079"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Income received from providing advice and services. Includes income received by the bank as an outsourcer of financial services</w:t>
            </w:r>
          </w:p>
        </w:tc>
        <w:tc>
          <w:tcPr>
            <w:tcW w:w="0" w:type="auto"/>
          </w:tcPr>
          <w:p w14:paraId="0890276B"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BA 120 Line 29</w:t>
            </w:r>
          </w:p>
        </w:tc>
        <w:tc>
          <w:tcPr>
            <w:tcW w:w="0" w:type="auto"/>
          </w:tcPr>
          <w:p w14:paraId="1D44F5F6"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Adjust for Insurance Business (Insurance Brokerage/ commission as part of banking business is included)</w:t>
            </w:r>
          </w:p>
        </w:tc>
      </w:tr>
      <w:tr w:rsidR="00B442EC" w:rsidRPr="00B442EC" w14:paraId="3D4765F9" w14:textId="77777777" w:rsidTr="0001430D">
        <w:trPr>
          <w:trHeight w:val="517"/>
        </w:trPr>
        <w:tc>
          <w:tcPr>
            <w:tcW w:w="0" w:type="auto"/>
          </w:tcPr>
          <w:p w14:paraId="07C48F70"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12</w:t>
            </w:r>
          </w:p>
        </w:tc>
        <w:tc>
          <w:tcPr>
            <w:tcW w:w="0" w:type="auto"/>
          </w:tcPr>
          <w:p w14:paraId="1ABF5FE1"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8-10</w:t>
            </w:r>
          </w:p>
        </w:tc>
        <w:tc>
          <w:tcPr>
            <w:tcW w:w="0" w:type="auto"/>
          </w:tcPr>
          <w:p w14:paraId="3ACE0A50"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Fee and commission expenses</w:t>
            </w:r>
          </w:p>
        </w:tc>
        <w:tc>
          <w:tcPr>
            <w:tcW w:w="0" w:type="auto"/>
          </w:tcPr>
          <w:p w14:paraId="0D6E7529"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Expenses paid for receiving advice and services. Includes outsourcing fees paid by the bank for the supply of financial services, but not outsourcing fees paid for the supply of non-financial services (e.g., logistical, IT, human resources)</w:t>
            </w:r>
          </w:p>
        </w:tc>
        <w:tc>
          <w:tcPr>
            <w:tcW w:w="0" w:type="auto"/>
          </w:tcPr>
          <w:p w14:paraId="61914E0E"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BA 120 Line 36</w:t>
            </w:r>
          </w:p>
        </w:tc>
        <w:tc>
          <w:tcPr>
            <w:tcW w:w="0" w:type="auto"/>
          </w:tcPr>
          <w:p w14:paraId="1E6C56B7"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Adjust for Insurance Business (Insurance Brokerage/ commission as part of banking business is included)</w:t>
            </w:r>
          </w:p>
        </w:tc>
      </w:tr>
      <w:tr w:rsidR="00B442EC" w:rsidRPr="00B442EC" w14:paraId="04E62454" w14:textId="77777777" w:rsidTr="0001430D">
        <w:trPr>
          <w:trHeight w:val="517"/>
        </w:trPr>
        <w:tc>
          <w:tcPr>
            <w:tcW w:w="0" w:type="auto"/>
          </w:tcPr>
          <w:p w14:paraId="771FE3D6"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lastRenderedPageBreak/>
              <w:t>13</w:t>
            </w:r>
          </w:p>
        </w:tc>
        <w:tc>
          <w:tcPr>
            <w:tcW w:w="0" w:type="auto"/>
          </w:tcPr>
          <w:p w14:paraId="1D74758A"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8-10</w:t>
            </w:r>
          </w:p>
        </w:tc>
        <w:tc>
          <w:tcPr>
            <w:tcW w:w="0" w:type="auto"/>
          </w:tcPr>
          <w:p w14:paraId="17CDFF16"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Net profit (loss) on financial operations (trading book)</w:t>
            </w:r>
          </w:p>
        </w:tc>
        <w:tc>
          <w:tcPr>
            <w:tcW w:w="0" w:type="auto"/>
          </w:tcPr>
          <w:p w14:paraId="54BF9B33"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 Net profit/loss on trading assets and trading liabilities (derivatives, debt securities, equity securities, loans and advances, short positions, other assets, and liabilities)</w:t>
            </w:r>
          </w:p>
          <w:p w14:paraId="55B1D3CF"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 Net profit/loss from hedge accounting</w:t>
            </w:r>
          </w:p>
          <w:p w14:paraId="221795B3"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 Net profit/loss from exchange differences</w:t>
            </w:r>
          </w:p>
        </w:tc>
        <w:tc>
          <w:tcPr>
            <w:tcW w:w="0" w:type="auto"/>
          </w:tcPr>
          <w:p w14:paraId="7DD6C446"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BA 120 Line 49</w:t>
            </w:r>
          </w:p>
        </w:tc>
        <w:tc>
          <w:tcPr>
            <w:tcW w:w="0" w:type="auto"/>
          </w:tcPr>
          <w:p w14:paraId="33349FE0"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Split of banking and trading only available for Bank Solo. Consolidated and Group splits to be investigated.</w:t>
            </w:r>
          </w:p>
        </w:tc>
      </w:tr>
      <w:tr w:rsidR="00B442EC" w:rsidRPr="00B442EC" w14:paraId="5C68C6B9" w14:textId="77777777" w:rsidTr="0001430D">
        <w:trPr>
          <w:trHeight w:val="517"/>
        </w:trPr>
        <w:tc>
          <w:tcPr>
            <w:tcW w:w="0" w:type="auto"/>
          </w:tcPr>
          <w:p w14:paraId="0C0C56BA"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14</w:t>
            </w:r>
          </w:p>
        </w:tc>
        <w:tc>
          <w:tcPr>
            <w:tcW w:w="0" w:type="auto"/>
          </w:tcPr>
          <w:p w14:paraId="5067D77D"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8-10</w:t>
            </w:r>
          </w:p>
        </w:tc>
        <w:tc>
          <w:tcPr>
            <w:tcW w:w="0" w:type="auto"/>
          </w:tcPr>
          <w:p w14:paraId="3AC2BFE9"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Net profit (loss) on financial operations (non-trading book)</w:t>
            </w:r>
          </w:p>
        </w:tc>
        <w:tc>
          <w:tcPr>
            <w:tcW w:w="0" w:type="auto"/>
          </w:tcPr>
          <w:p w14:paraId="5C491DE4"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 Net profit/loss on financial assets and liabilities measured at fair value through profit and loss</w:t>
            </w:r>
          </w:p>
          <w:p w14:paraId="7C0CA245"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 Realised gains/losses on financial assets and liabilities not measured at fair value through profit and loss (loans and advances, assets available for sale, assets held to maturity, financial liabilities measured at amortised cost)</w:t>
            </w:r>
          </w:p>
          <w:p w14:paraId="0BBA273B"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 Net profit/loss from hedge accounting</w:t>
            </w:r>
          </w:p>
          <w:p w14:paraId="7F7FC724"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 Net profit/loss from exchange differences</w:t>
            </w:r>
          </w:p>
        </w:tc>
        <w:tc>
          <w:tcPr>
            <w:tcW w:w="0" w:type="auto"/>
          </w:tcPr>
          <w:p w14:paraId="64079F92"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BA 120 Line 49, 56</w:t>
            </w:r>
          </w:p>
        </w:tc>
        <w:tc>
          <w:tcPr>
            <w:tcW w:w="0" w:type="auto"/>
          </w:tcPr>
          <w:p w14:paraId="138188AC"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Split of banking and trading only available for Bank Solo. Consolidated and Group splits to be investigated.</w:t>
            </w:r>
          </w:p>
          <w:p w14:paraId="6B64DFC9"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Banks to consider inclusion of items in BA120 Line 56.</w:t>
            </w:r>
          </w:p>
          <w:p w14:paraId="17EA0FCB"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If Line 56 is included, then exclude line 58 (Insurance business)</w:t>
            </w:r>
          </w:p>
          <w:p w14:paraId="096C9646"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If line 56 is included then exclude Line 60 (Per guideline excluded - Impairment/reversal of impairment (e.g., on financial assets, non-financial assets, investments in subsidiaries, joint ventures, and associates).</w:t>
            </w:r>
          </w:p>
          <w:p w14:paraId="25CD9F66" w14:textId="77777777" w:rsidR="00B442EC" w:rsidRPr="00B442EC" w:rsidRDefault="00B442EC" w:rsidP="00B442EC">
            <w:pPr>
              <w:spacing w:after="120" w:line="264" w:lineRule="auto"/>
              <w:contextualSpacing/>
              <w:jc w:val="both"/>
              <w:rPr>
                <w:rFonts w:ascii="Calibri" w:hAnsi="Calibri" w:cs="Times New Roman"/>
              </w:rPr>
            </w:pPr>
          </w:p>
        </w:tc>
      </w:tr>
      <w:tr w:rsidR="00B442EC" w:rsidRPr="00B442EC" w14:paraId="21F075C1" w14:textId="77777777" w:rsidTr="0001430D">
        <w:trPr>
          <w:trHeight w:val="517"/>
        </w:trPr>
        <w:tc>
          <w:tcPr>
            <w:tcW w:w="0" w:type="auto"/>
          </w:tcPr>
          <w:p w14:paraId="3A9C89AA"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15</w:t>
            </w:r>
          </w:p>
        </w:tc>
        <w:tc>
          <w:tcPr>
            <w:tcW w:w="0" w:type="auto"/>
          </w:tcPr>
          <w:p w14:paraId="225A0C29"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8-10</w:t>
            </w:r>
          </w:p>
        </w:tc>
        <w:tc>
          <w:tcPr>
            <w:tcW w:w="0" w:type="auto"/>
          </w:tcPr>
          <w:p w14:paraId="73914CB8"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Other operating income</w:t>
            </w:r>
          </w:p>
        </w:tc>
        <w:tc>
          <w:tcPr>
            <w:tcW w:w="0" w:type="auto"/>
          </w:tcPr>
          <w:p w14:paraId="28392828"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Income from ordinary banking operations not included in other BI items but of similar nature (income from operating leases should be excluded)</w:t>
            </w:r>
          </w:p>
        </w:tc>
        <w:tc>
          <w:tcPr>
            <w:tcW w:w="0" w:type="auto"/>
          </w:tcPr>
          <w:p w14:paraId="33C63D01"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BA 120 Line 61</w:t>
            </w:r>
          </w:p>
        </w:tc>
        <w:tc>
          <w:tcPr>
            <w:tcW w:w="0" w:type="auto"/>
          </w:tcPr>
          <w:p w14:paraId="571F2B39"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Line 63 "Other" will have to analysed for underlying GL items that require inclusion.</w:t>
            </w:r>
          </w:p>
          <w:p w14:paraId="61CA1E12"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From line 63 remove all items related to Insurance.</w:t>
            </w:r>
          </w:p>
        </w:tc>
      </w:tr>
      <w:tr w:rsidR="00B442EC" w:rsidRPr="00B442EC" w14:paraId="4136E40D" w14:textId="77777777" w:rsidTr="0001430D">
        <w:trPr>
          <w:trHeight w:val="517"/>
        </w:trPr>
        <w:tc>
          <w:tcPr>
            <w:tcW w:w="0" w:type="auto"/>
          </w:tcPr>
          <w:p w14:paraId="20E21F18"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16</w:t>
            </w:r>
          </w:p>
        </w:tc>
        <w:tc>
          <w:tcPr>
            <w:tcW w:w="0" w:type="auto"/>
          </w:tcPr>
          <w:p w14:paraId="1DCF951E"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8-10</w:t>
            </w:r>
          </w:p>
        </w:tc>
        <w:tc>
          <w:tcPr>
            <w:tcW w:w="0" w:type="auto"/>
          </w:tcPr>
          <w:p w14:paraId="3F98589F"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Net adjustments to gross income</w:t>
            </w:r>
          </w:p>
        </w:tc>
        <w:tc>
          <w:tcPr>
            <w:tcW w:w="0" w:type="auto"/>
          </w:tcPr>
          <w:p w14:paraId="528C927E" w14:textId="77777777" w:rsidR="00B442EC" w:rsidRPr="00B442EC" w:rsidRDefault="00B442EC" w:rsidP="00B442EC">
            <w:pPr>
              <w:spacing w:after="120" w:line="264" w:lineRule="auto"/>
              <w:contextualSpacing/>
              <w:jc w:val="both"/>
              <w:rPr>
                <w:rFonts w:ascii="Calibri" w:hAnsi="Calibri" w:cs="Times New Roman"/>
              </w:rPr>
            </w:pPr>
          </w:p>
        </w:tc>
        <w:tc>
          <w:tcPr>
            <w:tcW w:w="0" w:type="auto"/>
          </w:tcPr>
          <w:p w14:paraId="75DCD798" w14:textId="77777777" w:rsidR="00B442EC" w:rsidRPr="00B442EC" w:rsidRDefault="00B442EC" w:rsidP="00B442EC">
            <w:pPr>
              <w:spacing w:after="120" w:line="264" w:lineRule="auto"/>
              <w:contextualSpacing/>
              <w:jc w:val="both"/>
              <w:rPr>
                <w:rFonts w:ascii="Calibri" w:hAnsi="Calibri" w:cs="Times New Roman"/>
              </w:rPr>
            </w:pPr>
          </w:p>
        </w:tc>
        <w:tc>
          <w:tcPr>
            <w:tcW w:w="0" w:type="auto"/>
          </w:tcPr>
          <w:p w14:paraId="3447CAAB" w14:textId="77777777" w:rsidR="00B442EC" w:rsidRPr="00B442EC" w:rsidRDefault="00B442EC" w:rsidP="00B442EC">
            <w:pPr>
              <w:spacing w:after="120" w:line="264" w:lineRule="auto"/>
              <w:contextualSpacing/>
              <w:jc w:val="both"/>
              <w:rPr>
                <w:rFonts w:ascii="Calibri" w:hAnsi="Calibri" w:cs="Times New Roman"/>
              </w:rPr>
            </w:pPr>
          </w:p>
        </w:tc>
      </w:tr>
      <w:tr w:rsidR="00B442EC" w:rsidRPr="00B442EC" w14:paraId="0FEB1AB3" w14:textId="77777777" w:rsidTr="0001430D">
        <w:trPr>
          <w:trHeight w:val="517"/>
        </w:trPr>
        <w:tc>
          <w:tcPr>
            <w:tcW w:w="0" w:type="auto"/>
          </w:tcPr>
          <w:p w14:paraId="71D7B012"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17</w:t>
            </w:r>
          </w:p>
        </w:tc>
        <w:tc>
          <w:tcPr>
            <w:tcW w:w="0" w:type="auto"/>
          </w:tcPr>
          <w:p w14:paraId="7A8A8B36"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8-10</w:t>
            </w:r>
          </w:p>
        </w:tc>
        <w:tc>
          <w:tcPr>
            <w:tcW w:w="0" w:type="auto"/>
          </w:tcPr>
          <w:p w14:paraId="300B8D61"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Other operating expenses</w:t>
            </w:r>
          </w:p>
        </w:tc>
        <w:tc>
          <w:tcPr>
            <w:tcW w:w="0" w:type="auto"/>
          </w:tcPr>
          <w:p w14:paraId="463B9855"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 xml:space="preserve">Expenses and losses from ordinary banking operations not included in other BI </w:t>
            </w:r>
            <w:r w:rsidRPr="00B442EC">
              <w:rPr>
                <w:rFonts w:ascii="Calibri" w:hAnsi="Calibri" w:cs="Times New Roman"/>
              </w:rPr>
              <w:lastRenderedPageBreak/>
              <w:t>items but of similar nature and from operational loss events (expenses from operating leases should be excluded)</w:t>
            </w:r>
          </w:p>
        </w:tc>
        <w:tc>
          <w:tcPr>
            <w:tcW w:w="0" w:type="auto"/>
          </w:tcPr>
          <w:p w14:paraId="774FC367"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lastRenderedPageBreak/>
              <w:t>BA 120 Line 72, 76</w:t>
            </w:r>
          </w:p>
          <w:p w14:paraId="4A082E0B" w14:textId="77777777" w:rsidR="00B442EC" w:rsidRPr="00B442EC" w:rsidRDefault="00B442EC" w:rsidP="00B442EC">
            <w:pPr>
              <w:spacing w:after="120" w:line="264" w:lineRule="auto"/>
              <w:contextualSpacing/>
              <w:jc w:val="both"/>
              <w:rPr>
                <w:rFonts w:ascii="Calibri" w:hAnsi="Calibri" w:cs="Times New Roman"/>
              </w:rPr>
            </w:pPr>
          </w:p>
        </w:tc>
        <w:tc>
          <w:tcPr>
            <w:tcW w:w="0" w:type="auto"/>
          </w:tcPr>
          <w:p w14:paraId="36DB3DEE"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Line 76 "Other" will have to be analysed for underlying GL items.</w:t>
            </w:r>
          </w:p>
          <w:p w14:paraId="13E39673"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lastRenderedPageBreak/>
              <w:t>All items related to Operational Risk provisions and losses must be included.</w:t>
            </w:r>
          </w:p>
          <w:p w14:paraId="1D0F7C17"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Expenses relating to operational leases must be excluded.</w:t>
            </w:r>
          </w:p>
          <w:p w14:paraId="76184EAD"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Depreciation/amortisation of tangible and intangible assets must be excluded.</w:t>
            </w:r>
          </w:p>
          <w:p w14:paraId="1D8F3843"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All administrative expenses must be excluded.</w:t>
            </w:r>
          </w:p>
          <w:p w14:paraId="1A6E2E18"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Selling expenses must be included e.g., donations, entertainment (client), Membership and subscriptions, research, and development.</w:t>
            </w:r>
          </w:p>
        </w:tc>
      </w:tr>
    </w:tbl>
    <w:p w14:paraId="496BFF8C" w14:textId="77777777" w:rsidR="00B442EC" w:rsidRPr="00B442EC" w:rsidRDefault="00B442EC" w:rsidP="00B442EC">
      <w:pPr>
        <w:spacing w:after="120" w:line="264" w:lineRule="auto"/>
        <w:contextualSpacing/>
        <w:jc w:val="both"/>
        <w:rPr>
          <w:rFonts w:ascii="Calibri" w:eastAsia="Times New Roman" w:hAnsi="Calibri" w:cs="Times New Roman"/>
          <w:b/>
          <w:bCs/>
          <w:sz w:val="24"/>
          <w:szCs w:val="24"/>
        </w:rPr>
      </w:pPr>
    </w:p>
    <w:p w14:paraId="4F377261" w14:textId="77777777" w:rsidR="00B442EC" w:rsidRPr="00B442EC" w:rsidRDefault="00B442EC" w:rsidP="00B442EC">
      <w:pPr>
        <w:spacing w:after="120" w:line="264" w:lineRule="auto"/>
        <w:jc w:val="both"/>
        <w:rPr>
          <w:rFonts w:ascii="Calibri" w:eastAsia="Times New Roman" w:hAnsi="Calibri" w:cs="Times New Roman"/>
        </w:rPr>
      </w:pPr>
      <w:r w:rsidRPr="00B442EC">
        <w:rPr>
          <w:rFonts w:ascii="Calibri" w:eastAsia="Times New Roman" w:hAnsi="Calibri" w:cs="Times New Roman"/>
        </w:rPr>
        <w:t>The following P&amp;L items do not contribute to any of the items of the BI:</w:t>
      </w:r>
    </w:p>
    <w:p w14:paraId="1D2BC8E2" w14:textId="77777777" w:rsidR="00B442EC" w:rsidRPr="00B442EC" w:rsidRDefault="00B442EC" w:rsidP="00B442EC">
      <w:pPr>
        <w:numPr>
          <w:ilvl w:val="0"/>
          <w:numId w:val="1"/>
        </w:numPr>
        <w:spacing w:after="120" w:line="264" w:lineRule="auto"/>
        <w:contextualSpacing/>
        <w:jc w:val="both"/>
        <w:rPr>
          <w:rFonts w:ascii="Calibri" w:eastAsia="Times New Roman" w:hAnsi="Calibri" w:cs="Times New Roman"/>
        </w:rPr>
      </w:pPr>
      <w:r w:rsidRPr="00B442EC">
        <w:rPr>
          <w:rFonts w:ascii="Calibri" w:eastAsia="Times New Roman" w:hAnsi="Calibri" w:cs="Times New Roman"/>
        </w:rPr>
        <w:t>Income and expenses from insurance or reinsurance businesses</w:t>
      </w:r>
    </w:p>
    <w:p w14:paraId="33C6512E" w14:textId="77777777" w:rsidR="00B442EC" w:rsidRPr="00B442EC" w:rsidRDefault="00B442EC" w:rsidP="00B442EC">
      <w:pPr>
        <w:numPr>
          <w:ilvl w:val="0"/>
          <w:numId w:val="1"/>
        </w:numPr>
        <w:spacing w:after="120" w:line="264" w:lineRule="auto"/>
        <w:contextualSpacing/>
        <w:jc w:val="both"/>
        <w:rPr>
          <w:rFonts w:ascii="Calibri" w:eastAsia="Times New Roman" w:hAnsi="Calibri" w:cs="Times New Roman"/>
        </w:rPr>
      </w:pPr>
      <w:r w:rsidRPr="00B442EC">
        <w:rPr>
          <w:rFonts w:ascii="Calibri" w:eastAsia="Times New Roman" w:hAnsi="Calibri" w:cs="Times New Roman"/>
        </w:rPr>
        <w:t>Premiums paid and reimbursements/payments received from insurance or reinsurance policies purchased</w:t>
      </w:r>
    </w:p>
    <w:p w14:paraId="5A252BB3" w14:textId="77777777" w:rsidR="00B442EC" w:rsidRPr="00B442EC" w:rsidRDefault="00B442EC" w:rsidP="00B442EC">
      <w:pPr>
        <w:numPr>
          <w:ilvl w:val="0"/>
          <w:numId w:val="1"/>
        </w:numPr>
        <w:spacing w:after="120" w:line="264" w:lineRule="auto"/>
        <w:contextualSpacing/>
        <w:jc w:val="both"/>
        <w:rPr>
          <w:rFonts w:ascii="Calibri" w:eastAsia="Times New Roman" w:hAnsi="Calibri" w:cs="Times New Roman"/>
        </w:rPr>
      </w:pPr>
      <w:r w:rsidRPr="00B442EC">
        <w:rPr>
          <w:rFonts w:ascii="Calibri" w:eastAsia="Times New Roman" w:hAnsi="Calibri" w:cs="Times New Roman"/>
        </w:rPr>
        <w:t>Administrative expenses, including staff expenses, outsourcing fees paid for the supply of nonfinancial services (e.g., logistical, IT, human resources), and other administrative expenses (e.g., IT, utilities, telephone, travel, office supplies, postage)</w:t>
      </w:r>
    </w:p>
    <w:p w14:paraId="5F0A51A2" w14:textId="77777777" w:rsidR="00B442EC" w:rsidRPr="00B442EC" w:rsidRDefault="00B442EC" w:rsidP="00B442EC">
      <w:pPr>
        <w:numPr>
          <w:ilvl w:val="0"/>
          <w:numId w:val="1"/>
        </w:numPr>
        <w:spacing w:after="120" w:line="264" w:lineRule="auto"/>
        <w:contextualSpacing/>
        <w:jc w:val="both"/>
        <w:rPr>
          <w:rFonts w:ascii="Calibri" w:eastAsia="Times New Roman" w:hAnsi="Calibri" w:cs="Times New Roman"/>
        </w:rPr>
      </w:pPr>
      <w:r w:rsidRPr="00B442EC">
        <w:rPr>
          <w:rFonts w:ascii="Calibri" w:eastAsia="Times New Roman" w:hAnsi="Calibri" w:cs="Times New Roman"/>
        </w:rPr>
        <w:t>Recovery of administrative expenses including recovery of payments on behalf of customers (e.g., taxes debited to customers)</w:t>
      </w:r>
    </w:p>
    <w:p w14:paraId="29EAAB5D" w14:textId="77777777" w:rsidR="00B442EC" w:rsidRPr="00B442EC" w:rsidRDefault="00B442EC" w:rsidP="00B442EC">
      <w:pPr>
        <w:numPr>
          <w:ilvl w:val="0"/>
          <w:numId w:val="1"/>
        </w:numPr>
        <w:spacing w:after="120" w:line="264" w:lineRule="auto"/>
        <w:contextualSpacing/>
        <w:jc w:val="both"/>
        <w:rPr>
          <w:rFonts w:ascii="Calibri" w:eastAsia="Times New Roman" w:hAnsi="Calibri" w:cs="Times New Roman"/>
        </w:rPr>
      </w:pPr>
      <w:r w:rsidRPr="00B442EC">
        <w:rPr>
          <w:rFonts w:ascii="Calibri" w:eastAsia="Times New Roman" w:hAnsi="Calibri" w:cs="Times New Roman"/>
        </w:rPr>
        <w:t>Expenses of premises and fixed assets (except when these expenses result from operational loss events) 136 Basel III: Finalising post-crisis reforms</w:t>
      </w:r>
    </w:p>
    <w:p w14:paraId="2ABCDDC3" w14:textId="77777777" w:rsidR="00B442EC" w:rsidRPr="00B442EC" w:rsidRDefault="00B442EC" w:rsidP="00B442EC">
      <w:pPr>
        <w:numPr>
          <w:ilvl w:val="0"/>
          <w:numId w:val="1"/>
        </w:numPr>
        <w:spacing w:after="120" w:line="264" w:lineRule="auto"/>
        <w:contextualSpacing/>
        <w:jc w:val="both"/>
        <w:rPr>
          <w:rFonts w:ascii="Calibri" w:eastAsia="Times New Roman" w:hAnsi="Calibri" w:cs="Times New Roman"/>
        </w:rPr>
      </w:pPr>
      <w:r w:rsidRPr="00B442EC">
        <w:rPr>
          <w:rFonts w:ascii="Calibri" w:eastAsia="Times New Roman" w:hAnsi="Calibri" w:cs="Times New Roman"/>
        </w:rPr>
        <w:t>Depreciation/amortisation of tangible and intangible assets (except depreciation related to operating lease assets, which should be included in financial and operating lease expenses)</w:t>
      </w:r>
    </w:p>
    <w:p w14:paraId="2A94468D" w14:textId="77777777" w:rsidR="00B442EC" w:rsidRPr="00B442EC" w:rsidRDefault="00B442EC" w:rsidP="00B442EC">
      <w:pPr>
        <w:numPr>
          <w:ilvl w:val="0"/>
          <w:numId w:val="1"/>
        </w:numPr>
        <w:spacing w:after="120" w:line="264" w:lineRule="auto"/>
        <w:contextualSpacing/>
        <w:jc w:val="both"/>
        <w:rPr>
          <w:rFonts w:ascii="Calibri" w:eastAsia="Times New Roman" w:hAnsi="Calibri" w:cs="Times New Roman"/>
        </w:rPr>
      </w:pPr>
      <w:r w:rsidRPr="00B442EC">
        <w:rPr>
          <w:rFonts w:ascii="Calibri" w:eastAsia="Times New Roman" w:hAnsi="Calibri" w:cs="Times New Roman"/>
        </w:rPr>
        <w:t>Provisions/reversal of provisions (e.g., on pensions, commitments and guarantees given) except for provisions related to operational loss events</w:t>
      </w:r>
    </w:p>
    <w:p w14:paraId="1563585B" w14:textId="77777777" w:rsidR="00B442EC" w:rsidRPr="00B442EC" w:rsidRDefault="00B442EC" w:rsidP="00B442EC">
      <w:pPr>
        <w:numPr>
          <w:ilvl w:val="0"/>
          <w:numId w:val="1"/>
        </w:numPr>
        <w:spacing w:after="120" w:line="264" w:lineRule="auto"/>
        <w:contextualSpacing/>
        <w:jc w:val="both"/>
        <w:rPr>
          <w:rFonts w:ascii="Calibri" w:eastAsia="Times New Roman" w:hAnsi="Calibri" w:cs="Times New Roman"/>
        </w:rPr>
      </w:pPr>
      <w:r w:rsidRPr="00B442EC">
        <w:rPr>
          <w:rFonts w:ascii="Calibri" w:eastAsia="Times New Roman" w:hAnsi="Calibri" w:cs="Times New Roman"/>
        </w:rPr>
        <w:t>Expenses due to share capital repayable on demand</w:t>
      </w:r>
    </w:p>
    <w:p w14:paraId="1F415954" w14:textId="77777777" w:rsidR="00B442EC" w:rsidRPr="00B442EC" w:rsidRDefault="00B442EC" w:rsidP="00B442EC">
      <w:pPr>
        <w:numPr>
          <w:ilvl w:val="0"/>
          <w:numId w:val="1"/>
        </w:numPr>
        <w:spacing w:after="120" w:line="264" w:lineRule="auto"/>
        <w:contextualSpacing/>
        <w:jc w:val="both"/>
        <w:rPr>
          <w:rFonts w:ascii="Calibri" w:eastAsia="Times New Roman" w:hAnsi="Calibri" w:cs="Times New Roman"/>
        </w:rPr>
      </w:pPr>
      <w:r w:rsidRPr="00B442EC">
        <w:rPr>
          <w:rFonts w:ascii="Calibri" w:eastAsia="Times New Roman" w:hAnsi="Calibri" w:cs="Times New Roman"/>
        </w:rPr>
        <w:t>Impairment/reversal of impairment (e.g., on financial assets, non-financial assets, investments in subsidiaries, joint ventures, and associates)</w:t>
      </w:r>
    </w:p>
    <w:p w14:paraId="290C9CD2" w14:textId="77777777" w:rsidR="00B442EC" w:rsidRPr="00B442EC" w:rsidRDefault="00B442EC" w:rsidP="00B442EC">
      <w:pPr>
        <w:numPr>
          <w:ilvl w:val="0"/>
          <w:numId w:val="1"/>
        </w:numPr>
        <w:spacing w:after="120" w:line="264" w:lineRule="auto"/>
        <w:contextualSpacing/>
        <w:jc w:val="both"/>
        <w:rPr>
          <w:rFonts w:ascii="Calibri" w:eastAsia="Times New Roman" w:hAnsi="Calibri" w:cs="Times New Roman"/>
        </w:rPr>
      </w:pPr>
      <w:r w:rsidRPr="00B442EC">
        <w:rPr>
          <w:rFonts w:ascii="Calibri" w:eastAsia="Times New Roman" w:hAnsi="Calibri" w:cs="Times New Roman"/>
        </w:rPr>
        <w:t>Changes in goodwill recognised in profit or loss</w:t>
      </w:r>
    </w:p>
    <w:p w14:paraId="63E8EBB2" w14:textId="77777777" w:rsidR="00B442EC" w:rsidRPr="00B442EC" w:rsidRDefault="00B442EC" w:rsidP="00B442EC">
      <w:pPr>
        <w:numPr>
          <w:ilvl w:val="0"/>
          <w:numId w:val="1"/>
        </w:numPr>
        <w:spacing w:after="120" w:line="264" w:lineRule="auto"/>
        <w:contextualSpacing/>
        <w:jc w:val="both"/>
        <w:rPr>
          <w:rFonts w:ascii="Calibri" w:eastAsia="Times New Roman" w:hAnsi="Calibri" w:cs="Times New Roman"/>
        </w:rPr>
      </w:pPr>
      <w:r w:rsidRPr="00B442EC">
        <w:rPr>
          <w:rFonts w:ascii="Calibri" w:eastAsia="Times New Roman" w:hAnsi="Calibri" w:cs="Times New Roman"/>
        </w:rPr>
        <w:t>Corporate income tax (tax based on profits including current tax and deferred).</w:t>
      </w:r>
    </w:p>
    <w:p w14:paraId="79A6E979" w14:textId="77777777" w:rsidR="00B442EC" w:rsidRPr="00B442EC" w:rsidRDefault="00B442EC" w:rsidP="00B442EC">
      <w:pPr>
        <w:spacing w:after="120" w:line="264" w:lineRule="auto"/>
        <w:jc w:val="both"/>
        <w:rPr>
          <w:rFonts w:ascii="Calibri" w:eastAsia="Times New Roman" w:hAnsi="Calibri" w:cs="Times New Roman"/>
        </w:rPr>
      </w:pPr>
    </w:p>
    <w:p w14:paraId="1357B0AF" w14:textId="77777777" w:rsidR="00B442EC" w:rsidRPr="00B442EC" w:rsidRDefault="00B442EC" w:rsidP="00B442EC">
      <w:pPr>
        <w:jc w:val="both"/>
        <w:rPr>
          <w:rFonts w:ascii="Calibri" w:eastAsia="Times New Roman" w:hAnsi="Calibri" w:cs="Times New Roman"/>
          <w:b/>
          <w:bCs/>
          <w:sz w:val="24"/>
          <w:szCs w:val="24"/>
        </w:rPr>
      </w:pPr>
      <w:r w:rsidRPr="00B442EC">
        <w:rPr>
          <w:rFonts w:ascii="Calibri" w:eastAsia="Times New Roman" w:hAnsi="Calibri" w:cs="Times New Roman"/>
          <w:b/>
          <w:bCs/>
          <w:sz w:val="24"/>
          <w:szCs w:val="24"/>
        </w:rPr>
        <w:br w:type="page"/>
      </w:r>
      <w:r w:rsidRPr="00B442EC">
        <w:rPr>
          <w:rFonts w:ascii="Calibri" w:eastAsia="Times New Roman" w:hAnsi="Calibri" w:cs="Times New Roman"/>
          <w:b/>
          <w:bCs/>
          <w:sz w:val="24"/>
          <w:szCs w:val="24"/>
        </w:rPr>
        <w:lastRenderedPageBreak/>
        <w:t>Panel C: Operational risk losses</w:t>
      </w:r>
    </w:p>
    <w:p w14:paraId="2621E871" w14:textId="77777777" w:rsidR="00B442EC" w:rsidRPr="00B442EC" w:rsidRDefault="00B442EC" w:rsidP="00B442EC">
      <w:pPr>
        <w:spacing w:after="120" w:line="264" w:lineRule="auto"/>
        <w:ind w:left="720"/>
        <w:contextualSpacing/>
        <w:jc w:val="both"/>
        <w:rPr>
          <w:rFonts w:ascii="Calibri" w:eastAsia="Times New Roman" w:hAnsi="Calibri" w:cs="Times New Roman"/>
        </w:rPr>
      </w:pPr>
    </w:p>
    <w:p w14:paraId="7DDEF9BC" w14:textId="77777777" w:rsidR="00B442EC" w:rsidRPr="00B442EC" w:rsidRDefault="00B442EC" w:rsidP="00B442EC">
      <w:pPr>
        <w:numPr>
          <w:ilvl w:val="0"/>
          <w:numId w:val="1"/>
        </w:numPr>
        <w:spacing w:after="120" w:line="264" w:lineRule="auto"/>
        <w:contextualSpacing/>
        <w:jc w:val="both"/>
        <w:rPr>
          <w:rFonts w:ascii="Calibri" w:eastAsia="Times New Roman" w:hAnsi="Calibri" w:cs="Times New Roman"/>
        </w:rPr>
      </w:pPr>
      <w:r w:rsidRPr="00B442EC">
        <w:rPr>
          <w:rFonts w:ascii="Calibri" w:eastAsia="Times New Roman" w:hAnsi="Calibri" w:cs="Times New Roman"/>
        </w:rPr>
        <w:t xml:space="preserve">Panel C collects aggregated data on the number and </w:t>
      </w:r>
      <w:proofErr w:type="gramStart"/>
      <w:r w:rsidRPr="00B442EC">
        <w:rPr>
          <w:rFonts w:ascii="Calibri" w:eastAsia="Times New Roman" w:hAnsi="Calibri" w:cs="Times New Roman"/>
        </w:rPr>
        <w:t>amount</w:t>
      </w:r>
      <w:proofErr w:type="gramEnd"/>
      <w:r w:rsidRPr="00B442EC">
        <w:rPr>
          <w:rFonts w:ascii="Calibri" w:eastAsia="Times New Roman" w:hAnsi="Calibri" w:cs="Times New Roman"/>
        </w:rPr>
        <w:t xml:space="preserve"> of operational losses for the bank per the following criteria in columns D to M:</w:t>
      </w:r>
    </w:p>
    <w:p w14:paraId="6E1F9476" w14:textId="77777777" w:rsidR="00B442EC" w:rsidRPr="00B442EC" w:rsidRDefault="00B442EC" w:rsidP="00B442EC">
      <w:pPr>
        <w:jc w:val="both"/>
        <w:rPr>
          <w:rFonts w:ascii="Calibri" w:eastAsia="Times New Roman" w:hAnsi="Calibri" w:cs="Calibri"/>
          <w:szCs w:val="20"/>
          <w:u w:val="single"/>
        </w:rPr>
      </w:pPr>
      <w:r w:rsidRPr="00B442EC">
        <w:rPr>
          <w:rFonts w:ascii="Calibri" w:eastAsia="Times New Roman" w:hAnsi="Calibri" w:cs="Calibri"/>
          <w:szCs w:val="20"/>
          <w:u w:val="single"/>
        </w:rPr>
        <w:t>Scope of losses to be reported:</w:t>
      </w:r>
    </w:p>
    <w:p w14:paraId="4C8F53C0" w14:textId="77777777" w:rsidR="00B442EC" w:rsidRPr="00B442EC" w:rsidRDefault="00B442EC" w:rsidP="00B442EC">
      <w:pPr>
        <w:numPr>
          <w:ilvl w:val="0"/>
          <w:numId w:val="2"/>
        </w:numPr>
        <w:spacing w:after="120" w:line="264" w:lineRule="auto"/>
        <w:contextualSpacing/>
        <w:jc w:val="both"/>
        <w:rPr>
          <w:rFonts w:ascii="Calibri" w:eastAsia="Times New Roman" w:hAnsi="Calibri" w:cs="Times New Roman"/>
        </w:rPr>
      </w:pPr>
      <w:r w:rsidRPr="00B442EC">
        <w:rPr>
          <w:rFonts w:ascii="Calibri" w:eastAsia="Times New Roman" w:hAnsi="Calibri" w:cs="Times New Roman"/>
        </w:rPr>
        <w:t>All losses with an accounting or recognition date within the 10-year window.</w:t>
      </w:r>
    </w:p>
    <w:p w14:paraId="318CC158" w14:textId="77777777" w:rsidR="00B442EC" w:rsidRPr="00B442EC" w:rsidRDefault="00B442EC" w:rsidP="00B442EC">
      <w:pPr>
        <w:numPr>
          <w:ilvl w:val="0"/>
          <w:numId w:val="2"/>
        </w:numPr>
        <w:spacing w:after="120" w:line="264" w:lineRule="auto"/>
        <w:contextualSpacing/>
        <w:jc w:val="both"/>
        <w:rPr>
          <w:rFonts w:ascii="Calibri" w:eastAsia="Times New Roman" w:hAnsi="Calibri" w:cs="Times New Roman"/>
        </w:rPr>
      </w:pPr>
      <w:r w:rsidRPr="00B442EC">
        <w:rPr>
          <w:rFonts w:ascii="Calibri" w:eastAsia="Times New Roman" w:hAnsi="Calibri" w:cs="Times New Roman"/>
        </w:rPr>
        <w:t xml:space="preserve">The total net loss amount (gross less recoveries), for each individual loss, must be ≥ ZAR350k across the </w:t>
      </w:r>
      <w:proofErr w:type="gramStart"/>
      <w:r w:rsidRPr="00B442EC">
        <w:rPr>
          <w:rFonts w:ascii="Calibri" w:eastAsia="Times New Roman" w:hAnsi="Calibri" w:cs="Times New Roman"/>
        </w:rPr>
        <w:t>10 year</w:t>
      </w:r>
      <w:proofErr w:type="gramEnd"/>
      <w:r w:rsidRPr="00B442EC">
        <w:rPr>
          <w:rFonts w:ascii="Calibri" w:eastAsia="Times New Roman" w:hAnsi="Calibri" w:cs="Times New Roman"/>
        </w:rPr>
        <w:t xml:space="preserve"> period. </w:t>
      </w:r>
    </w:p>
    <w:p w14:paraId="7FE22994" w14:textId="77777777" w:rsidR="00B442EC" w:rsidRPr="00B442EC" w:rsidRDefault="00B442EC" w:rsidP="00B442EC">
      <w:pPr>
        <w:numPr>
          <w:ilvl w:val="0"/>
          <w:numId w:val="2"/>
        </w:numPr>
        <w:tabs>
          <w:tab w:val="left" w:pos="1500"/>
        </w:tabs>
        <w:spacing w:after="120" w:line="264" w:lineRule="auto"/>
        <w:contextualSpacing/>
        <w:jc w:val="both"/>
        <w:rPr>
          <w:rFonts w:ascii="Calibri" w:eastAsia="Times New Roman" w:hAnsi="Calibri" w:cs="Times New Roman"/>
        </w:rPr>
      </w:pPr>
      <w:r w:rsidRPr="00B442EC">
        <w:rPr>
          <w:rFonts w:ascii="Calibri" w:eastAsia="Times New Roman" w:hAnsi="Calibri" w:cs="Times New Roman"/>
        </w:rPr>
        <w:t>Rapidly recovered amounts to be discounted from the gross and recovery amount prior to calculating the net loss.</w:t>
      </w:r>
    </w:p>
    <w:p w14:paraId="22620017" w14:textId="77777777" w:rsidR="00B442EC" w:rsidRPr="00B442EC" w:rsidRDefault="00B442EC" w:rsidP="00B442EC">
      <w:pPr>
        <w:numPr>
          <w:ilvl w:val="0"/>
          <w:numId w:val="2"/>
        </w:numPr>
        <w:spacing w:after="120" w:line="264" w:lineRule="auto"/>
        <w:contextualSpacing/>
        <w:jc w:val="both"/>
        <w:rPr>
          <w:rFonts w:ascii="Calibri" w:eastAsia="Times New Roman" w:hAnsi="Calibri" w:cs="Times New Roman"/>
        </w:rPr>
      </w:pPr>
      <w:r w:rsidRPr="00B442EC">
        <w:rPr>
          <w:rFonts w:ascii="Calibri" w:eastAsia="Times New Roman" w:hAnsi="Calibri" w:cs="Times New Roman"/>
        </w:rPr>
        <w:t xml:space="preserve">Inclusion of all gross losses reportable as per the definition of gross loss requirements </w:t>
      </w:r>
    </w:p>
    <w:p w14:paraId="24AA266F" w14:textId="77777777" w:rsidR="00B442EC" w:rsidRPr="00B442EC" w:rsidRDefault="00B442EC" w:rsidP="00B442EC">
      <w:pPr>
        <w:numPr>
          <w:ilvl w:val="0"/>
          <w:numId w:val="2"/>
        </w:numPr>
        <w:tabs>
          <w:tab w:val="left" w:pos="1500"/>
        </w:tabs>
        <w:spacing w:after="120" w:line="264" w:lineRule="auto"/>
        <w:contextualSpacing/>
        <w:jc w:val="both"/>
        <w:rPr>
          <w:rFonts w:ascii="Calibri" w:eastAsia="Times New Roman" w:hAnsi="Calibri" w:cs="Times New Roman"/>
        </w:rPr>
      </w:pPr>
      <w:r w:rsidRPr="00B442EC">
        <w:rPr>
          <w:rFonts w:ascii="Calibri" w:eastAsia="Times New Roman" w:hAnsi="Calibri" w:cs="Times New Roman"/>
        </w:rPr>
        <w:t>Inclusion of all recoveries reportable as pre the definition of recoveries</w:t>
      </w:r>
    </w:p>
    <w:p w14:paraId="2E912D04" w14:textId="77777777" w:rsidR="00B442EC" w:rsidRPr="00B442EC" w:rsidRDefault="00B442EC" w:rsidP="00B442EC">
      <w:pPr>
        <w:numPr>
          <w:ilvl w:val="0"/>
          <w:numId w:val="2"/>
        </w:numPr>
        <w:tabs>
          <w:tab w:val="left" w:pos="1500"/>
        </w:tabs>
        <w:spacing w:after="120" w:line="264" w:lineRule="auto"/>
        <w:contextualSpacing/>
        <w:jc w:val="both"/>
        <w:rPr>
          <w:rFonts w:ascii="Calibri" w:eastAsia="Times New Roman" w:hAnsi="Calibri" w:cs="Times New Roman"/>
        </w:rPr>
      </w:pPr>
      <w:r w:rsidRPr="00B442EC">
        <w:rPr>
          <w:rFonts w:ascii="Calibri" w:eastAsia="Times New Roman" w:hAnsi="Calibri" w:cs="Times New Roman"/>
        </w:rPr>
        <w:t>Credit boundary events to be excluded, only pure direct operational losses (including Market risk boundary losses) to be included.</w:t>
      </w:r>
    </w:p>
    <w:p w14:paraId="1278D13E" w14:textId="77777777" w:rsidR="00B442EC" w:rsidRPr="00B442EC" w:rsidRDefault="00B442EC" w:rsidP="00B442EC">
      <w:pPr>
        <w:tabs>
          <w:tab w:val="left" w:pos="1500"/>
        </w:tabs>
        <w:ind w:left="1440"/>
        <w:contextualSpacing/>
        <w:jc w:val="both"/>
        <w:rPr>
          <w:rFonts w:ascii="Calibri" w:eastAsia="Times New Roman" w:hAnsi="Calibri" w:cs="Calibri"/>
          <w:szCs w:val="20"/>
        </w:rPr>
      </w:pPr>
    </w:p>
    <w:tbl>
      <w:tblPr>
        <w:tblStyle w:val="TableGrid1"/>
        <w:tblW w:w="9751" w:type="dxa"/>
        <w:tblLook w:val="04A0" w:firstRow="1" w:lastRow="0" w:firstColumn="1" w:lastColumn="0" w:noHBand="0" w:noVBand="1"/>
      </w:tblPr>
      <w:tblGrid>
        <w:gridCol w:w="818"/>
        <w:gridCol w:w="1474"/>
        <w:gridCol w:w="3742"/>
        <w:gridCol w:w="3717"/>
      </w:tblGrid>
      <w:tr w:rsidR="00B442EC" w:rsidRPr="00B442EC" w14:paraId="3D8F6A44" w14:textId="77777777" w:rsidTr="0001430D">
        <w:trPr>
          <w:trHeight w:val="544"/>
          <w:tblHeader/>
        </w:trPr>
        <w:tc>
          <w:tcPr>
            <w:tcW w:w="818" w:type="dxa"/>
            <w:shd w:val="clear" w:color="auto" w:fill="auto"/>
          </w:tcPr>
          <w:p w14:paraId="3FFFE262" w14:textId="77777777" w:rsidR="00B442EC" w:rsidRPr="00B442EC" w:rsidRDefault="00B442EC" w:rsidP="00B442EC">
            <w:pPr>
              <w:spacing w:after="120" w:line="264" w:lineRule="auto"/>
              <w:contextualSpacing/>
              <w:jc w:val="both"/>
              <w:rPr>
                <w:rFonts w:ascii="Calibri" w:hAnsi="Calibri" w:cs="Times New Roman"/>
                <w:b/>
                <w:bCs/>
              </w:rPr>
            </w:pPr>
            <w:r w:rsidRPr="00B442EC">
              <w:rPr>
                <w:rFonts w:ascii="Calibri" w:hAnsi="Calibri" w:cs="Times New Roman"/>
                <w:b/>
                <w:bCs/>
              </w:rPr>
              <w:t>Row No</w:t>
            </w:r>
          </w:p>
        </w:tc>
        <w:tc>
          <w:tcPr>
            <w:tcW w:w="1474" w:type="dxa"/>
            <w:shd w:val="clear" w:color="auto" w:fill="auto"/>
          </w:tcPr>
          <w:p w14:paraId="569C9F8B" w14:textId="77777777" w:rsidR="00B442EC" w:rsidRPr="00B442EC" w:rsidRDefault="00B442EC" w:rsidP="00B442EC">
            <w:pPr>
              <w:spacing w:after="120" w:line="264" w:lineRule="auto"/>
              <w:contextualSpacing/>
              <w:jc w:val="both"/>
              <w:rPr>
                <w:rFonts w:ascii="Calibri" w:hAnsi="Calibri" w:cs="Times New Roman"/>
                <w:b/>
                <w:bCs/>
              </w:rPr>
            </w:pPr>
            <w:r w:rsidRPr="00B442EC">
              <w:rPr>
                <w:rFonts w:ascii="Calibri" w:hAnsi="Calibri" w:cs="Times New Roman"/>
                <w:b/>
                <w:bCs/>
              </w:rPr>
              <w:t>Column No</w:t>
            </w:r>
          </w:p>
        </w:tc>
        <w:tc>
          <w:tcPr>
            <w:tcW w:w="3742" w:type="dxa"/>
            <w:shd w:val="clear" w:color="auto" w:fill="auto"/>
          </w:tcPr>
          <w:p w14:paraId="51A17E72" w14:textId="77777777" w:rsidR="00B442EC" w:rsidRPr="00B442EC" w:rsidRDefault="00B442EC" w:rsidP="00B442EC">
            <w:pPr>
              <w:spacing w:after="120" w:line="264" w:lineRule="auto"/>
              <w:contextualSpacing/>
              <w:jc w:val="both"/>
              <w:rPr>
                <w:rFonts w:ascii="Calibri" w:hAnsi="Calibri" w:cs="Times New Roman"/>
                <w:b/>
                <w:bCs/>
              </w:rPr>
            </w:pPr>
            <w:r w:rsidRPr="00B442EC">
              <w:rPr>
                <w:rFonts w:ascii="Calibri" w:hAnsi="Calibri" w:cs="Times New Roman"/>
                <w:b/>
                <w:bCs/>
              </w:rPr>
              <w:t>Heading</w:t>
            </w:r>
          </w:p>
        </w:tc>
        <w:tc>
          <w:tcPr>
            <w:tcW w:w="3717" w:type="dxa"/>
            <w:shd w:val="clear" w:color="auto" w:fill="auto"/>
          </w:tcPr>
          <w:p w14:paraId="3B7CCB48" w14:textId="77777777" w:rsidR="00B442EC" w:rsidRPr="00B442EC" w:rsidRDefault="00B442EC" w:rsidP="00B442EC">
            <w:pPr>
              <w:spacing w:after="120" w:line="264" w:lineRule="auto"/>
              <w:contextualSpacing/>
              <w:jc w:val="both"/>
              <w:rPr>
                <w:rFonts w:ascii="Calibri" w:hAnsi="Calibri" w:cs="Times New Roman"/>
                <w:b/>
                <w:bCs/>
              </w:rPr>
            </w:pPr>
            <w:r w:rsidRPr="00B442EC">
              <w:rPr>
                <w:rFonts w:ascii="Calibri" w:hAnsi="Calibri" w:cs="Times New Roman"/>
                <w:b/>
                <w:bCs/>
              </w:rPr>
              <w:t>Description</w:t>
            </w:r>
          </w:p>
        </w:tc>
      </w:tr>
      <w:tr w:rsidR="00B442EC" w:rsidRPr="00B442EC" w14:paraId="1EDF3902" w14:textId="77777777" w:rsidTr="0001430D">
        <w:trPr>
          <w:trHeight w:val="286"/>
        </w:trPr>
        <w:tc>
          <w:tcPr>
            <w:tcW w:w="818" w:type="dxa"/>
            <w:shd w:val="clear" w:color="auto" w:fill="auto"/>
          </w:tcPr>
          <w:p w14:paraId="41EC75C4"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18</w:t>
            </w:r>
          </w:p>
        </w:tc>
        <w:tc>
          <w:tcPr>
            <w:tcW w:w="1474" w:type="dxa"/>
            <w:shd w:val="clear" w:color="auto" w:fill="auto"/>
          </w:tcPr>
          <w:p w14:paraId="276EA97C"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1-10</w:t>
            </w:r>
          </w:p>
        </w:tc>
        <w:tc>
          <w:tcPr>
            <w:tcW w:w="3742" w:type="dxa"/>
            <w:tcBorders>
              <w:top w:val="single" w:sz="4" w:space="0" w:color="auto"/>
              <w:left w:val="nil"/>
              <w:bottom w:val="single" w:sz="4" w:space="0" w:color="auto"/>
              <w:right w:val="single" w:sz="4" w:space="0" w:color="auto"/>
            </w:tcBorders>
            <w:shd w:val="clear" w:color="auto" w:fill="auto"/>
            <w:vAlign w:val="center"/>
          </w:tcPr>
          <w:p w14:paraId="5B68C63F"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Total amount of gross losses</w:t>
            </w:r>
          </w:p>
        </w:tc>
        <w:tc>
          <w:tcPr>
            <w:tcW w:w="3717" w:type="dxa"/>
            <w:shd w:val="clear" w:color="auto" w:fill="auto"/>
          </w:tcPr>
          <w:p w14:paraId="5D8A54AC"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Sum of all impacts with an accounting date per the respective year, less rapidly recovered amount</w:t>
            </w:r>
          </w:p>
        </w:tc>
      </w:tr>
      <w:tr w:rsidR="00B442EC" w:rsidRPr="00B442EC" w14:paraId="1090F5C9" w14:textId="77777777" w:rsidTr="0001430D">
        <w:trPr>
          <w:trHeight w:val="532"/>
        </w:trPr>
        <w:tc>
          <w:tcPr>
            <w:tcW w:w="818" w:type="dxa"/>
            <w:shd w:val="clear" w:color="auto" w:fill="auto"/>
          </w:tcPr>
          <w:p w14:paraId="749AB221"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19</w:t>
            </w:r>
          </w:p>
        </w:tc>
        <w:tc>
          <w:tcPr>
            <w:tcW w:w="1474" w:type="dxa"/>
            <w:shd w:val="clear" w:color="auto" w:fill="auto"/>
          </w:tcPr>
          <w:p w14:paraId="6DB082DD"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1-10</w:t>
            </w:r>
          </w:p>
        </w:tc>
        <w:tc>
          <w:tcPr>
            <w:tcW w:w="3742" w:type="dxa"/>
            <w:tcBorders>
              <w:top w:val="nil"/>
              <w:left w:val="nil"/>
              <w:bottom w:val="single" w:sz="4" w:space="0" w:color="auto"/>
              <w:right w:val="single" w:sz="4" w:space="0" w:color="auto"/>
            </w:tcBorders>
            <w:shd w:val="clear" w:color="auto" w:fill="auto"/>
            <w:vAlign w:val="center"/>
          </w:tcPr>
          <w:p w14:paraId="27994143"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Total amount of loss recoveries</w:t>
            </w:r>
          </w:p>
        </w:tc>
        <w:tc>
          <w:tcPr>
            <w:tcW w:w="3717" w:type="dxa"/>
            <w:shd w:val="clear" w:color="auto" w:fill="auto"/>
          </w:tcPr>
          <w:p w14:paraId="3D696D40"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Sum of all recoveries with an accounting date per the respective year, less rapidly recovered amount</w:t>
            </w:r>
          </w:p>
        </w:tc>
      </w:tr>
      <w:tr w:rsidR="00B442EC" w:rsidRPr="00B442EC" w14:paraId="456C5CA7" w14:textId="77777777" w:rsidTr="0001430D">
        <w:trPr>
          <w:trHeight w:val="532"/>
        </w:trPr>
        <w:tc>
          <w:tcPr>
            <w:tcW w:w="818" w:type="dxa"/>
            <w:shd w:val="clear" w:color="auto" w:fill="auto"/>
          </w:tcPr>
          <w:p w14:paraId="2431E914"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20</w:t>
            </w:r>
          </w:p>
        </w:tc>
        <w:tc>
          <w:tcPr>
            <w:tcW w:w="1474" w:type="dxa"/>
            <w:shd w:val="clear" w:color="auto" w:fill="auto"/>
          </w:tcPr>
          <w:p w14:paraId="29C75B90"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1-10</w:t>
            </w:r>
          </w:p>
        </w:tc>
        <w:tc>
          <w:tcPr>
            <w:tcW w:w="3742" w:type="dxa"/>
            <w:tcBorders>
              <w:top w:val="nil"/>
              <w:left w:val="nil"/>
              <w:bottom w:val="single" w:sz="4" w:space="0" w:color="auto"/>
              <w:right w:val="single" w:sz="4" w:space="0" w:color="auto"/>
            </w:tcBorders>
            <w:shd w:val="clear" w:color="auto" w:fill="auto"/>
            <w:vAlign w:val="center"/>
          </w:tcPr>
          <w:p w14:paraId="60107F19" w14:textId="77777777" w:rsidR="00B442EC" w:rsidRPr="00B442EC" w:rsidRDefault="00B442EC" w:rsidP="00B442EC">
            <w:pPr>
              <w:spacing w:after="120" w:line="264" w:lineRule="auto"/>
              <w:jc w:val="both"/>
              <w:rPr>
                <w:rFonts w:ascii="Calibri" w:hAnsi="Calibri" w:cs="Times New Roman"/>
              </w:rPr>
            </w:pPr>
            <w:r w:rsidRPr="00B442EC">
              <w:rPr>
                <w:rFonts w:ascii="Calibri" w:hAnsi="Calibri" w:cs="Calibri"/>
                <w:color w:val="000000"/>
              </w:rPr>
              <w:t>of which: insurance recoveries</w:t>
            </w:r>
          </w:p>
        </w:tc>
        <w:tc>
          <w:tcPr>
            <w:tcW w:w="3717" w:type="dxa"/>
            <w:shd w:val="clear" w:color="auto" w:fill="auto"/>
          </w:tcPr>
          <w:p w14:paraId="73E8CF79"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Sum off recoveries received via Insurance, with an accounting date per the respective year, less rapidly recovered amount</w:t>
            </w:r>
          </w:p>
        </w:tc>
      </w:tr>
      <w:tr w:rsidR="00B442EC" w:rsidRPr="00B442EC" w14:paraId="4AA1E1F9" w14:textId="77777777" w:rsidTr="0001430D">
        <w:trPr>
          <w:trHeight w:val="532"/>
        </w:trPr>
        <w:tc>
          <w:tcPr>
            <w:tcW w:w="818" w:type="dxa"/>
            <w:shd w:val="clear" w:color="auto" w:fill="auto"/>
          </w:tcPr>
          <w:p w14:paraId="692B4AB5"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22</w:t>
            </w:r>
          </w:p>
        </w:tc>
        <w:tc>
          <w:tcPr>
            <w:tcW w:w="1474" w:type="dxa"/>
            <w:shd w:val="clear" w:color="auto" w:fill="auto"/>
          </w:tcPr>
          <w:p w14:paraId="3CDDEC01"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1-10</w:t>
            </w:r>
          </w:p>
        </w:tc>
        <w:tc>
          <w:tcPr>
            <w:tcW w:w="3742" w:type="dxa"/>
            <w:tcBorders>
              <w:top w:val="nil"/>
              <w:left w:val="nil"/>
              <w:bottom w:val="single" w:sz="4" w:space="0" w:color="auto"/>
              <w:right w:val="single" w:sz="4" w:space="0" w:color="auto"/>
            </w:tcBorders>
            <w:shd w:val="clear" w:color="auto" w:fill="auto"/>
            <w:vAlign w:val="center"/>
          </w:tcPr>
          <w:p w14:paraId="28B3AB92"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Calibri"/>
                <w:color w:val="000000"/>
              </w:rPr>
              <w:t>Total amount of net losses</w:t>
            </w:r>
          </w:p>
        </w:tc>
        <w:tc>
          <w:tcPr>
            <w:tcW w:w="3717" w:type="dxa"/>
            <w:shd w:val="clear" w:color="auto" w:fill="auto"/>
          </w:tcPr>
          <w:p w14:paraId="0FC9C547"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Calibri"/>
                <w:color w:val="000000"/>
              </w:rPr>
              <w:t>These items are formula driven in the BA400 return</w:t>
            </w:r>
          </w:p>
        </w:tc>
      </w:tr>
      <w:tr w:rsidR="00B442EC" w:rsidRPr="00B442EC" w14:paraId="7E2AB4BD" w14:textId="77777777" w:rsidTr="0001430D">
        <w:trPr>
          <w:trHeight w:val="532"/>
        </w:trPr>
        <w:tc>
          <w:tcPr>
            <w:tcW w:w="818" w:type="dxa"/>
            <w:shd w:val="clear" w:color="auto" w:fill="auto"/>
          </w:tcPr>
          <w:p w14:paraId="3F66FB9A"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23</w:t>
            </w:r>
          </w:p>
        </w:tc>
        <w:tc>
          <w:tcPr>
            <w:tcW w:w="1474" w:type="dxa"/>
            <w:shd w:val="clear" w:color="auto" w:fill="auto"/>
          </w:tcPr>
          <w:p w14:paraId="6CCF1D3B"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1-10</w:t>
            </w:r>
          </w:p>
        </w:tc>
        <w:tc>
          <w:tcPr>
            <w:tcW w:w="3742" w:type="dxa"/>
            <w:tcBorders>
              <w:top w:val="nil"/>
              <w:left w:val="nil"/>
              <w:bottom w:val="single" w:sz="4" w:space="0" w:color="auto"/>
              <w:right w:val="single" w:sz="4" w:space="0" w:color="auto"/>
            </w:tcBorders>
            <w:shd w:val="clear" w:color="auto" w:fill="auto"/>
            <w:vAlign w:val="center"/>
          </w:tcPr>
          <w:p w14:paraId="60A15BEA"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Calibri"/>
                <w:color w:val="000000"/>
              </w:rPr>
              <w:t>Number of loss events contributing to total gross losses</w:t>
            </w:r>
          </w:p>
        </w:tc>
        <w:tc>
          <w:tcPr>
            <w:tcW w:w="3717" w:type="dxa"/>
            <w:shd w:val="clear" w:color="auto" w:fill="auto"/>
          </w:tcPr>
          <w:p w14:paraId="29500709"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Number of loss events, with a gross impact in the respective year (Note: if an event contains impacts across multiple years, then event count would be “1” for each respective year with an impact</w:t>
            </w:r>
          </w:p>
        </w:tc>
      </w:tr>
      <w:tr w:rsidR="00B442EC" w:rsidRPr="00B442EC" w14:paraId="0AF029D4" w14:textId="77777777" w:rsidTr="0001430D">
        <w:trPr>
          <w:trHeight w:val="532"/>
        </w:trPr>
        <w:tc>
          <w:tcPr>
            <w:tcW w:w="818" w:type="dxa"/>
            <w:shd w:val="clear" w:color="auto" w:fill="auto"/>
          </w:tcPr>
          <w:p w14:paraId="4764BA02"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25</w:t>
            </w:r>
          </w:p>
        </w:tc>
        <w:tc>
          <w:tcPr>
            <w:tcW w:w="1474" w:type="dxa"/>
            <w:shd w:val="clear" w:color="auto" w:fill="auto"/>
          </w:tcPr>
          <w:p w14:paraId="7E40C899"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1-10</w:t>
            </w:r>
          </w:p>
        </w:tc>
        <w:tc>
          <w:tcPr>
            <w:tcW w:w="3742" w:type="dxa"/>
            <w:tcBorders>
              <w:top w:val="nil"/>
              <w:left w:val="nil"/>
              <w:bottom w:val="single" w:sz="4" w:space="0" w:color="auto"/>
              <w:right w:val="single" w:sz="4" w:space="0" w:color="auto"/>
            </w:tcBorders>
            <w:shd w:val="clear" w:color="auto" w:fill="auto"/>
            <w:vAlign w:val="center"/>
          </w:tcPr>
          <w:p w14:paraId="165C88AD"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Calibri"/>
                <w:color w:val="000000"/>
              </w:rPr>
              <w:t>Number of loss events in the ten-year window</w:t>
            </w:r>
          </w:p>
        </w:tc>
        <w:tc>
          <w:tcPr>
            <w:tcW w:w="3717" w:type="dxa"/>
            <w:shd w:val="clear" w:color="auto" w:fill="auto"/>
          </w:tcPr>
          <w:p w14:paraId="76F40852"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 xml:space="preserve">Unique count of events, across the entire </w:t>
            </w:r>
            <w:proofErr w:type="gramStart"/>
            <w:r w:rsidRPr="00B442EC">
              <w:rPr>
                <w:rFonts w:ascii="Calibri" w:hAnsi="Calibri" w:cs="Times New Roman"/>
              </w:rPr>
              <w:t>10 year</w:t>
            </w:r>
            <w:proofErr w:type="gramEnd"/>
            <w:r w:rsidRPr="00B442EC">
              <w:rPr>
                <w:rFonts w:ascii="Calibri" w:hAnsi="Calibri" w:cs="Times New Roman"/>
              </w:rPr>
              <w:t xml:space="preserve"> period</w:t>
            </w:r>
          </w:p>
        </w:tc>
      </w:tr>
      <w:tr w:rsidR="00B442EC" w:rsidRPr="00B442EC" w14:paraId="6FD2FF1A" w14:textId="77777777" w:rsidTr="0001430D">
        <w:trPr>
          <w:trHeight w:val="532"/>
        </w:trPr>
        <w:tc>
          <w:tcPr>
            <w:tcW w:w="818" w:type="dxa"/>
            <w:shd w:val="clear" w:color="auto" w:fill="auto"/>
          </w:tcPr>
          <w:p w14:paraId="3A815D31"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28</w:t>
            </w:r>
          </w:p>
        </w:tc>
        <w:tc>
          <w:tcPr>
            <w:tcW w:w="1474" w:type="dxa"/>
            <w:shd w:val="clear" w:color="auto" w:fill="auto"/>
          </w:tcPr>
          <w:p w14:paraId="0FE0FCF7"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1-10</w:t>
            </w:r>
          </w:p>
        </w:tc>
        <w:tc>
          <w:tcPr>
            <w:tcW w:w="3742" w:type="dxa"/>
            <w:tcBorders>
              <w:top w:val="nil"/>
              <w:left w:val="nil"/>
              <w:bottom w:val="single" w:sz="4" w:space="0" w:color="auto"/>
              <w:right w:val="single" w:sz="4" w:space="0" w:color="auto"/>
            </w:tcBorders>
            <w:shd w:val="clear" w:color="auto" w:fill="auto"/>
            <w:vAlign w:val="center"/>
          </w:tcPr>
          <w:p w14:paraId="4555533E"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Calibri"/>
                <w:color w:val="000000"/>
              </w:rPr>
              <w:t>Total amount of net losses qualifying for exclusion (per supervisory approval)</w:t>
            </w:r>
          </w:p>
        </w:tc>
        <w:tc>
          <w:tcPr>
            <w:tcW w:w="3717" w:type="dxa"/>
            <w:shd w:val="clear" w:color="auto" w:fill="auto"/>
          </w:tcPr>
          <w:p w14:paraId="75673E3F"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 xml:space="preserve">It is proposed that losses only be excluded from the loss component after being included in a bank’s operational risk loss database for a minimum period of 3 years. </w:t>
            </w:r>
          </w:p>
          <w:p w14:paraId="14CBF718"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A request for loss exclusions will only be considered should the individual excluded loss event be greater than 5% of the bank’s average net losses. The banks will need to approach the PA for approval.</w:t>
            </w:r>
          </w:p>
        </w:tc>
      </w:tr>
      <w:tr w:rsidR="00B442EC" w:rsidRPr="00B442EC" w14:paraId="6E72BCCD" w14:textId="77777777" w:rsidTr="0001430D">
        <w:trPr>
          <w:trHeight w:val="532"/>
        </w:trPr>
        <w:tc>
          <w:tcPr>
            <w:tcW w:w="818" w:type="dxa"/>
            <w:shd w:val="clear" w:color="auto" w:fill="auto"/>
          </w:tcPr>
          <w:p w14:paraId="0C9168CE"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29</w:t>
            </w:r>
          </w:p>
        </w:tc>
        <w:tc>
          <w:tcPr>
            <w:tcW w:w="1474" w:type="dxa"/>
            <w:shd w:val="clear" w:color="auto" w:fill="auto"/>
          </w:tcPr>
          <w:p w14:paraId="416E7117"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1-10</w:t>
            </w:r>
          </w:p>
        </w:tc>
        <w:tc>
          <w:tcPr>
            <w:tcW w:w="3742" w:type="dxa"/>
            <w:tcBorders>
              <w:top w:val="nil"/>
              <w:left w:val="nil"/>
              <w:bottom w:val="single" w:sz="4" w:space="0" w:color="auto"/>
              <w:right w:val="single" w:sz="4" w:space="0" w:color="auto"/>
            </w:tcBorders>
            <w:shd w:val="clear" w:color="auto" w:fill="auto"/>
            <w:vAlign w:val="center"/>
          </w:tcPr>
          <w:p w14:paraId="44F5596B"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Calibri"/>
                <w:color w:val="000000"/>
              </w:rPr>
              <w:t>Total net losses after exclusion of qualifying losses</w:t>
            </w:r>
          </w:p>
        </w:tc>
        <w:tc>
          <w:tcPr>
            <w:tcW w:w="3717" w:type="dxa"/>
            <w:shd w:val="clear" w:color="auto" w:fill="auto"/>
          </w:tcPr>
          <w:p w14:paraId="13744473"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Calibri"/>
                <w:color w:val="000000"/>
              </w:rPr>
              <w:t>These items are formula driven in the BA400 return</w:t>
            </w:r>
          </w:p>
        </w:tc>
      </w:tr>
      <w:tr w:rsidR="00B442EC" w:rsidRPr="00B442EC" w14:paraId="2FB395A2" w14:textId="77777777" w:rsidTr="0001430D">
        <w:trPr>
          <w:trHeight w:val="532"/>
        </w:trPr>
        <w:tc>
          <w:tcPr>
            <w:tcW w:w="818" w:type="dxa"/>
            <w:shd w:val="clear" w:color="auto" w:fill="auto"/>
          </w:tcPr>
          <w:p w14:paraId="42C1FA2F"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lastRenderedPageBreak/>
              <w:t>30</w:t>
            </w:r>
          </w:p>
        </w:tc>
        <w:tc>
          <w:tcPr>
            <w:tcW w:w="1474" w:type="dxa"/>
            <w:shd w:val="clear" w:color="auto" w:fill="auto"/>
          </w:tcPr>
          <w:p w14:paraId="26A7C4B4"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1-10</w:t>
            </w:r>
          </w:p>
        </w:tc>
        <w:tc>
          <w:tcPr>
            <w:tcW w:w="3742" w:type="dxa"/>
            <w:tcBorders>
              <w:top w:val="nil"/>
              <w:left w:val="nil"/>
              <w:bottom w:val="single" w:sz="4" w:space="0" w:color="auto"/>
              <w:right w:val="single" w:sz="4" w:space="0" w:color="auto"/>
            </w:tcBorders>
            <w:shd w:val="clear" w:color="auto" w:fill="auto"/>
            <w:vAlign w:val="center"/>
          </w:tcPr>
          <w:p w14:paraId="0D31E8E3"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Calibri"/>
                <w:color w:val="000000"/>
              </w:rPr>
              <w:t>Number of loss events qualifying for exclusion in the ten-year window (per supervisory approval)</w:t>
            </w:r>
          </w:p>
        </w:tc>
        <w:tc>
          <w:tcPr>
            <w:tcW w:w="3717" w:type="dxa"/>
            <w:shd w:val="clear" w:color="auto" w:fill="auto"/>
          </w:tcPr>
          <w:p w14:paraId="4EC0087B" w14:textId="77777777" w:rsidR="00B442EC" w:rsidRPr="00B442EC" w:rsidRDefault="00B442EC" w:rsidP="00B442EC">
            <w:pPr>
              <w:spacing w:after="120" w:line="264" w:lineRule="auto"/>
              <w:jc w:val="both"/>
              <w:rPr>
                <w:rFonts w:ascii="Calibri" w:hAnsi="Calibri" w:cs="Times New Roman"/>
              </w:rPr>
            </w:pPr>
            <w:r w:rsidRPr="00B442EC">
              <w:rPr>
                <w:rFonts w:ascii="Calibri" w:hAnsi="Calibri" w:cs="Times New Roman"/>
              </w:rPr>
              <w:t xml:space="preserve">It is proposed that losses only be excluded from the loss component after being included in a bank’s operational risk loss database for a minimum period of 3 years. </w:t>
            </w:r>
          </w:p>
          <w:p w14:paraId="3812437B"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A request for loss exclusions will only be considered should the individual excluded loss event be greater than 5% of the bank’s average net losses. The banks will need to approach the PA for approval.</w:t>
            </w:r>
          </w:p>
        </w:tc>
      </w:tr>
    </w:tbl>
    <w:p w14:paraId="17803A6D" w14:textId="77777777" w:rsidR="00B442EC" w:rsidRPr="00B442EC" w:rsidRDefault="00B442EC" w:rsidP="00B442EC">
      <w:pPr>
        <w:spacing w:after="120" w:line="264" w:lineRule="auto"/>
        <w:jc w:val="both"/>
        <w:rPr>
          <w:rFonts w:ascii="Calibri" w:eastAsia="Times New Roman" w:hAnsi="Calibri" w:cs="Times New Roman"/>
          <w:b/>
          <w:bCs/>
        </w:rPr>
      </w:pPr>
    </w:p>
    <w:tbl>
      <w:tblPr>
        <w:tblStyle w:val="TableGrid1"/>
        <w:tblW w:w="9776" w:type="dxa"/>
        <w:tblLook w:val="04A0" w:firstRow="1" w:lastRow="0" w:firstColumn="1" w:lastColumn="0" w:noHBand="0" w:noVBand="1"/>
      </w:tblPr>
      <w:tblGrid>
        <w:gridCol w:w="844"/>
        <w:gridCol w:w="1474"/>
        <w:gridCol w:w="3801"/>
        <w:gridCol w:w="3657"/>
      </w:tblGrid>
      <w:tr w:rsidR="00B442EC" w:rsidRPr="00B442EC" w14:paraId="77E567F1" w14:textId="77777777" w:rsidTr="0001430D">
        <w:trPr>
          <w:trHeight w:val="551"/>
          <w:tblHeader/>
        </w:trPr>
        <w:tc>
          <w:tcPr>
            <w:tcW w:w="844" w:type="dxa"/>
            <w:shd w:val="clear" w:color="auto" w:fill="auto"/>
          </w:tcPr>
          <w:p w14:paraId="2D4E2185" w14:textId="77777777" w:rsidR="00B442EC" w:rsidRPr="00B442EC" w:rsidRDefault="00B442EC" w:rsidP="00B442EC">
            <w:pPr>
              <w:spacing w:after="120" w:line="264" w:lineRule="auto"/>
              <w:contextualSpacing/>
              <w:jc w:val="both"/>
              <w:rPr>
                <w:rFonts w:ascii="Calibri" w:hAnsi="Calibri" w:cs="Times New Roman"/>
                <w:b/>
                <w:bCs/>
              </w:rPr>
            </w:pPr>
            <w:r w:rsidRPr="00B442EC">
              <w:rPr>
                <w:rFonts w:ascii="Calibri" w:hAnsi="Calibri" w:cs="Times New Roman"/>
                <w:b/>
                <w:bCs/>
              </w:rPr>
              <w:t>Row No</w:t>
            </w:r>
          </w:p>
        </w:tc>
        <w:tc>
          <w:tcPr>
            <w:tcW w:w="1474" w:type="dxa"/>
            <w:shd w:val="clear" w:color="auto" w:fill="auto"/>
          </w:tcPr>
          <w:p w14:paraId="2968AE74" w14:textId="77777777" w:rsidR="00B442EC" w:rsidRPr="00B442EC" w:rsidRDefault="00B442EC" w:rsidP="00B442EC">
            <w:pPr>
              <w:spacing w:after="120" w:line="264" w:lineRule="auto"/>
              <w:contextualSpacing/>
              <w:jc w:val="both"/>
              <w:rPr>
                <w:rFonts w:ascii="Calibri" w:hAnsi="Calibri" w:cs="Times New Roman"/>
                <w:b/>
                <w:bCs/>
              </w:rPr>
            </w:pPr>
            <w:r w:rsidRPr="00B442EC">
              <w:rPr>
                <w:rFonts w:ascii="Calibri" w:hAnsi="Calibri" w:cs="Times New Roman"/>
                <w:b/>
                <w:bCs/>
              </w:rPr>
              <w:t>Column No</w:t>
            </w:r>
          </w:p>
        </w:tc>
        <w:tc>
          <w:tcPr>
            <w:tcW w:w="3801" w:type="dxa"/>
            <w:shd w:val="clear" w:color="auto" w:fill="auto"/>
          </w:tcPr>
          <w:p w14:paraId="2FF96864" w14:textId="77777777" w:rsidR="00B442EC" w:rsidRPr="00B442EC" w:rsidRDefault="00B442EC" w:rsidP="00B442EC">
            <w:pPr>
              <w:spacing w:after="120" w:line="264" w:lineRule="auto"/>
              <w:contextualSpacing/>
              <w:jc w:val="both"/>
              <w:rPr>
                <w:rFonts w:ascii="Calibri" w:hAnsi="Calibri" w:cs="Times New Roman"/>
                <w:b/>
                <w:bCs/>
              </w:rPr>
            </w:pPr>
            <w:r w:rsidRPr="00B442EC">
              <w:rPr>
                <w:rFonts w:ascii="Calibri" w:hAnsi="Calibri" w:cs="Times New Roman"/>
                <w:b/>
                <w:bCs/>
              </w:rPr>
              <w:t>Heading</w:t>
            </w:r>
          </w:p>
        </w:tc>
        <w:tc>
          <w:tcPr>
            <w:tcW w:w="3657" w:type="dxa"/>
            <w:shd w:val="clear" w:color="auto" w:fill="auto"/>
          </w:tcPr>
          <w:p w14:paraId="0E268C6A" w14:textId="77777777" w:rsidR="00B442EC" w:rsidRPr="00B442EC" w:rsidRDefault="00B442EC" w:rsidP="00B442EC">
            <w:pPr>
              <w:spacing w:after="120" w:line="264" w:lineRule="auto"/>
              <w:contextualSpacing/>
              <w:jc w:val="both"/>
              <w:rPr>
                <w:rFonts w:ascii="Calibri" w:hAnsi="Calibri" w:cs="Times New Roman"/>
                <w:b/>
                <w:bCs/>
              </w:rPr>
            </w:pPr>
            <w:r w:rsidRPr="00B442EC">
              <w:rPr>
                <w:rFonts w:ascii="Calibri" w:hAnsi="Calibri" w:cs="Times New Roman"/>
                <w:b/>
                <w:bCs/>
              </w:rPr>
              <w:t>Description</w:t>
            </w:r>
            <w:r w:rsidRPr="00B442EC">
              <w:rPr>
                <w:rFonts w:ascii="Calibri" w:hAnsi="Calibri" w:cs="Times New Roman"/>
                <w:b/>
                <w:bCs/>
                <w:color w:val="FF0000"/>
              </w:rPr>
              <w:t xml:space="preserve"> </w:t>
            </w:r>
          </w:p>
        </w:tc>
      </w:tr>
      <w:tr w:rsidR="00B442EC" w:rsidRPr="00B442EC" w14:paraId="6C3C85E9" w14:textId="77777777" w:rsidTr="0001430D">
        <w:trPr>
          <w:trHeight w:val="538"/>
        </w:trPr>
        <w:tc>
          <w:tcPr>
            <w:tcW w:w="844" w:type="dxa"/>
            <w:shd w:val="clear" w:color="auto" w:fill="auto"/>
          </w:tcPr>
          <w:p w14:paraId="36D1738D"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33</w:t>
            </w:r>
          </w:p>
        </w:tc>
        <w:tc>
          <w:tcPr>
            <w:tcW w:w="1474" w:type="dxa"/>
            <w:shd w:val="clear" w:color="auto" w:fill="auto"/>
          </w:tcPr>
          <w:p w14:paraId="1C4AAA63"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10</w:t>
            </w:r>
          </w:p>
        </w:tc>
        <w:tc>
          <w:tcPr>
            <w:tcW w:w="3801" w:type="dxa"/>
            <w:tcBorders>
              <w:top w:val="single" w:sz="4" w:space="0" w:color="auto"/>
              <w:left w:val="nil"/>
              <w:bottom w:val="single" w:sz="4" w:space="0" w:color="auto"/>
              <w:right w:val="single" w:sz="4" w:space="0" w:color="auto"/>
            </w:tcBorders>
            <w:shd w:val="clear" w:color="auto" w:fill="auto"/>
            <w:vAlign w:val="center"/>
          </w:tcPr>
          <w:p w14:paraId="77775A59"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Calibri"/>
                <w:color w:val="000000"/>
              </w:rPr>
              <w:t>Total amount of gross losses</w:t>
            </w:r>
          </w:p>
        </w:tc>
        <w:tc>
          <w:tcPr>
            <w:tcW w:w="3657" w:type="dxa"/>
            <w:shd w:val="clear" w:color="auto" w:fill="auto"/>
          </w:tcPr>
          <w:p w14:paraId="38D205FD"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These items are formula driven in the BA400 return</w:t>
            </w:r>
          </w:p>
        </w:tc>
      </w:tr>
      <w:tr w:rsidR="00B442EC" w:rsidRPr="00B442EC" w14:paraId="6A1CAB05" w14:textId="77777777" w:rsidTr="0001430D">
        <w:trPr>
          <w:trHeight w:val="538"/>
        </w:trPr>
        <w:tc>
          <w:tcPr>
            <w:tcW w:w="844" w:type="dxa"/>
            <w:shd w:val="clear" w:color="auto" w:fill="auto"/>
          </w:tcPr>
          <w:p w14:paraId="68EA3507"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34</w:t>
            </w:r>
          </w:p>
        </w:tc>
        <w:tc>
          <w:tcPr>
            <w:tcW w:w="1474" w:type="dxa"/>
            <w:shd w:val="clear" w:color="auto" w:fill="auto"/>
          </w:tcPr>
          <w:p w14:paraId="7C013145"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10</w:t>
            </w:r>
          </w:p>
        </w:tc>
        <w:tc>
          <w:tcPr>
            <w:tcW w:w="3801" w:type="dxa"/>
            <w:tcBorders>
              <w:top w:val="nil"/>
              <w:left w:val="nil"/>
              <w:bottom w:val="single" w:sz="4" w:space="0" w:color="auto"/>
              <w:right w:val="single" w:sz="4" w:space="0" w:color="auto"/>
            </w:tcBorders>
            <w:shd w:val="clear" w:color="auto" w:fill="auto"/>
            <w:vAlign w:val="center"/>
          </w:tcPr>
          <w:p w14:paraId="54CC1B34"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Calibri"/>
                <w:color w:val="000000"/>
              </w:rPr>
              <w:t>Total amount of loss recoveries</w:t>
            </w:r>
          </w:p>
        </w:tc>
        <w:tc>
          <w:tcPr>
            <w:tcW w:w="3657" w:type="dxa"/>
            <w:shd w:val="clear" w:color="auto" w:fill="auto"/>
          </w:tcPr>
          <w:p w14:paraId="353C6C8A"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These items are formula driven in the BA400 return</w:t>
            </w:r>
          </w:p>
        </w:tc>
      </w:tr>
      <w:tr w:rsidR="00B442EC" w:rsidRPr="00B442EC" w14:paraId="792136AD" w14:textId="77777777" w:rsidTr="0001430D">
        <w:trPr>
          <w:trHeight w:val="538"/>
        </w:trPr>
        <w:tc>
          <w:tcPr>
            <w:tcW w:w="844" w:type="dxa"/>
            <w:shd w:val="clear" w:color="auto" w:fill="auto"/>
          </w:tcPr>
          <w:p w14:paraId="68D9C431" w14:textId="77777777" w:rsidR="00B442EC" w:rsidRPr="00B442EC" w:rsidRDefault="00B442EC" w:rsidP="00B442EC">
            <w:pPr>
              <w:spacing w:after="120" w:line="264" w:lineRule="auto"/>
              <w:contextualSpacing/>
              <w:jc w:val="both"/>
              <w:rPr>
                <w:rFonts w:ascii="Calibri" w:hAnsi="Calibri" w:cs="Times New Roman"/>
              </w:rPr>
            </w:pPr>
            <w:bookmarkStart w:id="1" w:name="_Hlk85032758"/>
            <w:r w:rsidRPr="00B442EC">
              <w:rPr>
                <w:rFonts w:ascii="Calibri" w:hAnsi="Calibri" w:cs="Times New Roman"/>
              </w:rPr>
              <w:t>35</w:t>
            </w:r>
          </w:p>
        </w:tc>
        <w:tc>
          <w:tcPr>
            <w:tcW w:w="1474" w:type="dxa"/>
            <w:shd w:val="clear" w:color="auto" w:fill="auto"/>
          </w:tcPr>
          <w:p w14:paraId="054882CA"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10</w:t>
            </w:r>
          </w:p>
        </w:tc>
        <w:tc>
          <w:tcPr>
            <w:tcW w:w="3801" w:type="dxa"/>
            <w:tcBorders>
              <w:top w:val="nil"/>
              <w:left w:val="nil"/>
              <w:bottom w:val="single" w:sz="4" w:space="0" w:color="auto"/>
              <w:right w:val="single" w:sz="4" w:space="0" w:color="auto"/>
            </w:tcBorders>
            <w:shd w:val="clear" w:color="auto" w:fill="auto"/>
            <w:vAlign w:val="center"/>
          </w:tcPr>
          <w:p w14:paraId="49CE43F1" w14:textId="77777777" w:rsidR="00B442EC" w:rsidRPr="00B442EC" w:rsidRDefault="00B442EC" w:rsidP="00B442EC">
            <w:pPr>
              <w:spacing w:after="120" w:line="264" w:lineRule="auto"/>
              <w:jc w:val="both"/>
              <w:rPr>
                <w:rFonts w:ascii="Calibri" w:hAnsi="Calibri" w:cs="Times New Roman"/>
              </w:rPr>
            </w:pPr>
            <w:r w:rsidRPr="00B442EC">
              <w:rPr>
                <w:rFonts w:ascii="Calibri" w:hAnsi="Calibri" w:cs="Calibri"/>
                <w:color w:val="000000"/>
              </w:rPr>
              <w:t xml:space="preserve"> of which: insurance recoveries</w:t>
            </w:r>
          </w:p>
        </w:tc>
        <w:tc>
          <w:tcPr>
            <w:tcW w:w="3657" w:type="dxa"/>
            <w:shd w:val="clear" w:color="auto" w:fill="auto"/>
          </w:tcPr>
          <w:p w14:paraId="0911561C"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These items are formula driven in the BA400 return</w:t>
            </w:r>
          </w:p>
        </w:tc>
      </w:tr>
      <w:bookmarkEnd w:id="1"/>
      <w:tr w:rsidR="00B442EC" w:rsidRPr="00B442EC" w14:paraId="0D823FEC" w14:textId="77777777" w:rsidTr="0001430D">
        <w:trPr>
          <w:trHeight w:val="538"/>
        </w:trPr>
        <w:tc>
          <w:tcPr>
            <w:tcW w:w="844" w:type="dxa"/>
            <w:shd w:val="clear" w:color="auto" w:fill="auto"/>
          </w:tcPr>
          <w:p w14:paraId="0A3B8822"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36</w:t>
            </w:r>
          </w:p>
        </w:tc>
        <w:tc>
          <w:tcPr>
            <w:tcW w:w="1474" w:type="dxa"/>
            <w:shd w:val="clear" w:color="auto" w:fill="auto"/>
          </w:tcPr>
          <w:p w14:paraId="28E22871"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10</w:t>
            </w:r>
          </w:p>
        </w:tc>
        <w:tc>
          <w:tcPr>
            <w:tcW w:w="3801" w:type="dxa"/>
            <w:tcBorders>
              <w:top w:val="nil"/>
              <w:left w:val="nil"/>
              <w:bottom w:val="single" w:sz="4" w:space="0" w:color="auto"/>
              <w:right w:val="single" w:sz="4" w:space="0" w:color="auto"/>
            </w:tcBorders>
            <w:shd w:val="clear" w:color="auto" w:fill="auto"/>
            <w:vAlign w:val="center"/>
          </w:tcPr>
          <w:p w14:paraId="07363159"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Calibri"/>
                <w:color w:val="000000"/>
              </w:rPr>
              <w:t>Total amount of net losses</w:t>
            </w:r>
          </w:p>
        </w:tc>
        <w:tc>
          <w:tcPr>
            <w:tcW w:w="3657" w:type="dxa"/>
            <w:tcBorders>
              <w:bottom w:val="single" w:sz="4" w:space="0" w:color="auto"/>
            </w:tcBorders>
            <w:shd w:val="clear" w:color="auto" w:fill="auto"/>
          </w:tcPr>
          <w:p w14:paraId="450FE2F2"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These items are formula driven in the BA400 return</w:t>
            </w:r>
          </w:p>
        </w:tc>
      </w:tr>
      <w:tr w:rsidR="00B442EC" w:rsidRPr="00B442EC" w14:paraId="3993CB7C" w14:textId="77777777" w:rsidTr="0001430D">
        <w:trPr>
          <w:trHeight w:val="538"/>
        </w:trPr>
        <w:tc>
          <w:tcPr>
            <w:tcW w:w="844" w:type="dxa"/>
            <w:shd w:val="clear" w:color="auto" w:fill="auto"/>
          </w:tcPr>
          <w:p w14:paraId="58DB0AB0"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37</w:t>
            </w:r>
          </w:p>
        </w:tc>
        <w:tc>
          <w:tcPr>
            <w:tcW w:w="1474" w:type="dxa"/>
            <w:shd w:val="clear" w:color="auto" w:fill="auto"/>
          </w:tcPr>
          <w:p w14:paraId="6635E67D"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10</w:t>
            </w:r>
          </w:p>
        </w:tc>
        <w:tc>
          <w:tcPr>
            <w:tcW w:w="3801" w:type="dxa"/>
            <w:tcBorders>
              <w:top w:val="single" w:sz="4" w:space="0" w:color="auto"/>
              <w:left w:val="nil"/>
              <w:bottom w:val="single" w:sz="4" w:space="0" w:color="auto"/>
              <w:right w:val="single" w:sz="4" w:space="0" w:color="auto"/>
            </w:tcBorders>
            <w:shd w:val="clear" w:color="auto" w:fill="auto"/>
            <w:vAlign w:val="center"/>
          </w:tcPr>
          <w:p w14:paraId="3CD84079"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Calibri"/>
                <w:color w:val="000000"/>
              </w:rPr>
              <w:t>Number of loss events contributing to total gross losses</w:t>
            </w:r>
          </w:p>
        </w:tc>
        <w:tc>
          <w:tcPr>
            <w:tcW w:w="3657" w:type="dxa"/>
            <w:tcBorders>
              <w:left w:val="single" w:sz="4" w:space="0" w:color="auto"/>
            </w:tcBorders>
            <w:shd w:val="clear" w:color="auto" w:fill="auto"/>
          </w:tcPr>
          <w:p w14:paraId="4F2E2D7C"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These items are formula driven in the BA400 return</w:t>
            </w:r>
          </w:p>
        </w:tc>
      </w:tr>
      <w:tr w:rsidR="00B442EC" w:rsidRPr="00B442EC" w14:paraId="32B3AB8F" w14:textId="77777777" w:rsidTr="0001430D">
        <w:trPr>
          <w:trHeight w:val="538"/>
        </w:trPr>
        <w:tc>
          <w:tcPr>
            <w:tcW w:w="844" w:type="dxa"/>
            <w:shd w:val="clear" w:color="auto" w:fill="auto"/>
          </w:tcPr>
          <w:p w14:paraId="75F21AED"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38</w:t>
            </w:r>
          </w:p>
        </w:tc>
        <w:tc>
          <w:tcPr>
            <w:tcW w:w="1474" w:type="dxa"/>
            <w:shd w:val="clear" w:color="auto" w:fill="auto"/>
          </w:tcPr>
          <w:p w14:paraId="63FFEFDB"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10</w:t>
            </w:r>
          </w:p>
        </w:tc>
        <w:tc>
          <w:tcPr>
            <w:tcW w:w="3801" w:type="dxa"/>
            <w:tcBorders>
              <w:top w:val="single" w:sz="4" w:space="0" w:color="auto"/>
              <w:left w:val="nil"/>
              <w:bottom w:val="single" w:sz="4" w:space="0" w:color="auto"/>
              <w:right w:val="single" w:sz="4" w:space="0" w:color="auto"/>
            </w:tcBorders>
            <w:shd w:val="clear" w:color="auto" w:fill="auto"/>
            <w:vAlign w:val="center"/>
          </w:tcPr>
          <w:p w14:paraId="6CA184D7"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Calibri"/>
                <w:color w:val="000000"/>
              </w:rPr>
              <w:t>Total amount of net losses qualifying for exclusion (per supervisory approval)</w:t>
            </w:r>
          </w:p>
        </w:tc>
        <w:tc>
          <w:tcPr>
            <w:tcW w:w="3657" w:type="dxa"/>
            <w:tcBorders>
              <w:left w:val="single" w:sz="4" w:space="0" w:color="auto"/>
            </w:tcBorders>
            <w:shd w:val="clear" w:color="auto" w:fill="auto"/>
          </w:tcPr>
          <w:p w14:paraId="0B72159C"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These items are formula driven in the BA400 return</w:t>
            </w:r>
          </w:p>
        </w:tc>
      </w:tr>
      <w:tr w:rsidR="00B442EC" w:rsidRPr="00B442EC" w14:paraId="59751D29" w14:textId="77777777" w:rsidTr="0001430D">
        <w:trPr>
          <w:trHeight w:val="538"/>
        </w:trPr>
        <w:tc>
          <w:tcPr>
            <w:tcW w:w="844" w:type="dxa"/>
            <w:shd w:val="clear" w:color="auto" w:fill="auto"/>
          </w:tcPr>
          <w:p w14:paraId="31C95508"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39</w:t>
            </w:r>
          </w:p>
        </w:tc>
        <w:tc>
          <w:tcPr>
            <w:tcW w:w="1474" w:type="dxa"/>
            <w:shd w:val="clear" w:color="auto" w:fill="auto"/>
          </w:tcPr>
          <w:p w14:paraId="13CFE3B5"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10</w:t>
            </w:r>
          </w:p>
        </w:tc>
        <w:tc>
          <w:tcPr>
            <w:tcW w:w="3801" w:type="dxa"/>
            <w:tcBorders>
              <w:top w:val="single" w:sz="4" w:space="0" w:color="auto"/>
              <w:left w:val="nil"/>
              <w:bottom w:val="single" w:sz="4" w:space="0" w:color="auto"/>
              <w:right w:val="single" w:sz="4" w:space="0" w:color="auto"/>
            </w:tcBorders>
            <w:shd w:val="clear" w:color="auto" w:fill="auto"/>
            <w:vAlign w:val="center"/>
          </w:tcPr>
          <w:p w14:paraId="295F5B64"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Calibri"/>
                <w:color w:val="000000"/>
              </w:rPr>
              <w:t>Total net losses after exclusion of qualifying losses</w:t>
            </w:r>
          </w:p>
        </w:tc>
        <w:tc>
          <w:tcPr>
            <w:tcW w:w="3657" w:type="dxa"/>
            <w:tcBorders>
              <w:left w:val="single" w:sz="4" w:space="0" w:color="auto"/>
            </w:tcBorders>
            <w:shd w:val="clear" w:color="auto" w:fill="auto"/>
          </w:tcPr>
          <w:p w14:paraId="4A41CD7D"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These items are formula driven in the BA400 return</w:t>
            </w:r>
          </w:p>
        </w:tc>
      </w:tr>
    </w:tbl>
    <w:p w14:paraId="7CEC852F" w14:textId="77777777" w:rsidR="00B442EC" w:rsidRPr="00B442EC" w:rsidRDefault="00B442EC" w:rsidP="00B442EC">
      <w:pPr>
        <w:spacing w:after="120" w:line="264" w:lineRule="auto"/>
        <w:ind w:left="720"/>
        <w:contextualSpacing/>
        <w:jc w:val="both"/>
        <w:rPr>
          <w:rFonts w:ascii="Calibri" w:eastAsia="Times New Roman" w:hAnsi="Calibri" w:cs="Times New Roman"/>
          <w:b/>
          <w:bCs/>
        </w:rPr>
      </w:pPr>
    </w:p>
    <w:p w14:paraId="18BE4D5E" w14:textId="77777777" w:rsidR="00B442EC" w:rsidRPr="00B442EC" w:rsidRDefault="00B442EC" w:rsidP="00B442EC">
      <w:pPr>
        <w:spacing w:after="120" w:line="264" w:lineRule="auto"/>
        <w:contextualSpacing/>
        <w:jc w:val="both"/>
        <w:rPr>
          <w:rFonts w:ascii="Calibri" w:eastAsia="Times New Roman" w:hAnsi="Calibri" w:cs="Times New Roman"/>
          <w:b/>
          <w:bCs/>
          <w:sz w:val="24"/>
          <w:szCs w:val="24"/>
        </w:rPr>
      </w:pPr>
      <w:bookmarkStart w:id="2" w:name="_Hlk85020425"/>
    </w:p>
    <w:p w14:paraId="57AADB33" w14:textId="77777777" w:rsidR="00B442EC" w:rsidRPr="00B442EC" w:rsidRDefault="00B442EC" w:rsidP="00B442EC">
      <w:pPr>
        <w:spacing w:after="120" w:line="264" w:lineRule="auto"/>
        <w:contextualSpacing/>
        <w:jc w:val="both"/>
        <w:rPr>
          <w:rFonts w:ascii="Calibri" w:eastAsia="Times New Roman" w:hAnsi="Calibri" w:cs="Times New Roman"/>
          <w:b/>
          <w:bCs/>
          <w:sz w:val="24"/>
          <w:szCs w:val="24"/>
        </w:rPr>
      </w:pPr>
    </w:p>
    <w:p w14:paraId="50A81B61" w14:textId="77777777" w:rsidR="00B442EC" w:rsidRPr="00B442EC" w:rsidRDefault="00B442EC" w:rsidP="00B442EC">
      <w:pPr>
        <w:spacing w:after="120" w:line="264" w:lineRule="auto"/>
        <w:contextualSpacing/>
        <w:jc w:val="both"/>
        <w:rPr>
          <w:rFonts w:ascii="Calibri" w:eastAsia="Times New Roman" w:hAnsi="Calibri" w:cs="Times New Roman"/>
          <w:b/>
          <w:bCs/>
          <w:sz w:val="24"/>
          <w:szCs w:val="24"/>
        </w:rPr>
      </w:pPr>
      <w:r w:rsidRPr="00B442EC">
        <w:rPr>
          <w:rFonts w:ascii="Calibri" w:eastAsia="Times New Roman" w:hAnsi="Calibri" w:cs="Times New Roman"/>
          <w:b/>
          <w:bCs/>
          <w:sz w:val="24"/>
          <w:szCs w:val="24"/>
        </w:rPr>
        <w:t xml:space="preserve">Panel D: Standardized approach components </w:t>
      </w:r>
    </w:p>
    <w:p w14:paraId="5C2F28A3" w14:textId="77777777" w:rsidR="00B442EC" w:rsidRPr="00B442EC" w:rsidRDefault="00B442EC" w:rsidP="00B442EC">
      <w:pPr>
        <w:spacing w:after="120" w:line="264" w:lineRule="auto"/>
        <w:contextualSpacing/>
        <w:jc w:val="both"/>
        <w:rPr>
          <w:rFonts w:ascii="Calibri" w:eastAsia="Times New Roman" w:hAnsi="Calibri" w:cs="Times New Roman"/>
          <w:b/>
          <w:bCs/>
        </w:rPr>
      </w:pPr>
    </w:p>
    <w:p w14:paraId="1836CB3C" w14:textId="77777777" w:rsidR="00B442EC" w:rsidRPr="00B442EC" w:rsidRDefault="00B442EC" w:rsidP="00B442EC">
      <w:pPr>
        <w:numPr>
          <w:ilvl w:val="0"/>
          <w:numId w:val="1"/>
        </w:numPr>
        <w:spacing w:after="120" w:line="264" w:lineRule="auto"/>
        <w:contextualSpacing/>
        <w:jc w:val="both"/>
        <w:rPr>
          <w:rFonts w:ascii="Calibri" w:eastAsia="Times New Roman" w:hAnsi="Calibri" w:cs="Times New Roman"/>
        </w:rPr>
      </w:pPr>
      <w:r w:rsidRPr="00B442EC">
        <w:rPr>
          <w:rFonts w:ascii="Calibri" w:eastAsia="Times New Roman" w:hAnsi="Calibri" w:cs="Times New Roman"/>
        </w:rPr>
        <w:t>Panel D calculates the main components of the standardized approach and considers the treatment of losses per national discretion.</w:t>
      </w:r>
      <w:bookmarkEnd w:id="2"/>
    </w:p>
    <w:p w14:paraId="091F845B" w14:textId="77777777" w:rsidR="00B442EC" w:rsidRPr="00B442EC" w:rsidRDefault="00B442EC" w:rsidP="00B442EC">
      <w:pPr>
        <w:spacing w:after="120" w:line="264" w:lineRule="auto"/>
        <w:ind w:left="720"/>
        <w:contextualSpacing/>
        <w:jc w:val="both"/>
        <w:rPr>
          <w:rFonts w:ascii="Calibri" w:eastAsia="Times New Roman" w:hAnsi="Calibri" w:cs="Times New Roman"/>
        </w:rPr>
      </w:pPr>
    </w:p>
    <w:tbl>
      <w:tblPr>
        <w:tblStyle w:val="TableGrid1"/>
        <w:tblW w:w="9914" w:type="dxa"/>
        <w:tblLook w:val="04A0" w:firstRow="1" w:lastRow="0" w:firstColumn="1" w:lastColumn="0" w:noHBand="0" w:noVBand="1"/>
      </w:tblPr>
      <w:tblGrid>
        <w:gridCol w:w="1358"/>
        <w:gridCol w:w="1217"/>
        <w:gridCol w:w="3892"/>
        <w:gridCol w:w="3447"/>
      </w:tblGrid>
      <w:tr w:rsidR="00B442EC" w:rsidRPr="00B442EC" w14:paraId="468C58BC" w14:textId="77777777" w:rsidTr="0001430D">
        <w:trPr>
          <w:trHeight w:val="551"/>
          <w:tblHeader/>
        </w:trPr>
        <w:tc>
          <w:tcPr>
            <w:tcW w:w="1358" w:type="dxa"/>
            <w:shd w:val="clear" w:color="auto" w:fill="auto"/>
          </w:tcPr>
          <w:p w14:paraId="19255C72"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b/>
                <w:bCs/>
              </w:rPr>
              <w:t>Row No</w:t>
            </w:r>
          </w:p>
        </w:tc>
        <w:tc>
          <w:tcPr>
            <w:tcW w:w="1217" w:type="dxa"/>
            <w:shd w:val="clear" w:color="auto" w:fill="auto"/>
          </w:tcPr>
          <w:p w14:paraId="49583C88"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b/>
                <w:bCs/>
              </w:rPr>
              <w:t>Column No</w:t>
            </w:r>
          </w:p>
        </w:tc>
        <w:tc>
          <w:tcPr>
            <w:tcW w:w="3892" w:type="dxa"/>
            <w:shd w:val="clear" w:color="auto" w:fill="auto"/>
          </w:tcPr>
          <w:p w14:paraId="5917134F"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b/>
                <w:bCs/>
              </w:rPr>
              <w:t>Heading</w:t>
            </w:r>
          </w:p>
        </w:tc>
        <w:tc>
          <w:tcPr>
            <w:tcW w:w="3447" w:type="dxa"/>
            <w:shd w:val="clear" w:color="auto" w:fill="auto"/>
          </w:tcPr>
          <w:p w14:paraId="654C98BC"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b/>
                <w:bCs/>
              </w:rPr>
              <w:t>Description</w:t>
            </w:r>
            <w:r w:rsidRPr="00B442EC">
              <w:rPr>
                <w:rFonts w:ascii="Calibri" w:hAnsi="Calibri" w:cs="Times New Roman"/>
                <w:b/>
                <w:bCs/>
                <w:color w:val="FF0000"/>
              </w:rPr>
              <w:t xml:space="preserve"> </w:t>
            </w:r>
          </w:p>
        </w:tc>
      </w:tr>
      <w:tr w:rsidR="00B442EC" w:rsidRPr="00B442EC" w14:paraId="2F6BF732" w14:textId="77777777" w:rsidTr="0001430D">
        <w:trPr>
          <w:trHeight w:val="538"/>
        </w:trPr>
        <w:tc>
          <w:tcPr>
            <w:tcW w:w="1358" w:type="dxa"/>
            <w:shd w:val="clear" w:color="auto" w:fill="auto"/>
          </w:tcPr>
          <w:p w14:paraId="1135087B"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40</w:t>
            </w:r>
          </w:p>
        </w:tc>
        <w:tc>
          <w:tcPr>
            <w:tcW w:w="1217" w:type="dxa"/>
            <w:shd w:val="clear" w:color="auto" w:fill="auto"/>
          </w:tcPr>
          <w:p w14:paraId="3A93048A"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10</w:t>
            </w:r>
          </w:p>
        </w:tc>
        <w:tc>
          <w:tcPr>
            <w:tcW w:w="3892" w:type="dxa"/>
            <w:tcBorders>
              <w:top w:val="single" w:sz="4" w:space="0" w:color="auto"/>
              <w:left w:val="nil"/>
              <w:bottom w:val="single" w:sz="4" w:space="0" w:color="auto"/>
              <w:right w:val="single" w:sz="4" w:space="0" w:color="auto"/>
            </w:tcBorders>
            <w:shd w:val="clear" w:color="auto" w:fill="auto"/>
            <w:vAlign w:val="center"/>
          </w:tcPr>
          <w:p w14:paraId="35220244"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Calibri"/>
              </w:rPr>
              <w:t>Interest, leases, and dividend component (ILDC)</w:t>
            </w:r>
          </w:p>
        </w:tc>
        <w:tc>
          <w:tcPr>
            <w:tcW w:w="3447" w:type="dxa"/>
            <w:shd w:val="clear" w:color="auto" w:fill="auto"/>
          </w:tcPr>
          <w:p w14:paraId="74BDC643"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These items are formula driven in the BA400 return</w:t>
            </w:r>
          </w:p>
        </w:tc>
      </w:tr>
      <w:tr w:rsidR="00B442EC" w:rsidRPr="00B442EC" w14:paraId="37C144BE" w14:textId="77777777" w:rsidTr="0001430D">
        <w:trPr>
          <w:trHeight w:val="538"/>
        </w:trPr>
        <w:tc>
          <w:tcPr>
            <w:tcW w:w="1358" w:type="dxa"/>
            <w:shd w:val="clear" w:color="auto" w:fill="auto"/>
          </w:tcPr>
          <w:p w14:paraId="5BF70092"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41</w:t>
            </w:r>
          </w:p>
        </w:tc>
        <w:tc>
          <w:tcPr>
            <w:tcW w:w="1217" w:type="dxa"/>
            <w:shd w:val="clear" w:color="auto" w:fill="auto"/>
          </w:tcPr>
          <w:p w14:paraId="2DDDBEDA"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10</w:t>
            </w:r>
          </w:p>
        </w:tc>
        <w:tc>
          <w:tcPr>
            <w:tcW w:w="3892" w:type="dxa"/>
            <w:tcBorders>
              <w:top w:val="nil"/>
              <w:left w:val="nil"/>
              <w:bottom w:val="single" w:sz="4" w:space="0" w:color="auto"/>
              <w:right w:val="single" w:sz="4" w:space="0" w:color="auto"/>
            </w:tcBorders>
            <w:shd w:val="clear" w:color="auto" w:fill="auto"/>
            <w:vAlign w:val="center"/>
          </w:tcPr>
          <w:p w14:paraId="2EEF748F"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Calibri"/>
              </w:rPr>
              <w:t>Services component (SC)</w:t>
            </w:r>
          </w:p>
        </w:tc>
        <w:tc>
          <w:tcPr>
            <w:tcW w:w="3447" w:type="dxa"/>
            <w:shd w:val="clear" w:color="auto" w:fill="auto"/>
          </w:tcPr>
          <w:p w14:paraId="335750BD"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These items are formula driven in the BA400 return</w:t>
            </w:r>
          </w:p>
        </w:tc>
      </w:tr>
      <w:tr w:rsidR="00B442EC" w:rsidRPr="00B442EC" w14:paraId="1E9FB737" w14:textId="77777777" w:rsidTr="0001430D">
        <w:trPr>
          <w:trHeight w:val="538"/>
        </w:trPr>
        <w:tc>
          <w:tcPr>
            <w:tcW w:w="1358" w:type="dxa"/>
            <w:shd w:val="clear" w:color="auto" w:fill="auto"/>
          </w:tcPr>
          <w:p w14:paraId="0C76FDF3"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42</w:t>
            </w:r>
          </w:p>
        </w:tc>
        <w:tc>
          <w:tcPr>
            <w:tcW w:w="1217" w:type="dxa"/>
            <w:shd w:val="clear" w:color="auto" w:fill="auto"/>
          </w:tcPr>
          <w:p w14:paraId="4BF90D59"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10</w:t>
            </w:r>
          </w:p>
        </w:tc>
        <w:tc>
          <w:tcPr>
            <w:tcW w:w="3892" w:type="dxa"/>
            <w:tcBorders>
              <w:top w:val="nil"/>
              <w:left w:val="nil"/>
              <w:bottom w:val="single" w:sz="4" w:space="0" w:color="auto"/>
              <w:right w:val="single" w:sz="4" w:space="0" w:color="auto"/>
            </w:tcBorders>
            <w:shd w:val="clear" w:color="auto" w:fill="auto"/>
            <w:vAlign w:val="center"/>
          </w:tcPr>
          <w:p w14:paraId="2C81E068"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Calibri"/>
              </w:rPr>
              <w:t>Financial Component (FC)</w:t>
            </w:r>
          </w:p>
        </w:tc>
        <w:tc>
          <w:tcPr>
            <w:tcW w:w="3447" w:type="dxa"/>
            <w:shd w:val="clear" w:color="auto" w:fill="auto"/>
          </w:tcPr>
          <w:p w14:paraId="0D8ABDCA"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These items are formula driven in the BA400 return</w:t>
            </w:r>
          </w:p>
        </w:tc>
      </w:tr>
      <w:tr w:rsidR="00B442EC" w:rsidRPr="00B442EC" w14:paraId="47EFADCB" w14:textId="77777777" w:rsidTr="0001430D">
        <w:trPr>
          <w:trHeight w:val="538"/>
        </w:trPr>
        <w:tc>
          <w:tcPr>
            <w:tcW w:w="1358" w:type="dxa"/>
            <w:shd w:val="clear" w:color="auto" w:fill="auto"/>
          </w:tcPr>
          <w:p w14:paraId="704481BC"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43</w:t>
            </w:r>
          </w:p>
        </w:tc>
        <w:tc>
          <w:tcPr>
            <w:tcW w:w="1217" w:type="dxa"/>
            <w:shd w:val="clear" w:color="auto" w:fill="auto"/>
          </w:tcPr>
          <w:p w14:paraId="0F31F173"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10</w:t>
            </w:r>
          </w:p>
        </w:tc>
        <w:tc>
          <w:tcPr>
            <w:tcW w:w="3892" w:type="dxa"/>
            <w:tcBorders>
              <w:top w:val="nil"/>
              <w:left w:val="nil"/>
              <w:bottom w:val="single" w:sz="4" w:space="0" w:color="auto"/>
              <w:right w:val="single" w:sz="4" w:space="0" w:color="auto"/>
            </w:tcBorders>
            <w:shd w:val="clear" w:color="auto" w:fill="auto"/>
            <w:vAlign w:val="center"/>
          </w:tcPr>
          <w:p w14:paraId="0A088ED7"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Calibri"/>
              </w:rPr>
              <w:t>Business Indicator (BI)</w:t>
            </w:r>
          </w:p>
        </w:tc>
        <w:tc>
          <w:tcPr>
            <w:tcW w:w="3447" w:type="dxa"/>
            <w:tcBorders>
              <w:bottom w:val="single" w:sz="4" w:space="0" w:color="auto"/>
            </w:tcBorders>
            <w:shd w:val="clear" w:color="auto" w:fill="auto"/>
          </w:tcPr>
          <w:p w14:paraId="055C7B37"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These items are formula driven in the BA400 return</w:t>
            </w:r>
          </w:p>
        </w:tc>
      </w:tr>
      <w:tr w:rsidR="00B442EC" w:rsidRPr="00B442EC" w14:paraId="0BA9F2BF" w14:textId="77777777" w:rsidTr="0001430D">
        <w:trPr>
          <w:trHeight w:val="538"/>
        </w:trPr>
        <w:tc>
          <w:tcPr>
            <w:tcW w:w="1358" w:type="dxa"/>
            <w:shd w:val="clear" w:color="auto" w:fill="auto"/>
          </w:tcPr>
          <w:p w14:paraId="50EB2328"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44</w:t>
            </w:r>
          </w:p>
        </w:tc>
        <w:tc>
          <w:tcPr>
            <w:tcW w:w="1217" w:type="dxa"/>
            <w:shd w:val="clear" w:color="auto" w:fill="auto"/>
          </w:tcPr>
          <w:p w14:paraId="67B08A46"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10</w:t>
            </w:r>
          </w:p>
        </w:tc>
        <w:tc>
          <w:tcPr>
            <w:tcW w:w="3892" w:type="dxa"/>
            <w:tcBorders>
              <w:top w:val="nil"/>
              <w:left w:val="nil"/>
              <w:bottom w:val="single" w:sz="4" w:space="0" w:color="auto"/>
              <w:right w:val="single" w:sz="4" w:space="0" w:color="auto"/>
            </w:tcBorders>
            <w:shd w:val="clear" w:color="auto" w:fill="auto"/>
            <w:vAlign w:val="center"/>
          </w:tcPr>
          <w:p w14:paraId="7AB589F9"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Calibri"/>
                <w:color w:val="000000"/>
              </w:rPr>
              <w:t>Bucket</w:t>
            </w:r>
          </w:p>
        </w:tc>
        <w:tc>
          <w:tcPr>
            <w:tcW w:w="3447" w:type="dxa"/>
            <w:tcBorders>
              <w:left w:val="single" w:sz="4" w:space="0" w:color="auto"/>
            </w:tcBorders>
            <w:shd w:val="clear" w:color="auto" w:fill="auto"/>
          </w:tcPr>
          <w:p w14:paraId="217B20E7"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These items are formula driven in the BA400 return</w:t>
            </w:r>
          </w:p>
        </w:tc>
      </w:tr>
      <w:tr w:rsidR="00B442EC" w:rsidRPr="00B442EC" w14:paraId="45CD4FD3" w14:textId="77777777" w:rsidTr="0001430D">
        <w:trPr>
          <w:trHeight w:val="538"/>
        </w:trPr>
        <w:tc>
          <w:tcPr>
            <w:tcW w:w="1358" w:type="dxa"/>
            <w:shd w:val="clear" w:color="auto" w:fill="auto"/>
          </w:tcPr>
          <w:p w14:paraId="11D23F0A"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lastRenderedPageBreak/>
              <w:t>45</w:t>
            </w:r>
          </w:p>
        </w:tc>
        <w:tc>
          <w:tcPr>
            <w:tcW w:w="1217" w:type="dxa"/>
            <w:shd w:val="clear" w:color="auto" w:fill="auto"/>
          </w:tcPr>
          <w:p w14:paraId="49C91835"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10</w:t>
            </w:r>
          </w:p>
        </w:tc>
        <w:tc>
          <w:tcPr>
            <w:tcW w:w="3892" w:type="dxa"/>
            <w:tcBorders>
              <w:top w:val="nil"/>
              <w:left w:val="nil"/>
              <w:bottom w:val="single" w:sz="4" w:space="0" w:color="auto"/>
              <w:right w:val="single" w:sz="4" w:space="0" w:color="auto"/>
            </w:tcBorders>
            <w:shd w:val="clear" w:color="auto" w:fill="auto"/>
            <w:vAlign w:val="center"/>
          </w:tcPr>
          <w:p w14:paraId="42B27E39"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Calibri"/>
              </w:rPr>
              <w:t>BI Component (BIC)</w:t>
            </w:r>
          </w:p>
        </w:tc>
        <w:tc>
          <w:tcPr>
            <w:tcW w:w="3447" w:type="dxa"/>
            <w:tcBorders>
              <w:left w:val="single" w:sz="4" w:space="0" w:color="auto"/>
            </w:tcBorders>
            <w:shd w:val="clear" w:color="auto" w:fill="auto"/>
          </w:tcPr>
          <w:p w14:paraId="54A129CC"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These items are formula driven in the BA400 return</w:t>
            </w:r>
          </w:p>
        </w:tc>
      </w:tr>
      <w:tr w:rsidR="00B442EC" w:rsidRPr="00B442EC" w14:paraId="1A9B4228" w14:textId="77777777" w:rsidTr="0001430D">
        <w:trPr>
          <w:trHeight w:val="538"/>
        </w:trPr>
        <w:tc>
          <w:tcPr>
            <w:tcW w:w="1358" w:type="dxa"/>
            <w:shd w:val="clear" w:color="auto" w:fill="auto"/>
          </w:tcPr>
          <w:p w14:paraId="707C2DE3"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46</w:t>
            </w:r>
          </w:p>
        </w:tc>
        <w:tc>
          <w:tcPr>
            <w:tcW w:w="1217" w:type="dxa"/>
            <w:shd w:val="clear" w:color="auto" w:fill="auto"/>
          </w:tcPr>
          <w:p w14:paraId="66F94E4E"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10</w:t>
            </w:r>
          </w:p>
        </w:tc>
        <w:tc>
          <w:tcPr>
            <w:tcW w:w="3892" w:type="dxa"/>
            <w:tcBorders>
              <w:top w:val="nil"/>
              <w:left w:val="nil"/>
              <w:bottom w:val="single" w:sz="4" w:space="0" w:color="auto"/>
              <w:right w:val="single" w:sz="4" w:space="0" w:color="auto"/>
            </w:tcBorders>
            <w:shd w:val="clear" w:color="auto" w:fill="auto"/>
            <w:vAlign w:val="center"/>
          </w:tcPr>
          <w:p w14:paraId="053DF575"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Calibri"/>
              </w:rPr>
              <w:t>BI gross of excluded divested activities (per supervisory approval)</w:t>
            </w:r>
          </w:p>
        </w:tc>
        <w:tc>
          <w:tcPr>
            <w:tcW w:w="3447" w:type="dxa"/>
            <w:tcBorders>
              <w:left w:val="single" w:sz="4" w:space="0" w:color="auto"/>
            </w:tcBorders>
            <w:shd w:val="clear" w:color="auto" w:fill="auto"/>
          </w:tcPr>
          <w:p w14:paraId="34FE4B4B"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It Is proposed that banks apply to the PA for approval to exclude divested activities from the BI. In addition, banks should report the revised OR RWAs in the first update of total RWAs post-exclusion in line with the next submission of the return.</w:t>
            </w:r>
          </w:p>
        </w:tc>
      </w:tr>
      <w:tr w:rsidR="00B442EC" w:rsidRPr="00B442EC" w14:paraId="711B09FF" w14:textId="77777777" w:rsidTr="0001430D">
        <w:trPr>
          <w:trHeight w:val="538"/>
        </w:trPr>
        <w:tc>
          <w:tcPr>
            <w:tcW w:w="1358" w:type="dxa"/>
            <w:shd w:val="clear" w:color="auto" w:fill="auto"/>
          </w:tcPr>
          <w:p w14:paraId="5145BE10"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47</w:t>
            </w:r>
          </w:p>
        </w:tc>
        <w:tc>
          <w:tcPr>
            <w:tcW w:w="1217" w:type="dxa"/>
            <w:shd w:val="clear" w:color="auto" w:fill="auto"/>
          </w:tcPr>
          <w:p w14:paraId="7B995B3A"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10</w:t>
            </w:r>
          </w:p>
        </w:tc>
        <w:tc>
          <w:tcPr>
            <w:tcW w:w="3892" w:type="dxa"/>
            <w:tcBorders>
              <w:top w:val="nil"/>
              <w:left w:val="nil"/>
              <w:bottom w:val="single" w:sz="4" w:space="0" w:color="auto"/>
              <w:right w:val="single" w:sz="4" w:space="0" w:color="auto"/>
            </w:tcBorders>
            <w:shd w:val="clear" w:color="auto" w:fill="auto"/>
            <w:vAlign w:val="center"/>
          </w:tcPr>
          <w:p w14:paraId="454DC418" w14:textId="77777777" w:rsidR="00B442EC" w:rsidRPr="00B442EC" w:rsidRDefault="00B442EC" w:rsidP="00B442EC">
            <w:pPr>
              <w:spacing w:after="120" w:line="264" w:lineRule="auto"/>
              <w:contextualSpacing/>
              <w:jc w:val="both"/>
              <w:rPr>
                <w:rFonts w:ascii="Calibri" w:hAnsi="Calibri" w:cs="Calibri"/>
                <w:color w:val="000000"/>
              </w:rPr>
            </w:pPr>
            <w:r w:rsidRPr="00B442EC">
              <w:rPr>
                <w:rFonts w:ascii="Calibri" w:hAnsi="Calibri" w:cs="Calibri"/>
              </w:rPr>
              <w:t>Reduction in BI due to excluded divested activities</w:t>
            </w:r>
          </w:p>
        </w:tc>
        <w:tc>
          <w:tcPr>
            <w:tcW w:w="3447" w:type="dxa"/>
            <w:tcBorders>
              <w:left w:val="single" w:sz="4" w:space="0" w:color="auto"/>
            </w:tcBorders>
            <w:shd w:val="clear" w:color="auto" w:fill="auto"/>
          </w:tcPr>
          <w:p w14:paraId="5368A8A8"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These items are formula driven in the BA400 return</w:t>
            </w:r>
          </w:p>
        </w:tc>
      </w:tr>
      <w:tr w:rsidR="00B442EC" w:rsidRPr="00B442EC" w14:paraId="4E3BD0BD" w14:textId="77777777" w:rsidTr="0001430D">
        <w:trPr>
          <w:trHeight w:val="538"/>
        </w:trPr>
        <w:tc>
          <w:tcPr>
            <w:tcW w:w="1358" w:type="dxa"/>
            <w:shd w:val="clear" w:color="auto" w:fill="auto"/>
          </w:tcPr>
          <w:p w14:paraId="355B7B17"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48</w:t>
            </w:r>
          </w:p>
        </w:tc>
        <w:tc>
          <w:tcPr>
            <w:tcW w:w="1217" w:type="dxa"/>
            <w:shd w:val="clear" w:color="auto" w:fill="auto"/>
          </w:tcPr>
          <w:p w14:paraId="118DFA26"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10</w:t>
            </w:r>
          </w:p>
        </w:tc>
        <w:tc>
          <w:tcPr>
            <w:tcW w:w="3892" w:type="dxa"/>
            <w:tcBorders>
              <w:top w:val="nil"/>
              <w:left w:val="nil"/>
              <w:bottom w:val="single" w:sz="4" w:space="0" w:color="auto"/>
              <w:right w:val="single" w:sz="4" w:space="0" w:color="auto"/>
            </w:tcBorders>
            <w:shd w:val="clear" w:color="auto" w:fill="auto"/>
            <w:vAlign w:val="center"/>
          </w:tcPr>
          <w:p w14:paraId="0EC240A6" w14:textId="77777777" w:rsidR="00B442EC" w:rsidRPr="00B442EC" w:rsidRDefault="00B442EC" w:rsidP="00B442EC">
            <w:pPr>
              <w:spacing w:after="120" w:line="264" w:lineRule="auto"/>
              <w:contextualSpacing/>
              <w:jc w:val="both"/>
              <w:rPr>
                <w:rFonts w:ascii="Calibri" w:hAnsi="Calibri" w:cs="Calibri"/>
                <w:color w:val="000000"/>
              </w:rPr>
            </w:pPr>
            <w:r w:rsidRPr="00B442EC">
              <w:rPr>
                <w:rFonts w:ascii="Calibri" w:hAnsi="Calibri" w:cs="Calibri"/>
              </w:rPr>
              <w:t>Loss Component (LC)</w:t>
            </w:r>
          </w:p>
        </w:tc>
        <w:tc>
          <w:tcPr>
            <w:tcW w:w="3447" w:type="dxa"/>
            <w:tcBorders>
              <w:left w:val="single" w:sz="4" w:space="0" w:color="auto"/>
            </w:tcBorders>
            <w:shd w:val="clear" w:color="auto" w:fill="auto"/>
          </w:tcPr>
          <w:p w14:paraId="4D36E6A9"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These items are formula driven in the BA400 return</w:t>
            </w:r>
          </w:p>
        </w:tc>
      </w:tr>
      <w:tr w:rsidR="00B442EC" w:rsidRPr="00B442EC" w14:paraId="51955DB3" w14:textId="77777777" w:rsidTr="0001430D">
        <w:trPr>
          <w:trHeight w:val="538"/>
        </w:trPr>
        <w:tc>
          <w:tcPr>
            <w:tcW w:w="1358" w:type="dxa"/>
            <w:shd w:val="clear" w:color="auto" w:fill="auto"/>
          </w:tcPr>
          <w:p w14:paraId="67C3B95A"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49</w:t>
            </w:r>
          </w:p>
        </w:tc>
        <w:tc>
          <w:tcPr>
            <w:tcW w:w="1217" w:type="dxa"/>
            <w:shd w:val="clear" w:color="auto" w:fill="auto"/>
          </w:tcPr>
          <w:p w14:paraId="5AAA919A"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10</w:t>
            </w:r>
          </w:p>
        </w:tc>
        <w:tc>
          <w:tcPr>
            <w:tcW w:w="3892" w:type="dxa"/>
            <w:tcBorders>
              <w:top w:val="nil"/>
              <w:left w:val="nil"/>
              <w:bottom w:val="single" w:sz="4" w:space="0" w:color="auto"/>
              <w:right w:val="single" w:sz="4" w:space="0" w:color="auto"/>
            </w:tcBorders>
            <w:shd w:val="clear" w:color="auto" w:fill="auto"/>
            <w:vAlign w:val="center"/>
          </w:tcPr>
          <w:p w14:paraId="5CA0ADF7" w14:textId="77777777" w:rsidR="00B442EC" w:rsidRPr="00B442EC" w:rsidRDefault="00B442EC" w:rsidP="00B442EC">
            <w:pPr>
              <w:spacing w:after="120" w:line="264" w:lineRule="auto"/>
              <w:contextualSpacing/>
              <w:jc w:val="both"/>
              <w:rPr>
                <w:rFonts w:ascii="Calibri" w:hAnsi="Calibri" w:cs="Calibri"/>
                <w:color w:val="000000"/>
              </w:rPr>
            </w:pPr>
            <w:r w:rsidRPr="00B442EC">
              <w:rPr>
                <w:rFonts w:ascii="Calibri" w:hAnsi="Calibri" w:cs="Calibri"/>
              </w:rPr>
              <w:t>Internal Loss Multiplier (ILM)</w:t>
            </w:r>
          </w:p>
        </w:tc>
        <w:tc>
          <w:tcPr>
            <w:tcW w:w="3447" w:type="dxa"/>
            <w:tcBorders>
              <w:left w:val="single" w:sz="4" w:space="0" w:color="auto"/>
            </w:tcBorders>
            <w:shd w:val="clear" w:color="auto" w:fill="auto"/>
          </w:tcPr>
          <w:p w14:paraId="1B3EC196"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These items are formula driven in the BA400 return</w:t>
            </w:r>
          </w:p>
        </w:tc>
      </w:tr>
    </w:tbl>
    <w:p w14:paraId="6A387D6F" w14:textId="77777777" w:rsidR="00B442EC" w:rsidRPr="00B442EC" w:rsidRDefault="00B442EC" w:rsidP="00B442EC">
      <w:pPr>
        <w:spacing w:after="120" w:line="264" w:lineRule="auto"/>
        <w:contextualSpacing/>
        <w:jc w:val="both"/>
        <w:rPr>
          <w:rFonts w:ascii="Calibri" w:eastAsia="Times New Roman" w:hAnsi="Calibri" w:cs="Times New Roman"/>
          <w:b/>
          <w:bCs/>
          <w:color w:val="FF0000"/>
        </w:rPr>
      </w:pPr>
    </w:p>
    <w:p w14:paraId="1430EA43" w14:textId="77777777" w:rsidR="00B442EC" w:rsidRPr="00B442EC" w:rsidRDefault="00B442EC" w:rsidP="00B442EC">
      <w:pPr>
        <w:spacing w:after="120" w:line="264" w:lineRule="auto"/>
        <w:contextualSpacing/>
        <w:jc w:val="both"/>
        <w:rPr>
          <w:rFonts w:ascii="Calibri" w:eastAsia="Times New Roman" w:hAnsi="Calibri" w:cs="Times New Roman"/>
          <w:b/>
          <w:bCs/>
        </w:rPr>
      </w:pPr>
    </w:p>
    <w:p w14:paraId="3397C523" w14:textId="77777777" w:rsidR="00B442EC" w:rsidRPr="00B442EC" w:rsidRDefault="00B442EC" w:rsidP="00B442EC">
      <w:pPr>
        <w:spacing w:after="120" w:line="264" w:lineRule="auto"/>
        <w:jc w:val="both"/>
        <w:rPr>
          <w:rFonts w:ascii="Calibri" w:eastAsia="Times New Roman" w:hAnsi="Calibri" w:cs="Times New Roman"/>
          <w:b/>
          <w:bCs/>
          <w:sz w:val="24"/>
          <w:szCs w:val="24"/>
        </w:rPr>
      </w:pPr>
      <w:r w:rsidRPr="00B442EC">
        <w:rPr>
          <w:rFonts w:ascii="Calibri" w:eastAsia="Times New Roman" w:hAnsi="Calibri" w:cs="Times New Roman"/>
          <w:b/>
          <w:bCs/>
          <w:sz w:val="24"/>
          <w:szCs w:val="24"/>
        </w:rPr>
        <w:t xml:space="preserve">Panel E: Operational risk capital </w:t>
      </w:r>
    </w:p>
    <w:p w14:paraId="60729D6A" w14:textId="77777777" w:rsidR="00B442EC" w:rsidRPr="00B442EC" w:rsidRDefault="00B442EC" w:rsidP="00B442EC">
      <w:pPr>
        <w:spacing w:after="120" w:line="264" w:lineRule="auto"/>
        <w:contextualSpacing/>
        <w:jc w:val="both"/>
        <w:rPr>
          <w:rFonts w:ascii="Calibri" w:eastAsia="Times New Roman" w:hAnsi="Calibri" w:cs="Times New Roman"/>
          <w:b/>
          <w:bCs/>
        </w:rPr>
      </w:pPr>
    </w:p>
    <w:p w14:paraId="280DD336" w14:textId="77777777" w:rsidR="00B442EC" w:rsidRPr="00B442EC" w:rsidRDefault="00B442EC" w:rsidP="00B442EC">
      <w:pPr>
        <w:numPr>
          <w:ilvl w:val="0"/>
          <w:numId w:val="1"/>
        </w:numPr>
        <w:spacing w:after="120" w:line="264" w:lineRule="auto"/>
        <w:contextualSpacing/>
        <w:jc w:val="both"/>
        <w:rPr>
          <w:rFonts w:ascii="Calibri" w:eastAsia="Times New Roman" w:hAnsi="Calibri" w:cs="Times New Roman"/>
        </w:rPr>
      </w:pPr>
      <w:r w:rsidRPr="00B442EC">
        <w:rPr>
          <w:rFonts w:ascii="Calibri" w:eastAsia="Times New Roman" w:hAnsi="Calibri" w:cs="Times New Roman"/>
        </w:rPr>
        <w:t>Panel E collects information on operational risk-weighted assets and capital calculated using ILM equals to 1 and actual ILM (e.g., if the bank has been permitted to use ILM), line no 43 to 46 will be calculated. In a case where a bank is not permitted to use the ILM, then line 43 and line 45 must be set to zero).</w:t>
      </w:r>
    </w:p>
    <w:p w14:paraId="356C8114" w14:textId="77777777" w:rsidR="00B442EC" w:rsidRPr="00B442EC" w:rsidRDefault="00B442EC" w:rsidP="00B442EC">
      <w:pPr>
        <w:spacing w:after="120" w:line="264" w:lineRule="auto"/>
        <w:contextualSpacing/>
        <w:jc w:val="both"/>
        <w:rPr>
          <w:rFonts w:ascii="Calibri" w:eastAsia="Times New Roman" w:hAnsi="Calibri" w:cs="Times New Roman"/>
          <w:b/>
          <w:bCs/>
        </w:rPr>
      </w:pPr>
    </w:p>
    <w:tbl>
      <w:tblPr>
        <w:tblStyle w:val="TableGrid1"/>
        <w:tblW w:w="9914" w:type="dxa"/>
        <w:tblLook w:val="04A0" w:firstRow="1" w:lastRow="0" w:firstColumn="1" w:lastColumn="0" w:noHBand="0" w:noVBand="1"/>
      </w:tblPr>
      <w:tblGrid>
        <w:gridCol w:w="1358"/>
        <w:gridCol w:w="1217"/>
        <w:gridCol w:w="3892"/>
        <w:gridCol w:w="3447"/>
      </w:tblGrid>
      <w:tr w:rsidR="00B442EC" w:rsidRPr="00B442EC" w14:paraId="2ABF7A83" w14:textId="77777777" w:rsidTr="0001430D">
        <w:trPr>
          <w:trHeight w:val="396"/>
        </w:trPr>
        <w:tc>
          <w:tcPr>
            <w:tcW w:w="1358" w:type="dxa"/>
            <w:shd w:val="clear" w:color="auto" w:fill="auto"/>
          </w:tcPr>
          <w:p w14:paraId="1EA0BA87"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b/>
                <w:bCs/>
              </w:rPr>
              <w:t>Row No</w:t>
            </w:r>
          </w:p>
        </w:tc>
        <w:tc>
          <w:tcPr>
            <w:tcW w:w="1217" w:type="dxa"/>
            <w:shd w:val="clear" w:color="auto" w:fill="auto"/>
          </w:tcPr>
          <w:p w14:paraId="172093DA"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b/>
                <w:bCs/>
              </w:rPr>
              <w:t>Column No</w:t>
            </w:r>
          </w:p>
        </w:tc>
        <w:tc>
          <w:tcPr>
            <w:tcW w:w="3892" w:type="dxa"/>
            <w:shd w:val="clear" w:color="auto" w:fill="auto"/>
          </w:tcPr>
          <w:p w14:paraId="57D4DE9F"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b/>
                <w:bCs/>
              </w:rPr>
              <w:t>Heading</w:t>
            </w:r>
          </w:p>
        </w:tc>
        <w:tc>
          <w:tcPr>
            <w:tcW w:w="3447" w:type="dxa"/>
            <w:shd w:val="clear" w:color="auto" w:fill="auto"/>
          </w:tcPr>
          <w:p w14:paraId="1C6D5E18"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b/>
                <w:bCs/>
              </w:rPr>
              <w:t>Description</w:t>
            </w:r>
          </w:p>
        </w:tc>
      </w:tr>
      <w:tr w:rsidR="00B442EC" w:rsidRPr="00B442EC" w14:paraId="3CC867E9" w14:textId="77777777" w:rsidTr="0001430D">
        <w:trPr>
          <w:trHeight w:val="538"/>
        </w:trPr>
        <w:tc>
          <w:tcPr>
            <w:tcW w:w="1358" w:type="dxa"/>
            <w:shd w:val="clear" w:color="auto" w:fill="auto"/>
          </w:tcPr>
          <w:p w14:paraId="0ECBCB7C"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50</w:t>
            </w:r>
          </w:p>
        </w:tc>
        <w:tc>
          <w:tcPr>
            <w:tcW w:w="1217" w:type="dxa"/>
            <w:shd w:val="clear" w:color="auto" w:fill="auto"/>
          </w:tcPr>
          <w:p w14:paraId="3B4A09FF"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10</w:t>
            </w:r>
          </w:p>
        </w:tc>
        <w:tc>
          <w:tcPr>
            <w:tcW w:w="3892" w:type="dxa"/>
            <w:tcBorders>
              <w:top w:val="single" w:sz="4" w:space="0" w:color="auto"/>
              <w:left w:val="nil"/>
              <w:bottom w:val="single" w:sz="4" w:space="0" w:color="auto"/>
              <w:right w:val="single" w:sz="4" w:space="0" w:color="auto"/>
            </w:tcBorders>
            <w:shd w:val="clear" w:color="auto" w:fill="auto"/>
            <w:vAlign w:val="center"/>
          </w:tcPr>
          <w:p w14:paraId="226E4D16" w14:textId="77777777" w:rsidR="00B442EC" w:rsidRPr="00B442EC" w:rsidRDefault="00B442EC" w:rsidP="00B442EC">
            <w:pPr>
              <w:spacing w:after="120" w:line="264" w:lineRule="auto"/>
              <w:contextualSpacing/>
              <w:rPr>
                <w:rFonts w:ascii="Calibri" w:hAnsi="Calibri" w:cs="Times New Roman"/>
              </w:rPr>
            </w:pPr>
            <w:r w:rsidRPr="00B442EC">
              <w:rPr>
                <w:rFonts w:ascii="Calibri" w:hAnsi="Calibri" w:cs="Calibri"/>
                <w:color w:val="000000"/>
              </w:rPr>
              <w:t>Operational Risk Capital</w:t>
            </w:r>
          </w:p>
        </w:tc>
        <w:tc>
          <w:tcPr>
            <w:tcW w:w="3447" w:type="dxa"/>
            <w:shd w:val="clear" w:color="auto" w:fill="auto"/>
          </w:tcPr>
          <w:p w14:paraId="7C900979"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These items are formula driven in the BA400 return</w:t>
            </w:r>
          </w:p>
        </w:tc>
      </w:tr>
      <w:tr w:rsidR="00B442EC" w:rsidRPr="00B442EC" w14:paraId="30230665" w14:textId="77777777" w:rsidTr="0001430D">
        <w:trPr>
          <w:trHeight w:val="538"/>
        </w:trPr>
        <w:tc>
          <w:tcPr>
            <w:tcW w:w="1358" w:type="dxa"/>
            <w:shd w:val="clear" w:color="auto" w:fill="auto"/>
          </w:tcPr>
          <w:p w14:paraId="6F472058"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51</w:t>
            </w:r>
          </w:p>
        </w:tc>
        <w:tc>
          <w:tcPr>
            <w:tcW w:w="1217" w:type="dxa"/>
            <w:shd w:val="clear" w:color="auto" w:fill="auto"/>
          </w:tcPr>
          <w:p w14:paraId="16B0D3D8"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10</w:t>
            </w:r>
          </w:p>
        </w:tc>
        <w:tc>
          <w:tcPr>
            <w:tcW w:w="3892" w:type="dxa"/>
            <w:tcBorders>
              <w:top w:val="nil"/>
              <w:left w:val="nil"/>
              <w:bottom w:val="single" w:sz="4" w:space="0" w:color="auto"/>
              <w:right w:val="single" w:sz="4" w:space="0" w:color="auto"/>
            </w:tcBorders>
            <w:shd w:val="clear" w:color="auto" w:fill="auto"/>
            <w:vAlign w:val="center"/>
          </w:tcPr>
          <w:p w14:paraId="18BBD352" w14:textId="77777777" w:rsidR="00B442EC" w:rsidRPr="00B442EC" w:rsidRDefault="00B442EC" w:rsidP="00B442EC">
            <w:pPr>
              <w:spacing w:after="120" w:line="264" w:lineRule="auto"/>
              <w:rPr>
                <w:rFonts w:ascii="Calibri" w:hAnsi="Calibri" w:cs="Times New Roman"/>
              </w:rPr>
            </w:pPr>
            <w:r w:rsidRPr="00B442EC">
              <w:rPr>
                <w:rFonts w:ascii="Calibri" w:hAnsi="Calibri" w:cs="Calibri"/>
              </w:rPr>
              <w:t>With ILM set to 1</w:t>
            </w:r>
          </w:p>
        </w:tc>
        <w:tc>
          <w:tcPr>
            <w:tcW w:w="3447" w:type="dxa"/>
            <w:shd w:val="clear" w:color="auto" w:fill="auto"/>
          </w:tcPr>
          <w:p w14:paraId="78A6C00F"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These items are formula driven in the BA400 return</w:t>
            </w:r>
          </w:p>
        </w:tc>
      </w:tr>
      <w:tr w:rsidR="00B442EC" w:rsidRPr="00B442EC" w14:paraId="4697A38F" w14:textId="77777777" w:rsidTr="0001430D">
        <w:trPr>
          <w:trHeight w:val="538"/>
        </w:trPr>
        <w:tc>
          <w:tcPr>
            <w:tcW w:w="1358" w:type="dxa"/>
            <w:shd w:val="clear" w:color="auto" w:fill="auto"/>
          </w:tcPr>
          <w:p w14:paraId="4AB92FC6"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52</w:t>
            </w:r>
          </w:p>
        </w:tc>
        <w:tc>
          <w:tcPr>
            <w:tcW w:w="1217" w:type="dxa"/>
            <w:shd w:val="clear" w:color="auto" w:fill="auto"/>
          </w:tcPr>
          <w:p w14:paraId="3D6AAC07"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10</w:t>
            </w:r>
          </w:p>
        </w:tc>
        <w:tc>
          <w:tcPr>
            <w:tcW w:w="3892" w:type="dxa"/>
            <w:tcBorders>
              <w:top w:val="nil"/>
              <w:left w:val="nil"/>
              <w:bottom w:val="single" w:sz="4" w:space="0" w:color="auto"/>
              <w:right w:val="single" w:sz="4" w:space="0" w:color="auto"/>
            </w:tcBorders>
            <w:shd w:val="clear" w:color="auto" w:fill="auto"/>
            <w:vAlign w:val="center"/>
          </w:tcPr>
          <w:p w14:paraId="40564E00" w14:textId="77777777" w:rsidR="00B442EC" w:rsidRPr="00B442EC" w:rsidRDefault="00B442EC" w:rsidP="00B442EC">
            <w:pPr>
              <w:spacing w:after="120" w:line="264" w:lineRule="auto"/>
              <w:contextualSpacing/>
              <w:rPr>
                <w:rFonts w:ascii="Calibri" w:hAnsi="Calibri" w:cs="Times New Roman"/>
              </w:rPr>
            </w:pPr>
            <w:r w:rsidRPr="00B442EC">
              <w:rPr>
                <w:rFonts w:ascii="Calibri" w:hAnsi="Calibri" w:cs="Calibri"/>
                <w:color w:val="000000"/>
              </w:rPr>
              <w:t>Operational Risk Weighted Assets</w:t>
            </w:r>
          </w:p>
        </w:tc>
        <w:tc>
          <w:tcPr>
            <w:tcW w:w="3447" w:type="dxa"/>
            <w:shd w:val="clear" w:color="auto" w:fill="auto"/>
          </w:tcPr>
          <w:p w14:paraId="49FB3E73"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These items are formula driven in the BA400 return</w:t>
            </w:r>
          </w:p>
        </w:tc>
      </w:tr>
      <w:tr w:rsidR="00B442EC" w:rsidRPr="00B442EC" w14:paraId="6BBAC25C" w14:textId="77777777" w:rsidTr="0001430D">
        <w:trPr>
          <w:trHeight w:val="538"/>
        </w:trPr>
        <w:tc>
          <w:tcPr>
            <w:tcW w:w="1358" w:type="dxa"/>
            <w:shd w:val="clear" w:color="auto" w:fill="auto"/>
          </w:tcPr>
          <w:p w14:paraId="426A805D"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53</w:t>
            </w:r>
          </w:p>
        </w:tc>
        <w:tc>
          <w:tcPr>
            <w:tcW w:w="1217" w:type="dxa"/>
            <w:shd w:val="clear" w:color="auto" w:fill="auto"/>
          </w:tcPr>
          <w:p w14:paraId="0ACB3A58"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10</w:t>
            </w:r>
          </w:p>
        </w:tc>
        <w:tc>
          <w:tcPr>
            <w:tcW w:w="3892" w:type="dxa"/>
            <w:tcBorders>
              <w:top w:val="nil"/>
              <w:left w:val="nil"/>
              <w:bottom w:val="single" w:sz="4" w:space="0" w:color="auto"/>
              <w:right w:val="single" w:sz="4" w:space="0" w:color="auto"/>
            </w:tcBorders>
            <w:shd w:val="clear" w:color="auto" w:fill="auto"/>
            <w:vAlign w:val="center"/>
          </w:tcPr>
          <w:p w14:paraId="3189EB2E" w14:textId="77777777" w:rsidR="00B442EC" w:rsidRPr="00B442EC" w:rsidRDefault="00B442EC" w:rsidP="00B442EC">
            <w:pPr>
              <w:spacing w:after="120" w:line="264" w:lineRule="auto"/>
              <w:rPr>
                <w:rFonts w:ascii="Calibri" w:hAnsi="Calibri" w:cs="Times New Roman"/>
              </w:rPr>
            </w:pPr>
            <w:r w:rsidRPr="00B442EC">
              <w:rPr>
                <w:rFonts w:ascii="Calibri" w:hAnsi="Calibri" w:cs="Calibri"/>
              </w:rPr>
              <w:t>With ILM set to 1</w:t>
            </w:r>
          </w:p>
        </w:tc>
        <w:tc>
          <w:tcPr>
            <w:tcW w:w="3447" w:type="dxa"/>
            <w:tcBorders>
              <w:bottom w:val="single" w:sz="4" w:space="0" w:color="auto"/>
            </w:tcBorders>
            <w:shd w:val="clear" w:color="auto" w:fill="auto"/>
          </w:tcPr>
          <w:p w14:paraId="131019CE" w14:textId="77777777" w:rsidR="00B442EC" w:rsidRPr="00B442EC" w:rsidRDefault="00B442EC" w:rsidP="00B442EC">
            <w:pPr>
              <w:spacing w:after="120" w:line="264" w:lineRule="auto"/>
              <w:contextualSpacing/>
              <w:jc w:val="both"/>
              <w:rPr>
                <w:rFonts w:ascii="Calibri" w:hAnsi="Calibri" w:cs="Times New Roman"/>
              </w:rPr>
            </w:pPr>
            <w:r w:rsidRPr="00B442EC">
              <w:rPr>
                <w:rFonts w:ascii="Calibri" w:hAnsi="Calibri" w:cs="Times New Roman"/>
              </w:rPr>
              <w:t>These items are formula driven in the BA400 return</w:t>
            </w:r>
          </w:p>
        </w:tc>
      </w:tr>
    </w:tbl>
    <w:p w14:paraId="76BF2B0B" w14:textId="77777777" w:rsidR="00B442EC" w:rsidRPr="00B442EC" w:rsidRDefault="00B442EC" w:rsidP="00B442EC">
      <w:pPr>
        <w:tabs>
          <w:tab w:val="left" w:pos="5795"/>
        </w:tabs>
        <w:spacing w:after="120" w:line="264" w:lineRule="auto"/>
        <w:jc w:val="both"/>
        <w:rPr>
          <w:rFonts w:ascii="Calibri" w:eastAsia="Times New Roman" w:hAnsi="Calibri" w:cs="Times New Roman"/>
        </w:rPr>
      </w:pPr>
    </w:p>
    <w:p w14:paraId="1EE34D4B" w14:textId="77777777" w:rsidR="00B442EC" w:rsidRPr="00B442EC" w:rsidRDefault="00B442EC" w:rsidP="00B442EC">
      <w:pPr>
        <w:tabs>
          <w:tab w:val="left" w:pos="5795"/>
        </w:tabs>
        <w:spacing w:after="120" w:line="264" w:lineRule="auto"/>
        <w:jc w:val="both"/>
        <w:rPr>
          <w:rFonts w:ascii="Calibri" w:eastAsia="Times New Roman" w:hAnsi="Calibri" w:cs="Times New Roman"/>
        </w:rPr>
      </w:pPr>
    </w:p>
    <w:p w14:paraId="22F03512" w14:textId="77777777" w:rsidR="00825136" w:rsidRDefault="00825136"/>
    <w:sectPr w:rsidR="00825136" w:rsidSect="00254A7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90C43" w14:textId="77777777" w:rsidR="009B4E86" w:rsidRDefault="009B4E86" w:rsidP="00B442EC">
      <w:pPr>
        <w:spacing w:after="0" w:line="240" w:lineRule="auto"/>
      </w:pPr>
      <w:r>
        <w:separator/>
      </w:r>
    </w:p>
  </w:endnote>
  <w:endnote w:type="continuationSeparator" w:id="0">
    <w:p w14:paraId="28663DD4" w14:textId="77777777" w:rsidR="009B4E86" w:rsidRDefault="009B4E86" w:rsidP="00B44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4898B" w14:textId="77777777" w:rsidR="006C2EF0" w:rsidRDefault="006C2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66933"/>
      <w:docPartObj>
        <w:docPartGallery w:val="Page Numbers (Bottom of Page)"/>
        <w:docPartUnique/>
      </w:docPartObj>
    </w:sdtPr>
    <w:sdtEndPr>
      <w:rPr>
        <w:noProof/>
      </w:rPr>
    </w:sdtEndPr>
    <w:sdtContent>
      <w:p w14:paraId="27B58FB9" w14:textId="77777777" w:rsidR="00B34118" w:rsidRDefault="00B442E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B576EF7" w14:textId="77777777" w:rsidR="00B34118" w:rsidRPr="00045156" w:rsidRDefault="00B442EC">
    <w:pPr>
      <w:pStyle w:val="Footer"/>
      <w:rPr>
        <w:sz w:val="16"/>
        <w:szCs w:val="16"/>
      </w:rPr>
    </w:pPr>
    <w:r w:rsidRPr="00045156">
      <w:rPr>
        <w:sz w:val="16"/>
        <w:szCs w:val="16"/>
      </w:rPr>
      <w:t>Operational Risk BA400 return accompanying text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ED16" w14:textId="77777777" w:rsidR="006C2EF0" w:rsidRDefault="006C2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61188" w14:textId="77777777" w:rsidR="009B4E86" w:rsidRDefault="009B4E86" w:rsidP="00B442EC">
      <w:pPr>
        <w:spacing w:after="0" w:line="240" w:lineRule="auto"/>
      </w:pPr>
      <w:r>
        <w:separator/>
      </w:r>
    </w:p>
  </w:footnote>
  <w:footnote w:type="continuationSeparator" w:id="0">
    <w:p w14:paraId="3B989683" w14:textId="77777777" w:rsidR="009B4E86" w:rsidRDefault="009B4E86" w:rsidP="00B44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8A7B" w14:textId="3B06C54A" w:rsidR="00B34118" w:rsidRDefault="00B442EC">
    <w:pPr>
      <w:pStyle w:val="Header"/>
    </w:pPr>
    <w:r>
      <w:rPr>
        <w:noProof/>
      </w:rPr>
      <mc:AlternateContent>
        <mc:Choice Requires="wps">
          <w:drawing>
            <wp:anchor distT="0" distB="0" distL="114300" distR="114300" simplePos="0" relativeHeight="251659264" behindDoc="1" locked="0" layoutInCell="0" allowOverlap="1" wp14:anchorId="34606D03" wp14:editId="4A4B04DF">
              <wp:simplePos x="0" y="0"/>
              <wp:positionH relativeFrom="margin">
                <wp:align>center</wp:align>
              </wp:positionH>
              <wp:positionV relativeFrom="margin">
                <wp:align>center</wp:align>
              </wp:positionV>
              <wp:extent cx="5050790" cy="30302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790" cy="3030220"/>
                      </a:xfrm>
                      <a:prstGeom prst="rect">
                        <a:avLst/>
                      </a:prstGeom>
                    </wps:spPr>
                    <wps:txbx>
                      <w:txbxContent>
                        <w:p w14:paraId="1118F94F" w14:textId="77777777" w:rsidR="00290517" w:rsidRDefault="00B442EC" w:rsidP="00290517">
                          <w:pPr>
                            <w:pStyle w:val="NormalWeb"/>
                            <w:spacing w:after="0"/>
                            <w:jc w:val="center"/>
                          </w:pPr>
                          <w:r w:rsidRPr="00B442EC">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606D03" id="_x0000_t202" coordsize="21600,21600" o:spt="202" path="m,l,21600r21600,l21600,xe">
              <v:stroke joinstyle="miter"/>
              <v:path gradientshapeok="t" o:connecttype="rect"/>
            </v:shapetype>
            <v:shape id="Text Box 4" o:spid="_x0000_s1026" type="#_x0000_t202" style="position:absolute;margin-left:0;margin-top:0;width:397.7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" o:allowincell="f" filled="f" stroked="f">
              <o:lock v:ext="edit" shapetype="t"/>
              <v:textbox style="mso-fit-shape-to-text:t">
                <w:txbxContent>
                  <w:p w14:paraId="1118F94F" w14:textId="77777777" w:rsidR="00290517" w:rsidRDefault="00B442EC" w:rsidP="00290517">
                    <w:pPr>
                      <w:pStyle w:val="NormalWeb"/>
                      <w:spacing w:after="0"/>
                      <w:jc w:val="center"/>
                    </w:pPr>
                    <w:r w:rsidRPr="00B442EC">
                      <w:rPr>
                        <w:rFonts w:ascii="Calibri" w:hAnsi="Calibri"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5FCC" w14:textId="77777777" w:rsidR="006C2EF0" w:rsidRDefault="006C2E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FB66" w14:textId="77777777" w:rsidR="006C2EF0" w:rsidRDefault="006C2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B6F28"/>
    <w:multiLevelType w:val="hybridMultilevel"/>
    <w:tmpl w:val="967A5E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86A354C"/>
    <w:multiLevelType w:val="hybridMultilevel"/>
    <w:tmpl w:val="71B6D5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7F5C4B55"/>
    <w:multiLevelType w:val="hybridMultilevel"/>
    <w:tmpl w:val="6ED44A2E"/>
    <w:lvl w:ilvl="0" w:tplc="1C090017">
      <w:start w:val="1"/>
      <w:numFmt w:val="lowerLetter"/>
      <w:lvlText w:val="%1)"/>
      <w:lvlJc w:val="left"/>
      <w:pPr>
        <w:ind w:left="720" w:hanging="360"/>
      </w:pPr>
      <w:rPr>
        <w:rFonts w:hint="default"/>
      </w:rPr>
    </w:lvl>
    <w:lvl w:ilvl="1" w:tplc="1C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7835">
    <w:abstractNumId w:val="0"/>
  </w:num>
  <w:num w:numId="2" w16cid:durableId="230770850">
    <w:abstractNumId w:val="2"/>
  </w:num>
  <w:num w:numId="3" w16cid:durableId="999424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2EC"/>
    <w:rsid w:val="002656CF"/>
    <w:rsid w:val="00424CC1"/>
    <w:rsid w:val="00651B57"/>
    <w:rsid w:val="006C2EF0"/>
    <w:rsid w:val="00715514"/>
    <w:rsid w:val="00825136"/>
    <w:rsid w:val="009B4E86"/>
    <w:rsid w:val="00B442E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249F9"/>
  <w15:chartTrackingRefBased/>
  <w15:docId w15:val="{59D387CB-CE4F-4240-9DF4-8D579B99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42EC"/>
    <w:rPr>
      <w:rFonts w:ascii="Times New Roman" w:hAnsi="Times New Roman" w:cs="Times New Roman"/>
      <w:sz w:val="24"/>
      <w:szCs w:val="24"/>
    </w:rPr>
  </w:style>
  <w:style w:type="paragraph" w:styleId="Header">
    <w:name w:val="header"/>
    <w:basedOn w:val="Normal"/>
    <w:link w:val="HeaderChar"/>
    <w:uiPriority w:val="99"/>
    <w:unhideWhenUsed/>
    <w:rsid w:val="00B442EC"/>
    <w:pPr>
      <w:tabs>
        <w:tab w:val="center" w:pos="4513"/>
        <w:tab w:val="right" w:pos="9026"/>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B442EC"/>
    <w:rPr>
      <w:rFonts w:eastAsia="Times New Roman"/>
      <w:sz w:val="20"/>
      <w:szCs w:val="20"/>
    </w:rPr>
  </w:style>
  <w:style w:type="paragraph" w:styleId="Footer">
    <w:name w:val="footer"/>
    <w:basedOn w:val="Normal"/>
    <w:link w:val="FooterChar"/>
    <w:uiPriority w:val="99"/>
    <w:unhideWhenUsed/>
    <w:rsid w:val="00B442EC"/>
    <w:pPr>
      <w:tabs>
        <w:tab w:val="center" w:pos="4513"/>
        <w:tab w:val="right" w:pos="9026"/>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B442EC"/>
    <w:rPr>
      <w:rFonts w:eastAsia="Times New Roman"/>
      <w:sz w:val="20"/>
      <w:szCs w:val="20"/>
    </w:rPr>
  </w:style>
  <w:style w:type="table" w:customStyle="1" w:styleId="TableGrid1">
    <w:name w:val="Table Grid1"/>
    <w:basedOn w:val="TableNormal"/>
    <w:next w:val="TableGrid"/>
    <w:uiPriority w:val="39"/>
    <w:rsid w:val="00B442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44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0c52299-74de-4dfd-b117-c9c408edfa50}" enabled="1" method="Standard" siteId="{853cbaab-a620-4178-8933-88d76414184a}"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8</Pages>
  <Words>2107</Words>
  <Characters>12016</Characters>
  <Application>Microsoft Office Word</Application>
  <DocSecurity>0</DocSecurity>
  <Lines>100</Lines>
  <Paragraphs>28</Paragraphs>
  <ScaleCrop>false</ScaleCrop>
  <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Itumeleng Ledwaba</dc:creator>
  <cp:keywords/>
  <dc:description/>
  <cp:lastModifiedBy>Dries Smal</cp:lastModifiedBy>
  <cp:revision>2</cp:revision>
  <dcterms:created xsi:type="dcterms:W3CDTF">2022-06-09T08:36:00Z</dcterms:created>
  <dcterms:modified xsi:type="dcterms:W3CDTF">2022-06-09T08:36:00Z</dcterms:modified>
</cp:coreProperties>
</file>