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B69D" w14:textId="6DF0CD60" w:rsidR="00B442EC" w:rsidRPr="00B442EC" w:rsidRDefault="006C2EF0" w:rsidP="00B442EC">
      <w:pPr>
        <w:spacing w:after="120" w:line="264" w:lineRule="auto"/>
        <w:jc w:val="both"/>
        <w:rPr>
          <w:rFonts w:ascii="Calibri" w:eastAsia="Times New Roman" w:hAnsi="Calibri" w:cs="Times New Roman"/>
          <w:b/>
          <w:bCs/>
          <w:color w:val="44546A"/>
          <w:sz w:val="40"/>
          <w:szCs w:val="40"/>
        </w:rPr>
      </w:pPr>
      <w:r>
        <w:rPr>
          <w:rFonts w:ascii="Calibri" w:eastAsia="Times New Roman" w:hAnsi="Calibri" w:cs="Times New Roman"/>
          <w:b/>
          <w:bCs/>
          <w:color w:val="44546A"/>
          <w:sz w:val="40"/>
          <w:szCs w:val="40"/>
        </w:rPr>
        <w:t>Form</w:t>
      </w:r>
      <w:r w:rsidR="00B442EC" w:rsidRPr="00B442EC">
        <w:rPr>
          <w:rFonts w:ascii="Calibri" w:eastAsia="Times New Roman" w:hAnsi="Calibri" w:cs="Times New Roman"/>
          <w:b/>
          <w:bCs/>
          <w:color w:val="44546A"/>
          <w:sz w:val="40"/>
          <w:szCs w:val="40"/>
        </w:rPr>
        <w:t xml:space="preserve"> BA400 </w:t>
      </w:r>
      <w:r>
        <w:rPr>
          <w:rFonts w:ascii="Calibri" w:eastAsia="Times New Roman" w:hAnsi="Calibri" w:cs="Times New Roman"/>
          <w:b/>
          <w:bCs/>
          <w:color w:val="44546A"/>
          <w:sz w:val="40"/>
          <w:szCs w:val="40"/>
        </w:rPr>
        <w:t>r</w:t>
      </w:r>
      <w:r w:rsidR="00B442EC" w:rsidRPr="00B442EC">
        <w:rPr>
          <w:rFonts w:ascii="Calibri" w:eastAsia="Times New Roman" w:hAnsi="Calibri" w:cs="Times New Roman"/>
          <w:b/>
          <w:bCs/>
          <w:color w:val="44546A"/>
          <w:sz w:val="40"/>
          <w:szCs w:val="40"/>
        </w:rPr>
        <w:t>eturn</w:t>
      </w:r>
    </w:p>
    <w:p w14:paraId="584B5D01" w14:textId="77777777" w:rsidR="00B442EC" w:rsidRPr="00B442EC" w:rsidRDefault="00B442EC" w:rsidP="00B442EC">
      <w:pPr>
        <w:spacing w:after="120" w:line="264" w:lineRule="auto"/>
        <w:contextualSpacing/>
        <w:jc w:val="both"/>
        <w:rPr>
          <w:rFonts w:ascii="Calibri" w:eastAsia="Times New Roman" w:hAnsi="Calibri" w:cs="Times New Roman"/>
          <w:b/>
          <w:bCs/>
          <w:sz w:val="24"/>
          <w:szCs w:val="24"/>
        </w:rPr>
      </w:pPr>
      <w:r w:rsidRPr="00B442EC">
        <w:rPr>
          <w:rFonts w:ascii="Calibri" w:eastAsia="Times New Roman" w:hAnsi="Calibri" w:cs="Times New Roman"/>
          <w:b/>
          <w:bCs/>
          <w:sz w:val="24"/>
          <w:szCs w:val="24"/>
        </w:rPr>
        <w:t>General</w:t>
      </w:r>
    </w:p>
    <w:p w14:paraId="5E3BE380"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 xml:space="preserve">The BA400 returns requires collected data on three panels: balance sheet and other items (panel A), income statement (panel B) and operational risk losses (panel C). Panel D presents calculations for each of the main </w:t>
      </w:r>
      <w:bookmarkStart w:id="0" w:name="_Hlk85020054"/>
      <w:r w:rsidRPr="00B442EC">
        <w:rPr>
          <w:rFonts w:ascii="Calibri" w:eastAsia="Times New Roman" w:hAnsi="Calibri" w:cs="Times New Roman"/>
        </w:rPr>
        <w:t xml:space="preserve">standardised approach components </w:t>
      </w:r>
      <w:bookmarkEnd w:id="0"/>
      <w:r w:rsidRPr="00B442EC">
        <w:rPr>
          <w:rFonts w:ascii="Calibri" w:eastAsia="Times New Roman" w:hAnsi="Calibri" w:cs="Times New Roman"/>
        </w:rPr>
        <w:t>and panel E, presents the calculations of Operational risk capital.</w:t>
      </w:r>
    </w:p>
    <w:p w14:paraId="3A93942B"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 xml:space="preserve">All Banks are required to populate panel A to C. In the case where information is not available, a corresponding cell should be left blank </w:t>
      </w:r>
    </w:p>
    <w:p w14:paraId="4AA81A53"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Under bank’s information, all banks are required to populate and select relevant information which is applicable to their organisation.</w:t>
      </w:r>
    </w:p>
    <w:p w14:paraId="2E06C0CA"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Only banks designated as D-SIBS, and meet the PA’s requirements for use of ILM, will be allowed use of ILM. All banks shall comply with all exclusions as defined in the relevant regulatory instrument.</w:t>
      </w:r>
    </w:p>
    <w:p w14:paraId="541EC8AB" w14:textId="77777777" w:rsidR="00B442EC" w:rsidRPr="00B442EC" w:rsidRDefault="00B442EC" w:rsidP="00B442EC">
      <w:pPr>
        <w:numPr>
          <w:ilvl w:val="0"/>
          <w:numId w:val="3"/>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The BA400 return must be reported on Bank Solo, Bank Consolidated and Controlling Company Consolidated for all entities which are consolidated by the bank for risk-based regulatory purposes. This will be reported bi-annually, as at financial year-end and corresponding half year.</w:t>
      </w:r>
    </w:p>
    <w:p w14:paraId="3C05264E" w14:textId="77777777" w:rsidR="00B442EC" w:rsidRPr="00B442EC" w:rsidRDefault="00B442EC" w:rsidP="00B442EC">
      <w:pPr>
        <w:numPr>
          <w:ilvl w:val="0"/>
          <w:numId w:val="3"/>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Data must be reported using the reporting currency and reporting unit set in the template as of the end of the reporting period set in the template.</w:t>
      </w:r>
    </w:p>
    <w:p w14:paraId="2C9B648A" w14:textId="008CD7C8" w:rsidR="00B442EC" w:rsidRPr="00B442EC" w:rsidRDefault="00B442EC" w:rsidP="00B442EC">
      <w:pPr>
        <w:numPr>
          <w:ilvl w:val="0"/>
          <w:numId w:val="3"/>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 xml:space="preserve">For corresponding half year reporting, a 12-month rolling method will be applied for the current period under review. This excludes Panel A (Balance sheet and other items) which will reflect position as at end of corresponding half year. </w:t>
      </w:r>
    </w:p>
    <w:p w14:paraId="606CD2AE" w14:textId="77777777" w:rsidR="00B442EC" w:rsidRPr="00B442EC" w:rsidRDefault="00B442EC" w:rsidP="00B442EC">
      <w:pPr>
        <w:spacing w:after="120" w:line="264" w:lineRule="auto"/>
        <w:ind w:left="1080"/>
        <w:contextualSpacing/>
        <w:jc w:val="both"/>
        <w:rPr>
          <w:rFonts w:ascii="Calibri" w:eastAsia="Times New Roman" w:hAnsi="Calibri" w:cs="Times New Roman"/>
        </w:rPr>
      </w:pPr>
    </w:p>
    <w:tbl>
      <w:tblPr>
        <w:tblW w:w="8792" w:type="dxa"/>
        <w:tblInd w:w="-10" w:type="dxa"/>
        <w:tblCellMar>
          <w:left w:w="0" w:type="dxa"/>
          <w:right w:w="0" w:type="dxa"/>
        </w:tblCellMar>
        <w:tblLook w:val="04A0" w:firstRow="1" w:lastRow="0" w:firstColumn="1" w:lastColumn="0" w:noHBand="0" w:noVBand="1"/>
      </w:tblPr>
      <w:tblGrid>
        <w:gridCol w:w="1128"/>
        <w:gridCol w:w="1397"/>
        <w:gridCol w:w="453"/>
        <w:gridCol w:w="1397"/>
        <w:gridCol w:w="1509"/>
        <w:gridCol w:w="1509"/>
        <w:gridCol w:w="1399"/>
      </w:tblGrid>
      <w:tr w:rsidR="00B442EC" w:rsidRPr="00B442EC" w14:paraId="7B5FCDEF" w14:textId="77777777" w:rsidTr="0001430D">
        <w:trPr>
          <w:trHeight w:val="347"/>
        </w:trPr>
        <w:tc>
          <w:tcPr>
            <w:tcW w:w="8792" w:type="dxa"/>
            <w:gridSpan w:val="7"/>
            <w:tcBorders>
              <w:top w:val="single" w:sz="8" w:space="0" w:color="auto"/>
              <w:left w:val="single" w:sz="8" w:space="0" w:color="auto"/>
              <w:bottom w:val="single" w:sz="8" w:space="0" w:color="auto"/>
              <w:right w:val="single" w:sz="8" w:space="0" w:color="auto"/>
            </w:tcBorders>
          </w:tcPr>
          <w:p w14:paraId="49DB412A" w14:textId="77777777" w:rsidR="00B442EC" w:rsidRPr="00B442EC" w:rsidRDefault="00B442EC" w:rsidP="00B442EC">
            <w:pPr>
              <w:spacing w:after="120" w:line="264" w:lineRule="auto"/>
              <w:contextualSpacing/>
              <w:jc w:val="both"/>
              <w:rPr>
                <w:rFonts w:ascii="Calibri" w:eastAsia="Times New Roman" w:hAnsi="Calibri" w:cs="Times New Roman"/>
                <w:i/>
                <w:iCs/>
                <w:sz w:val="20"/>
                <w:szCs w:val="20"/>
              </w:rPr>
            </w:pPr>
            <w:r w:rsidRPr="00B442EC">
              <w:rPr>
                <w:rFonts w:ascii="Calibri" w:eastAsia="Times New Roman" w:hAnsi="Calibri" w:cs="Times New Roman"/>
                <w:i/>
                <w:iCs/>
                <w:sz w:val="20"/>
                <w:szCs w:val="20"/>
              </w:rPr>
              <w:t>@</w:t>
            </w:r>
            <w:proofErr w:type="gramStart"/>
            <w:r w:rsidRPr="00B442EC">
              <w:rPr>
                <w:rFonts w:ascii="Calibri" w:eastAsia="Times New Roman" w:hAnsi="Calibri" w:cs="Times New Roman"/>
                <w:i/>
                <w:iCs/>
                <w:sz w:val="20"/>
                <w:szCs w:val="20"/>
              </w:rPr>
              <w:t>corresponding</w:t>
            </w:r>
            <w:proofErr w:type="gramEnd"/>
            <w:r w:rsidRPr="00B442EC">
              <w:rPr>
                <w:rFonts w:ascii="Calibri" w:eastAsia="Times New Roman" w:hAnsi="Calibri" w:cs="Times New Roman"/>
                <w:i/>
                <w:iCs/>
                <w:sz w:val="20"/>
                <w:szCs w:val="20"/>
              </w:rPr>
              <w:t xml:space="preserve"> half-year example Financial Half Year 2021 reporting period</w:t>
            </w:r>
          </w:p>
        </w:tc>
      </w:tr>
      <w:tr w:rsidR="00B442EC" w:rsidRPr="00B442EC" w14:paraId="66DD8A4E" w14:textId="77777777" w:rsidTr="0001430D">
        <w:trPr>
          <w:trHeight w:val="357"/>
        </w:trPr>
        <w:tc>
          <w:tcPr>
            <w:tcW w:w="1128" w:type="dxa"/>
            <w:tcBorders>
              <w:top w:val="nil"/>
              <w:left w:val="single" w:sz="8" w:space="0" w:color="auto"/>
              <w:bottom w:val="single" w:sz="8" w:space="0" w:color="auto"/>
              <w:right w:val="single" w:sz="8" w:space="0" w:color="auto"/>
            </w:tcBorders>
          </w:tcPr>
          <w:p w14:paraId="256C3653"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Period</w:t>
            </w:r>
          </w:p>
        </w:tc>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CC23A"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Financial Year End 2012</w:t>
            </w:r>
          </w:p>
        </w:tc>
        <w:tc>
          <w:tcPr>
            <w:tcW w:w="453" w:type="dxa"/>
            <w:tcBorders>
              <w:top w:val="nil"/>
              <w:left w:val="nil"/>
              <w:bottom w:val="single" w:sz="8" w:space="0" w:color="auto"/>
              <w:right w:val="single" w:sz="8" w:space="0" w:color="auto"/>
            </w:tcBorders>
            <w:tcMar>
              <w:top w:w="0" w:type="dxa"/>
              <w:left w:w="108" w:type="dxa"/>
              <w:bottom w:w="0" w:type="dxa"/>
              <w:right w:w="108" w:type="dxa"/>
            </w:tcMar>
            <w:hideMark/>
          </w:tcPr>
          <w:p w14:paraId="3E640E20"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14:paraId="1F7EC069"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Financial Year End 2019</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5CA84D5E"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Financial Year End 2020</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FACE517"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Corresponding Half Year 2021</w:t>
            </w:r>
          </w:p>
        </w:tc>
      </w:tr>
      <w:tr w:rsidR="00B442EC" w:rsidRPr="00B442EC" w14:paraId="5680ED49" w14:textId="77777777" w:rsidTr="0001430D">
        <w:trPr>
          <w:trHeight w:val="357"/>
        </w:trPr>
        <w:tc>
          <w:tcPr>
            <w:tcW w:w="1128" w:type="dxa"/>
            <w:vMerge w:val="restart"/>
            <w:tcBorders>
              <w:top w:val="nil"/>
              <w:left w:val="single" w:sz="8" w:space="0" w:color="auto"/>
              <w:right w:val="single" w:sz="8" w:space="0" w:color="auto"/>
            </w:tcBorders>
          </w:tcPr>
          <w:p w14:paraId="5C0FC234" w14:textId="77777777" w:rsidR="00B442EC" w:rsidRPr="00B442EC" w:rsidRDefault="00B442EC" w:rsidP="00B442EC">
            <w:pPr>
              <w:spacing w:after="120" w:line="264" w:lineRule="auto"/>
              <w:contextualSpacing/>
              <w:jc w:val="both"/>
              <w:rPr>
                <w:rFonts w:ascii="Calibri" w:eastAsia="Times New Roman" w:hAnsi="Calibri" w:cs="Times New Roman"/>
                <w:sz w:val="20"/>
                <w:szCs w:val="20"/>
              </w:rPr>
            </w:pPr>
          </w:p>
          <w:p w14:paraId="639A25FF"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sz w:val="20"/>
                <w:szCs w:val="20"/>
              </w:rPr>
              <w:t>12-month rollup</w:t>
            </w:r>
          </w:p>
        </w:tc>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09110"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2012</w:t>
            </w:r>
          </w:p>
        </w:tc>
        <w:tc>
          <w:tcPr>
            <w:tcW w:w="453" w:type="dxa"/>
            <w:tcBorders>
              <w:top w:val="nil"/>
              <w:left w:val="nil"/>
              <w:bottom w:val="single" w:sz="8" w:space="0" w:color="auto"/>
              <w:right w:val="single" w:sz="8" w:space="0" w:color="auto"/>
            </w:tcBorders>
            <w:tcMar>
              <w:top w:w="0" w:type="dxa"/>
              <w:left w:w="108" w:type="dxa"/>
              <w:bottom w:w="0" w:type="dxa"/>
              <w:right w:w="108" w:type="dxa"/>
            </w:tcMar>
          </w:tcPr>
          <w:p w14:paraId="2FB9DC18"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14:paraId="083D50ED"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2019</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33563D29"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2020</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0E75160E"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2020</w:t>
            </w:r>
          </w:p>
        </w:tc>
        <w:tc>
          <w:tcPr>
            <w:tcW w:w="1399" w:type="dxa"/>
            <w:tcBorders>
              <w:top w:val="nil"/>
              <w:left w:val="nil"/>
              <w:bottom w:val="single" w:sz="8" w:space="0" w:color="auto"/>
              <w:right w:val="single" w:sz="8" w:space="0" w:color="auto"/>
            </w:tcBorders>
            <w:tcMar>
              <w:top w:w="0" w:type="dxa"/>
              <w:left w:w="108" w:type="dxa"/>
              <w:bottom w:w="0" w:type="dxa"/>
              <w:right w:w="108" w:type="dxa"/>
            </w:tcMar>
            <w:hideMark/>
          </w:tcPr>
          <w:p w14:paraId="3CDBC77D"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2021</w:t>
            </w:r>
          </w:p>
        </w:tc>
      </w:tr>
      <w:tr w:rsidR="00B442EC" w:rsidRPr="00B442EC" w14:paraId="57B4DD71" w14:textId="77777777" w:rsidTr="0001430D">
        <w:trPr>
          <w:trHeight w:val="357"/>
        </w:trPr>
        <w:tc>
          <w:tcPr>
            <w:tcW w:w="1128" w:type="dxa"/>
            <w:vMerge/>
            <w:tcBorders>
              <w:left w:val="single" w:sz="8" w:space="0" w:color="auto"/>
              <w:right w:val="single" w:sz="8" w:space="0" w:color="auto"/>
            </w:tcBorders>
          </w:tcPr>
          <w:p w14:paraId="2B1BF26C"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p>
        </w:tc>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FD819"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12 months</w:t>
            </w:r>
          </w:p>
        </w:tc>
        <w:tc>
          <w:tcPr>
            <w:tcW w:w="453" w:type="dxa"/>
            <w:tcBorders>
              <w:top w:val="nil"/>
              <w:left w:val="nil"/>
              <w:bottom w:val="single" w:sz="8" w:space="0" w:color="auto"/>
              <w:right w:val="single" w:sz="8" w:space="0" w:color="auto"/>
            </w:tcBorders>
            <w:tcMar>
              <w:top w:w="0" w:type="dxa"/>
              <w:left w:w="108" w:type="dxa"/>
              <w:bottom w:w="0" w:type="dxa"/>
              <w:right w:w="108" w:type="dxa"/>
            </w:tcMar>
            <w:hideMark/>
          </w:tcPr>
          <w:p w14:paraId="48822022"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14:paraId="43178527"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12 months</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785C09F9"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12 months</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7DF7895E"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7 to 12 months</w:t>
            </w:r>
          </w:p>
        </w:tc>
        <w:tc>
          <w:tcPr>
            <w:tcW w:w="1399" w:type="dxa"/>
            <w:tcBorders>
              <w:top w:val="nil"/>
              <w:left w:val="nil"/>
              <w:bottom w:val="single" w:sz="8" w:space="0" w:color="auto"/>
              <w:right w:val="single" w:sz="8" w:space="0" w:color="auto"/>
            </w:tcBorders>
            <w:tcMar>
              <w:top w:w="0" w:type="dxa"/>
              <w:left w:w="108" w:type="dxa"/>
              <w:bottom w:w="0" w:type="dxa"/>
              <w:right w:w="108" w:type="dxa"/>
            </w:tcMar>
            <w:hideMark/>
          </w:tcPr>
          <w:p w14:paraId="1C5DDB5A" w14:textId="77777777" w:rsidR="00B442EC" w:rsidRPr="00B442EC" w:rsidRDefault="00B442EC" w:rsidP="00B442EC">
            <w:pPr>
              <w:spacing w:after="120" w:line="264" w:lineRule="auto"/>
              <w:contextualSpacing/>
              <w:jc w:val="both"/>
              <w:rPr>
                <w:rFonts w:ascii="Calibri" w:eastAsia="Times New Roman" w:hAnsi="Calibri" w:cs="Times New Roman"/>
                <w:b/>
                <w:bCs/>
                <w:sz w:val="20"/>
                <w:szCs w:val="20"/>
              </w:rPr>
            </w:pPr>
            <w:r w:rsidRPr="00B442EC">
              <w:rPr>
                <w:rFonts w:ascii="Calibri" w:eastAsia="Times New Roman" w:hAnsi="Calibri" w:cs="Times New Roman"/>
                <w:b/>
                <w:bCs/>
                <w:sz w:val="20"/>
                <w:szCs w:val="20"/>
              </w:rPr>
              <w:t>1 to 6 months</w:t>
            </w:r>
          </w:p>
        </w:tc>
      </w:tr>
      <w:tr w:rsidR="00B442EC" w:rsidRPr="00B442EC" w14:paraId="54EAC56B" w14:textId="77777777" w:rsidTr="0001430D">
        <w:trPr>
          <w:trHeight w:val="357"/>
        </w:trPr>
        <w:tc>
          <w:tcPr>
            <w:tcW w:w="1128" w:type="dxa"/>
            <w:vMerge/>
            <w:tcBorders>
              <w:left w:val="single" w:sz="8" w:space="0" w:color="auto"/>
              <w:bottom w:val="single" w:sz="8" w:space="0" w:color="auto"/>
              <w:right w:val="single" w:sz="8" w:space="0" w:color="auto"/>
            </w:tcBorders>
          </w:tcPr>
          <w:p w14:paraId="50A01868" w14:textId="77777777" w:rsidR="00B442EC" w:rsidRPr="00B442EC" w:rsidRDefault="00B442EC" w:rsidP="00B442EC">
            <w:pPr>
              <w:spacing w:after="120" w:line="264" w:lineRule="auto"/>
              <w:contextualSpacing/>
              <w:jc w:val="both"/>
              <w:rPr>
                <w:rFonts w:ascii="Calibri" w:eastAsia="Times New Roman" w:hAnsi="Calibri" w:cs="Times New Roman"/>
                <w:sz w:val="20"/>
                <w:szCs w:val="20"/>
              </w:rPr>
            </w:pPr>
          </w:p>
        </w:tc>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53E40" w14:textId="77777777" w:rsidR="00B442EC" w:rsidRPr="00B442EC" w:rsidRDefault="00B442EC" w:rsidP="00B442EC">
            <w:pPr>
              <w:spacing w:after="120" w:line="264" w:lineRule="auto"/>
              <w:contextualSpacing/>
              <w:jc w:val="both"/>
              <w:rPr>
                <w:rFonts w:ascii="Calibri" w:eastAsia="Times New Roman" w:hAnsi="Calibri" w:cs="Times New Roman"/>
                <w:sz w:val="20"/>
                <w:szCs w:val="20"/>
              </w:rPr>
            </w:pPr>
            <w:r w:rsidRPr="00B442EC">
              <w:rPr>
                <w:rFonts w:ascii="Calibri" w:eastAsia="Times New Roman" w:hAnsi="Calibri" w:cs="Times New Roman"/>
                <w:sz w:val="20"/>
                <w:szCs w:val="20"/>
              </w:rPr>
              <w:t>Financial Year to Date</w:t>
            </w:r>
          </w:p>
        </w:tc>
        <w:tc>
          <w:tcPr>
            <w:tcW w:w="453" w:type="dxa"/>
            <w:tcBorders>
              <w:top w:val="nil"/>
              <w:left w:val="nil"/>
              <w:bottom w:val="single" w:sz="8" w:space="0" w:color="auto"/>
              <w:right w:val="single" w:sz="8" w:space="0" w:color="auto"/>
            </w:tcBorders>
            <w:tcMar>
              <w:top w:w="0" w:type="dxa"/>
              <w:left w:w="108" w:type="dxa"/>
              <w:bottom w:w="0" w:type="dxa"/>
              <w:right w:w="108" w:type="dxa"/>
            </w:tcMar>
            <w:hideMark/>
          </w:tcPr>
          <w:p w14:paraId="17C1E961" w14:textId="77777777" w:rsidR="00B442EC" w:rsidRPr="00B442EC" w:rsidRDefault="00B442EC" w:rsidP="00B442EC">
            <w:pPr>
              <w:spacing w:after="120" w:line="264" w:lineRule="auto"/>
              <w:contextualSpacing/>
              <w:jc w:val="both"/>
              <w:rPr>
                <w:rFonts w:ascii="Calibri" w:eastAsia="Times New Roman" w:hAnsi="Calibri" w:cs="Times New Roman"/>
                <w:sz w:val="20"/>
                <w:szCs w:val="20"/>
              </w:rPr>
            </w:pPr>
            <w:r w:rsidRPr="00B442EC">
              <w:rPr>
                <w:rFonts w:ascii="Calibri" w:eastAsia="Times New Roman" w:hAnsi="Calibri" w:cs="Times New Roman"/>
                <w:sz w:val="20"/>
                <w:szCs w:val="20"/>
              </w:rPr>
              <w:t>…</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14:paraId="0522F6B3" w14:textId="77777777" w:rsidR="00B442EC" w:rsidRPr="00B442EC" w:rsidRDefault="00B442EC" w:rsidP="00B442EC">
            <w:pPr>
              <w:spacing w:after="120" w:line="264" w:lineRule="auto"/>
              <w:contextualSpacing/>
              <w:jc w:val="both"/>
              <w:rPr>
                <w:rFonts w:ascii="Calibri" w:eastAsia="Times New Roman" w:hAnsi="Calibri" w:cs="Times New Roman"/>
                <w:sz w:val="20"/>
                <w:szCs w:val="20"/>
              </w:rPr>
            </w:pPr>
            <w:r w:rsidRPr="00B442EC">
              <w:rPr>
                <w:rFonts w:ascii="Calibri" w:eastAsia="Times New Roman" w:hAnsi="Calibri" w:cs="Times New Roman"/>
                <w:sz w:val="20"/>
                <w:szCs w:val="20"/>
              </w:rPr>
              <w:t>Financial Year to Date</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295ED6F1" w14:textId="77777777" w:rsidR="00B442EC" w:rsidRPr="00B442EC" w:rsidRDefault="00B442EC" w:rsidP="00B442EC">
            <w:pPr>
              <w:spacing w:after="120" w:line="264" w:lineRule="auto"/>
              <w:contextualSpacing/>
              <w:jc w:val="both"/>
              <w:rPr>
                <w:rFonts w:ascii="Calibri" w:eastAsia="Times New Roman" w:hAnsi="Calibri" w:cs="Times New Roman"/>
                <w:sz w:val="20"/>
                <w:szCs w:val="20"/>
              </w:rPr>
            </w:pPr>
            <w:r w:rsidRPr="00B442EC">
              <w:rPr>
                <w:rFonts w:ascii="Calibri" w:eastAsia="Times New Roman" w:hAnsi="Calibri" w:cs="Times New Roman"/>
                <w:sz w:val="20"/>
                <w:szCs w:val="20"/>
              </w:rPr>
              <w:t>Financial Year to Date</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3668B1F2" w14:textId="77777777" w:rsidR="00B442EC" w:rsidRPr="00B442EC" w:rsidRDefault="00B442EC" w:rsidP="00B442EC">
            <w:pPr>
              <w:spacing w:after="120" w:line="264" w:lineRule="auto"/>
              <w:contextualSpacing/>
              <w:jc w:val="both"/>
              <w:rPr>
                <w:rFonts w:ascii="Calibri" w:eastAsia="Times New Roman" w:hAnsi="Calibri" w:cs="Times New Roman"/>
                <w:sz w:val="20"/>
                <w:szCs w:val="20"/>
              </w:rPr>
            </w:pPr>
            <w:r w:rsidRPr="00B442EC">
              <w:rPr>
                <w:rFonts w:ascii="Calibri" w:eastAsia="Times New Roman" w:hAnsi="Calibri" w:cs="Times New Roman"/>
                <w:sz w:val="20"/>
                <w:szCs w:val="20"/>
              </w:rPr>
              <w:t>H2 of prior Financial Year</w:t>
            </w:r>
          </w:p>
        </w:tc>
        <w:tc>
          <w:tcPr>
            <w:tcW w:w="1399" w:type="dxa"/>
            <w:tcBorders>
              <w:top w:val="nil"/>
              <w:left w:val="nil"/>
              <w:bottom w:val="single" w:sz="8" w:space="0" w:color="auto"/>
              <w:right w:val="single" w:sz="8" w:space="0" w:color="auto"/>
            </w:tcBorders>
            <w:tcMar>
              <w:top w:w="0" w:type="dxa"/>
              <w:left w:w="108" w:type="dxa"/>
              <w:bottom w:w="0" w:type="dxa"/>
              <w:right w:w="108" w:type="dxa"/>
            </w:tcMar>
            <w:hideMark/>
          </w:tcPr>
          <w:p w14:paraId="697F54F2" w14:textId="77777777" w:rsidR="00B442EC" w:rsidRPr="00B442EC" w:rsidRDefault="00B442EC" w:rsidP="00B442EC">
            <w:pPr>
              <w:spacing w:after="120" w:line="264" w:lineRule="auto"/>
              <w:contextualSpacing/>
              <w:jc w:val="both"/>
              <w:rPr>
                <w:rFonts w:ascii="Calibri" w:eastAsia="Times New Roman" w:hAnsi="Calibri" w:cs="Times New Roman"/>
                <w:sz w:val="20"/>
                <w:szCs w:val="20"/>
              </w:rPr>
            </w:pPr>
            <w:r w:rsidRPr="00B442EC">
              <w:rPr>
                <w:rFonts w:ascii="Calibri" w:eastAsia="Times New Roman" w:hAnsi="Calibri" w:cs="Times New Roman"/>
                <w:sz w:val="20"/>
                <w:szCs w:val="20"/>
              </w:rPr>
              <w:t>H1 of current Financial Year</w:t>
            </w:r>
          </w:p>
        </w:tc>
      </w:tr>
    </w:tbl>
    <w:p w14:paraId="4DA47D3A" w14:textId="77777777" w:rsidR="00B442EC" w:rsidRPr="00B442EC" w:rsidRDefault="00B442EC" w:rsidP="00B442EC">
      <w:pPr>
        <w:spacing w:after="120" w:line="264" w:lineRule="auto"/>
        <w:jc w:val="both"/>
        <w:rPr>
          <w:rFonts w:ascii="Calibri" w:eastAsia="Times New Roman" w:hAnsi="Calibri" w:cs="Times New Roman"/>
        </w:rPr>
      </w:pPr>
    </w:p>
    <w:p w14:paraId="3A64EE5E" w14:textId="77777777" w:rsidR="00B442EC" w:rsidRPr="00B442EC" w:rsidRDefault="00B442EC" w:rsidP="00B442EC">
      <w:pPr>
        <w:spacing w:after="120" w:line="264" w:lineRule="auto"/>
        <w:jc w:val="both"/>
        <w:rPr>
          <w:rFonts w:ascii="Calibri" w:eastAsia="Times New Roman" w:hAnsi="Calibri" w:cs="Times New Roman"/>
          <w:color w:val="2E74B5"/>
        </w:rPr>
      </w:pPr>
      <w:r w:rsidRPr="00B442EC">
        <w:rPr>
          <w:rFonts w:ascii="Calibri" w:eastAsia="Times New Roman" w:hAnsi="Calibri" w:cs="Times New Roman"/>
          <w:color w:val="2E74B5"/>
        </w:rPr>
        <w:br w:type="page"/>
      </w:r>
      <w:r w:rsidRPr="00B442EC">
        <w:rPr>
          <w:rFonts w:ascii="Calibri" w:eastAsia="Times New Roman" w:hAnsi="Calibri" w:cs="Times New Roman"/>
          <w:b/>
          <w:bCs/>
          <w:sz w:val="24"/>
          <w:szCs w:val="24"/>
        </w:rPr>
        <w:lastRenderedPageBreak/>
        <w:t xml:space="preserve">Panel A: Balance sheet and other items </w:t>
      </w:r>
    </w:p>
    <w:p w14:paraId="4D194CE3"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Panel A collects information on specific items of the balance sheet.</w:t>
      </w:r>
    </w:p>
    <w:p w14:paraId="5EA777E8" w14:textId="77777777" w:rsidR="00B442EC" w:rsidRPr="00B442EC" w:rsidRDefault="00B442EC" w:rsidP="00B442EC">
      <w:pPr>
        <w:spacing w:after="120" w:line="264" w:lineRule="auto"/>
        <w:ind w:left="720"/>
        <w:contextualSpacing/>
        <w:jc w:val="both"/>
        <w:rPr>
          <w:rFonts w:ascii="Calibri" w:eastAsia="Times New Roman" w:hAnsi="Calibri" w:cs="Times New Roman"/>
        </w:rPr>
      </w:pPr>
    </w:p>
    <w:tbl>
      <w:tblPr>
        <w:tblStyle w:val="TableGrid1"/>
        <w:tblW w:w="9175" w:type="dxa"/>
        <w:tblLook w:val="04A0" w:firstRow="1" w:lastRow="0" w:firstColumn="1" w:lastColumn="0" w:noHBand="0" w:noVBand="1"/>
      </w:tblPr>
      <w:tblGrid>
        <w:gridCol w:w="683"/>
        <w:gridCol w:w="972"/>
        <w:gridCol w:w="1670"/>
        <w:gridCol w:w="2790"/>
        <w:gridCol w:w="1530"/>
        <w:gridCol w:w="1530"/>
      </w:tblGrid>
      <w:tr w:rsidR="00B442EC" w:rsidRPr="00B442EC" w14:paraId="0F75AA45" w14:textId="77777777" w:rsidTr="00B442EC">
        <w:trPr>
          <w:trHeight w:val="529"/>
          <w:tblHeader/>
        </w:trPr>
        <w:tc>
          <w:tcPr>
            <w:tcW w:w="0" w:type="auto"/>
            <w:shd w:val="clear" w:color="auto" w:fill="F2F2F2"/>
          </w:tcPr>
          <w:p w14:paraId="59AFD825"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Row No</w:t>
            </w:r>
          </w:p>
        </w:tc>
        <w:tc>
          <w:tcPr>
            <w:tcW w:w="0" w:type="auto"/>
            <w:shd w:val="clear" w:color="auto" w:fill="F2F2F2"/>
          </w:tcPr>
          <w:p w14:paraId="4A03ED9D"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Column No.</w:t>
            </w:r>
          </w:p>
        </w:tc>
        <w:tc>
          <w:tcPr>
            <w:tcW w:w="1670" w:type="dxa"/>
            <w:shd w:val="clear" w:color="auto" w:fill="F2F2F2"/>
          </w:tcPr>
          <w:p w14:paraId="13BF88A3"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Heading</w:t>
            </w:r>
          </w:p>
        </w:tc>
        <w:tc>
          <w:tcPr>
            <w:tcW w:w="2790" w:type="dxa"/>
            <w:shd w:val="clear" w:color="auto" w:fill="F2F2F2"/>
          </w:tcPr>
          <w:p w14:paraId="35E99E92"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Description</w:t>
            </w:r>
            <w:r w:rsidRPr="00B442EC">
              <w:rPr>
                <w:rFonts w:ascii="Calibri" w:hAnsi="Calibri" w:cs="Times New Roman"/>
                <w:b/>
                <w:bCs/>
                <w:color w:val="FF0000"/>
              </w:rPr>
              <w:t xml:space="preserve"> </w:t>
            </w:r>
          </w:p>
        </w:tc>
        <w:tc>
          <w:tcPr>
            <w:tcW w:w="1530" w:type="dxa"/>
            <w:shd w:val="clear" w:color="auto" w:fill="F2F2F2"/>
          </w:tcPr>
          <w:p w14:paraId="5E751A35"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 xml:space="preserve">Mapping </w:t>
            </w:r>
            <w:r w:rsidRPr="00B442EC">
              <w:rPr>
                <w:rFonts w:ascii="Calibri" w:hAnsi="Calibri" w:cs="Times New Roman"/>
                <w:b/>
                <w:bCs/>
              </w:rPr>
              <w:br/>
            </w:r>
          </w:p>
        </w:tc>
        <w:tc>
          <w:tcPr>
            <w:tcW w:w="1530" w:type="dxa"/>
            <w:shd w:val="clear" w:color="auto" w:fill="F2F2F2"/>
          </w:tcPr>
          <w:p w14:paraId="4D7B54EB"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Comments</w:t>
            </w:r>
          </w:p>
        </w:tc>
      </w:tr>
      <w:tr w:rsidR="00B442EC" w:rsidRPr="00B442EC" w14:paraId="0CD5E43B" w14:textId="77777777" w:rsidTr="0001430D">
        <w:trPr>
          <w:trHeight w:val="278"/>
        </w:trPr>
        <w:tc>
          <w:tcPr>
            <w:tcW w:w="0" w:type="auto"/>
          </w:tcPr>
          <w:p w14:paraId="3011C5F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w:t>
            </w:r>
          </w:p>
        </w:tc>
        <w:tc>
          <w:tcPr>
            <w:tcW w:w="0" w:type="auto"/>
          </w:tcPr>
          <w:p w14:paraId="34E3CD8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1670" w:type="dxa"/>
          </w:tcPr>
          <w:p w14:paraId="22515EA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Total assets</w:t>
            </w:r>
          </w:p>
        </w:tc>
        <w:tc>
          <w:tcPr>
            <w:tcW w:w="2790" w:type="dxa"/>
          </w:tcPr>
          <w:p w14:paraId="26A8407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Total Assets</w:t>
            </w:r>
          </w:p>
        </w:tc>
        <w:tc>
          <w:tcPr>
            <w:tcW w:w="1530" w:type="dxa"/>
          </w:tcPr>
          <w:p w14:paraId="1FBE30B5"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 100 Line 54</w:t>
            </w:r>
          </w:p>
        </w:tc>
        <w:tc>
          <w:tcPr>
            <w:tcW w:w="1530" w:type="dxa"/>
          </w:tcPr>
          <w:p w14:paraId="5E5F65EB" w14:textId="77777777" w:rsidR="00B442EC" w:rsidRPr="00B442EC" w:rsidRDefault="00B442EC" w:rsidP="00B442EC">
            <w:pPr>
              <w:spacing w:after="120" w:line="264" w:lineRule="auto"/>
              <w:contextualSpacing/>
              <w:jc w:val="both"/>
              <w:rPr>
                <w:rFonts w:ascii="Calibri" w:hAnsi="Calibri" w:cs="Times New Roman"/>
              </w:rPr>
            </w:pPr>
          </w:p>
        </w:tc>
      </w:tr>
      <w:tr w:rsidR="00B442EC" w:rsidRPr="00B442EC" w14:paraId="1A223D46" w14:textId="77777777" w:rsidTr="0001430D">
        <w:trPr>
          <w:trHeight w:val="517"/>
        </w:trPr>
        <w:tc>
          <w:tcPr>
            <w:tcW w:w="0" w:type="auto"/>
          </w:tcPr>
          <w:p w14:paraId="04A1689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2</w:t>
            </w:r>
          </w:p>
        </w:tc>
        <w:tc>
          <w:tcPr>
            <w:tcW w:w="0" w:type="auto"/>
          </w:tcPr>
          <w:p w14:paraId="3F35B1A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1670" w:type="dxa"/>
          </w:tcPr>
          <w:p w14:paraId="09EC72B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of which: interest-earning assets (including lease assets)</w:t>
            </w:r>
          </w:p>
        </w:tc>
        <w:tc>
          <w:tcPr>
            <w:tcW w:w="2790" w:type="dxa"/>
          </w:tcPr>
          <w:p w14:paraId="4EF9884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Total gross outstanding loans, advances, interest bearing securities (including government bonds), and lease assets measured at the end of each financial year</w:t>
            </w:r>
          </w:p>
        </w:tc>
        <w:tc>
          <w:tcPr>
            <w:tcW w:w="1530" w:type="dxa"/>
          </w:tcPr>
          <w:p w14:paraId="55EF1085"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BA100 Line 4, 5</w:t>
            </w:r>
          </w:p>
          <w:p w14:paraId="4F59A5A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BA100 Line 6, 7, 12</w:t>
            </w:r>
          </w:p>
          <w:p w14:paraId="3D3470E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 100 Line 30, 31, 37, 38</w:t>
            </w:r>
          </w:p>
        </w:tc>
        <w:tc>
          <w:tcPr>
            <w:tcW w:w="1530" w:type="dxa"/>
          </w:tcPr>
          <w:p w14:paraId="1FDD009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Line 6, 7, 12 are fully inclusive. Lines 30, 31, 37, 38 must only include sub-items that are interest earning.</w:t>
            </w:r>
          </w:p>
          <w:p w14:paraId="7C6CD8E0"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Interest earning cash balances must be included e.g., sub items of Lines 4, 5.</w:t>
            </w:r>
          </w:p>
          <w:p w14:paraId="76C90DC5" w14:textId="77777777" w:rsidR="00B442EC" w:rsidRPr="00B442EC" w:rsidRDefault="00B442EC" w:rsidP="00B442EC">
            <w:pPr>
              <w:spacing w:after="120" w:line="264" w:lineRule="auto"/>
              <w:contextualSpacing/>
              <w:jc w:val="both"/>
              <w:rPr>
                <w:rFonts w:ascii="Calibri" w:hAnsi="Calibri" w:cs="Times New Roman"/>
              </w:rPr>
            </w:pPr>
          </w:p>
        </w:tc>
      </w:tr>
    </w:tbl>
    <w:p w14:paraId="2E955FE7" w14:textId="77777777" w:rsidR="00B442EC" w:rsidRPr="00B442EC" w:rsidRDefault="00B442EC" w:rsidP="00B442EC">
      <w:pPr>
        <w:spacing w:after="120" w:line="264" w:lineRule="auto"/>
        <w:jc w:val="both"/>
        <w:rPr>
          <w:rFonts w:ascii="Calibri" w:eastAsia="Times New Roman" w:hAnsi="Calibri" w:cs="Times New Roman"/>
          <w:b/>
          <w:bCs/>
        </w:rPr>
      </w:pPr>
    </w:p>
    <w:p w14:paraId="338CE09C" w14:textId="77777777" w:rsidR="00B442EC" w:rsidRPr="00B442EC" w:rsidRDefault="00B442EC" w:rsidP="00B442EC">
      <w:pPr>
        <w:spacing w:after="120" w:line="264" w:lineRule="auto"/>
        <w:contextualSpacing/>
        <w:jc w:val="both"/>
        <w:rPr>
          <w:rFonts w:ascii="Calibri" w:eastAsia="Times New Roman" w:hAnsi="Calibri" w:cs="Times New Roman"/>
          <w:b/>
          <w:bCs/>
          <w:sz w:val="24"/>
          <w:szCs w:val="24"/>
        </w:rPr>
      </w:pPr>
      <w:r w:rsidRPr="00B442EC">
        <w:rPr>
          <w:rFonts w:ascii="Calibri" w:eastAsia="Times New Roman" w:hAnsi="Calibri" w:cs="Times New Roman"/>
          <w:b/>
          <w:bCs/>
          <w:sz w:val="24"/>
          <w:szCs w:val="24"/>
        </w:rPr>
        <w:t xml:space="preserve">Panel B: Income statement </w:t>
      </w:r>
    </w:p>
    <w:p w14:paraId="3E918349" w14:textId="77777777" w:rsidR="00B442EC" w:rsidRPr="00B442EC" w:rsidRDefault="00B442EC" w:rsidP="00B442EC">
      <w:pPr>
        <w:spacing w:after="120" w:line="264" w:lineRule="auto"/>
        <w:contextualSpacing/>
        <w:jc w:val="both"/>
        <w:rPr>
          <w:rFonts w:ascii="Calibri" w:eastAsia="Times New Roman" w:hAnsi="Calibri" w:cs="Times New Roman"/>
          <w:b/>
          <w:bCs/>
          <w:color w:val="FF0000"/>
        </w:rPr>
      </w:pPr>
    </w:p>
    <w:p w14:paraId="6F664D5A"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Panel B collects information on specific items of the income statement.</w:t>
      </w:r>
    </w:p>
    <w:p w14:paraId="42B25AA0" w14:textId="77777777" w:rsidR="00B442EC" w:rsidRPr="00B442EC" w:rsidRDefault="00B442EC" w:rsidP="00B442EC">
      <w:pPr>
        <w:spacing w:after="120" w:line="264" w:lineRule="auto"/>
        <w:ind w:left="720"/>
        <w:contextualSpacing/>
        <w:jc w:val="both"/>
        <w:rPr>
          <w:rFonts w:ascii="Calibri" w:eastAsia="Times New Roman" w:hAnsi="Calibri" w:cs="Times New Roman"/>
        </w:rPr>
      </w:pPr>
    </w:p>
    <w:tbl>
      <w:tblPr>
        <w:tblStyle w:val="TableGrid1"/>
        <w:tblW w:w="0" w:type="auto"/>
        <w:tblLook w:val="04A0" w:firstRow="1" w:lastRow="0" w:firstColumn="1" w:lastColumn="0" w:noHBand="0" w:noVBand="1"/>
      </w:tblPr>
      <w:tblGrid>
        <w:gridCol w:w="597"/>
        <w:gridCol w:w="870"/>
        <w:gridCol w:w="1453"/>
        <w:gridCol w:w="2035"/>
        <w:gridCol w:w="1067"/>
        <w:gridCol w:w="2994"/>
      </w:tblGrid>
      <w:tr w:rsidR="00B442EC" w:rsidRPr="00B442EC" w14:paraId="6EC0B36A" w14:textId="77777777" w:rsidTr="00B442EC">
        <w:trPr>
          <w:trHeight w:val="529"/>
          <w:tblHeader/>
        </w:trPr>
        <w:tc>
          <w:tcPr>
            <w:tcW w:w="0" w:type="auto"/>
            <w:shd w:val="clear" w:color="auto" w:fill="F2F2F2"/>
          </w:tcPr>
          <w:p w14:paraId="4F4B7960"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Row No</w:t>
            </w:r>
          </w:p>
        </w:tc>
        <w:tc>
          <w:tcPr>
            <w:tcW w:w="0" w:type="auto"/>
            <w:shd w:val="clear" w:color="auto" w:fill="F2F2F2"/>
          </w:tcPr>
          <w:p w14:paraId="1D7C3C22"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Column No.</w:t>
            </w:r>
          </w:p>
        </w:tc>
        <w:tc>
          <w:tcPr>
            <w:tcW w:w="0" w:type="auto"/>
            <w:shd w:val="clear" w:color="auto" w:fill="F2F2F2"/>
          </w:tcPr>
          <w:p w14:paraId="421B992D"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Heading</w:t>
            </w:r>
          </w:p>
        </w:tc>
        <w:tc>
          <w:tcPr>
            <w:tcW w:w="0" w:type="auto"/>
            <w:shd w:val="clear" w:color="auto" w:fill="F2F2F2"/>
          </w:tcPr>
          <w:p w14:paraId="37D02F5C"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Description</w:t>
            </w:r>
            <w:r w:rsidRPr="00B442EC">
              <w:rPr>
                <w:rFonts w:ascii="Calibri" w:hAnsi="Calibri" w:cs="Times New Roman"/>
                <w:b/>
                <w:bCs/>
                <w:color w:val="FF0000"/>
              </w:rPr>
              <w:t xml:space="preserve"> </w:t>
            </w:r>
            <w:r w:rsidRPr="00B442EC">
              <w:rPr>
                <w:rFonts w:ascii="Calibri" w:hAnsi="Calibri" w:cs="Times New Roman"/>
                <w:b/>
                <w:bCs/>
                <w:color w:val="FF0000"/>
              </w:rPr>
              <w:br/>
            </w:r>
          </w:p>
        </w:tc>
        <w:tc>
          <w:tcPr>
            <w:tcW w:w="0" w:type="auto"/>
            <w:shd w:val="clear" w:color="auto" w:fill="F2F2F2"/>
          </w:tcPr>
          <w:p w14:paraId="48B5B85C"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 xml:space="preserve">Mapping </w:t>
            </w:r>
            <w:r w:rsidRPr="00B442EC">
              <w:rPr>
                <w:rFonts w:ascii="Calibri" w:hAnsi="Calibri" w:cs="Times New Roman"/>
                <w:b/>
                <w:bCs/>
              </w:rPr>
              <w:br/>
            </w:r>
          </w:p>
        </w:tc>
        <w:tc>
          <w:tcPr>
            <w:tcW w:w="0" w:type="auto"/>
            <w:shd w:val="clear" w:color="auto" w:fill="F2F2F2"/>
          </w:tcPr>
          <w:p w14:paraId="7E6E7663"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Comments</w:t>
            </w:r>
          </w:p>
        </w:tc>
      </w:tr>
      <w:tr w:rsidR="00B442EC" w:rsidRPr="00B442EC" w14:paraId="3B575348" w14:textId="77777777" w:rsidTr="0001430D">
        <w:trPr>
          <w:trHeight w:val="433"/>
        </w:trPr>
        <w:tc>
          <w:tcPr>
            <w:tcW w:w="0" w:type="auto"/>
            <w:shd w:val="clear" w:color="auto" w:fill="auto"/>
          </w:tcPr>
          <w:p w14:paraId="71AFE8A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4</w:t>
            </w:r>
          </w:p>
        </w:tc>
        <w:tc>
          <w:tcPr>
            <w:tcW w:w="0" w:type="auto"/>
            <w:shd w:val="clear" w:color="auto" w:fill="auto"/>
          </w:tcPr>
          <w:p w14:paraId="047D7EAE"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shd w:val="clear" w:color="auto" w:fill="auto"/>
          </w:tcPr>
          <w:p w14:paraId="5D71803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Gross Income</w:t>
            </w:r>
          </w:p>
        </w:tc>
        <w:tc>
          <w:tcPr>
            <w:tcW w:w="0" w:type="auto"/>
            <w:shd w:val="clear" w:color="auto" w:fill="auto"/>
          </w:tcPr>
          <w:p w14:paraId="6651E31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c>
          <w:tcPr>
            <w:tcW w:w="0" w:type="auto"/>
            <w:shd w:val="clear" w:color="auto" w:fill="auto"/>
          </w:tcPr>
          <w:p w14:paraId="6E814935"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Reconcile to the BA120 line 65</w:t>
            </w:r>
          </w:p>
        </w:tc>
        <w:tc>
          <w:tcPr>
            <w:tcW w:w="0" w:type="auto"/>
            <w:shd w:val="clear" w:color="auto" w:fill="auto"/>
          </w:tcPr>
          <w:p w14:paraId="70E27960" w14:textId="77777777" w:rsidR="00B442EC" w:rsidRPr="00B442EC" w:rsidRDefault="00B442EC" w:rsidP="00B442EC">
            <w:pPr>
              <w:spacing w:after="120" w:line="264" w:lineRule="auto"/>
              <w:contextualSpacing/>
              <w:jc w:val="both"/>
              <w:rPr>
                <w:rFonts w:ascii="Calibri" w:hAnsi="Calibri" w:cs="Times New Roman"/>
              </w:rPr>
            </w:pPr>
          </w:p>
        </w:tc>
      </w:tr>
      <w:tr w:rsidR="00B442EC" w:rsidRPr="00B442EC" w14:paraId="24BE6854" w14:textId="77777777" w:rsidTr="0001430D">
        <w:trPr>
          <w:trHeight w:val="517"/>
        </w:trPr>
        <w:tc>
          <w:tcPr>
            <w:tcW w:w="0" w:type="auto"/>
            <w:shd w:val="clear" w:color="auto" w:fill="auto"/>
          </w:tcPr>
          <w:p w14:paraId="2022D14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5</w:t>
            </w:r>
          </w:p>
        </w:tc>
        <w:tc>
          <w:tcPr>
            <w:tcW w:w="0" w:type="auto"/>
            <w:shd w:val="clear" w:color="auto" w:fill="auto"/>
          </w:tcPr>
          <w:p w14:paraId="72C3DF71"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shd w:val="clear" w:color="auto" w:fill="auto"/>
          </w:tcPr>
          <w:p w14:paraId="5F5FF0E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Interest income</w:t>
            </w:r>
          </w:p>
        </w:tc>
        <w:tc>
          <w:tcPr>
            <w:tcW w:w="0" w:type="auto"/>
            <w:shd w:val="clear" w:color="auto" w:fill="auto"/>
          </w:tcPr>
          <w:p w14:paraId="7EA9BBA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Interest income from all financial assets and other interest income (includes interest income from financial and operating leases and profits from leased assets)</w:t>
            </w:r>
          </w:p>
        </w:tc>
        <w:tc>
          <w:tcPr>
            <w:tcW w:w="0" w:type="auto"/>
            <w:shd w:val="clear" w:color="auto" w:fill="auto"/>
          </w:tcPr>
          <w:p w14:paraId="50922CB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 120 Line 1</w:t>
            </w:r>
          </w:p>
        </w:tc>
        <w:tc>
          <w:tcPr>
            <w:tcW w:w="0" w:type="auto"/>
            <w:shd w:val="clear" w:color="auto" w:fill="auto"/>
          </w:tcPr>
          <w:p w14:paraId="12CB851D" w14:textId="77777777" w:rsidR="00B442EC" w:rsidRPr="00B442EC" w:rsidRDefault="00B442EC" w:rsidP="00B442EC">
            <w:pPr>
              <w:spacing w:after="120" w:line="264" w:lineRule="auto"/>
              <w:contextualSpacing/>
              <w:jc w:val="both"/>
              <w:rPr>
                <w:rFonts w:ascii="Calibri" w:hAnsi="Calibri" w:cs="Times New Roman"/>
              </w:rPr>
            </w:pPr>
          </w:p>
        </w:tc>
      </w:tr>
      <w:tr w:rsidR="00B442EC" w:rsidRPr="00B442EC" w14:paraId="5F00BB0A" w14:textId="77777777" w:rsidTr="0001430D">
        <w:trPr>
          <w:trHeight w:val="517"/>
        </w:trPr>
        <w:tc>
          <w:tcPr>
            <w:tcW w:w="0" w:type="auto"/>
          </w:tcPr>
          <w:p w14:paraId="37B51A3C"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6</w:t>
            </w:r>
          </w:p>
        </w:tc>
        <w:tc>
          <w:tcPr>
            <w:tcW w:w="0" w:type="auto"/>
          </w:tcPr>
          <w:p w14:paraId="39BC40B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tcPr>
          <w:p w14:paraId="060BB34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of which: interest-earning assets (including lease assets)</w:t>
            </w:r>
          </w:p>
        </w:tc>
        <w:tc>
          <w:tcPr>
            <w:tcW w:w="0" w:type="auto"/>
          </w:tcPr>
          <w:p w14:paraId="09E97BDE" w14:textId="77777777" w:rsidR="00B442EC" w:rsidRPr="00B442EC" w:rsidRDefault="00B442EC" w:rsidP="00B442EC">
            <w:pPr>
              <w:spacing w:after="120" w:line="264" w:lineRule="auto"/>
              <w:contextualSpacing/>
              <w:jc w:val="both"/>
              <w:rPr>
                <w:rFonts w:ascii="Calibri" w:hAnsi="Calibri" w:cs="Times New Roman"/>
              </w:rPr>
            </w:pPr>
          </w:p>
        </w:tc>
        <w:tc>
          <w:tcPr>
            <w:tcW w:w="0" w:type="auto"/>
          </w:tcPr>
          <w:p w14:paraId="5D41BBA7" w14:textId="77777777" w:rsidR="00B442EC" w:rsidRPr="00B442EC" w:rsidRDefault="00B442EC" w:rsidP="00B442EC">
            <w:pPr>
              <w:spacing w:after="120" w:line="264" w:lineRule="auto"/>
              <w:contextualSpacing/>
              <w:jc w:val="both"/>
              <w:rPr>
                <w:rFonts w:ascii="Calibri" w:hAnsi="Calibri" w:cs="Times New Roman"/>
              </w:rPr>
            </w:pPr>
          </w:p>
        </w:tc>
        <w:tc>
          <w:tcPr>
            <w:tcW w:w="0" w:type="auto"/>
          </w:tcPr>
          <w:p w14:paraId="3DC8E4DD" w14:textId="77777777" w:rsidR="00B442EC" w:rsidRPr="00B442EC" w:rsidRDefault="00B442EC" w:rsidP="00B442EC">
            <w:pPr>
              <w:spacing w:after="120" w:line="264" w:lineRule="auto"/>
              <w:contextualSpacing/>
              <w:jc w:val="both"/>
              <w:rPr>
                <w:rFonts w:ascii="Calibri" w:hAnsi="Calibri" w:cs="Times New Roman"/>
              </w:rPr>
            </w:pPr>
          </w:p>
        </w:tc>
      </w:tr>
      <w:tr w:rsidR="00B442EC" w:rsidRPr="00B442EC" w14:paraId="3A08C990" w14:textId="77777777" w:rsidTr="0001430D">
        <w:trPr>
          <w:trHeight w:val="517"/>
        </w:trPr>
        <w:tc>
          <w:tcPr>
            <w:tcW w:w="0" w:type="auto"/>
          </w:tcPr>
          <w:p w14:paraId="3A1456C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7</w:t>
            </w:r>
          </w:p>
        </w:tc>
        <w:tc>
          <w:tcPr>
            <w:tcW w:w="0" w:type="auto"/>
          </w:tcPr>
          <w:p w14:paraId="395222EE"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tcPr>
          <w:p w14:paraId="1F12C9F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Interest expenses of which:</w:t>
            </w:r>
          </w:p>
        </w:tc>
        <w:tc>
          <w:tcPr>
            <w:tcW w:w="0" w:type="auto"/>
          </w:tcPr>
          <w:p w14:paraId="2EDC04B1"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 xml:space="preserve">Interest expenses from all financial liabilities and other interest expenses </w:t>
            </w:r>
            <w:r w:rsidRPr="00B442EC">
              <w:rPr>
                <w:rFonts w:ascii="Calibri" w:hAnsi="Calibri" w:cs="Times New Roman"/>
              </w:rPr>
              <w:lastRenderedPageBreak/>
              <w:t>(includes interest expense from financial and operating leases, losses, depreciation, and impairment of operating leased assets)</w:t>
            </w:r>
          </w:p>
        </w:tc>
        <w:tc>
          <w:tcPr>
            <w:tcW w:w="0" w:type="auto"/>
          </w:tcPr>
          <w:p w14:paraId="49ACD7F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lastRenderedPageBreak/>
              <w:t>BA 120 Line 16</w:t>
            </w:r>
          </w:p>
        </w:tc>
        <w:tc>
          <w:tcPr>
            <w:tcW w:w="0" w:type="auto"/>
          </w:tcPr>
          <w:p w14:paraId="06E5D428" w14:textId="77777777" w:rsidR="00B442EC" w:rsidRPr="00B442EC" w:rsidRDefault="00B442EC" w:rsidP="00B442EC">
            <w:pPr>
              <w:spacing w:after="120" w:line="264" w:lineRule="auto"/>
              <w:contextualSpacing/>
              <w:jc w:val="both"/>
              <w:rPr>
                <w:rFonts w:ascii="Calibri" w:hAnsi="Calibri" w:cs="Times New Roman"/>
              </w:rPr>
            </w:pPr>
          </w:p>
        </w:tc>
      </w:tr>
      <w:tr w:rsidR="00B442EC" w:rsidRPr="00B442EC" w14:paraId="340EB53D" w14:textId="77777777" w:rsidTr="0001430D">
        <w:trPr>
          <w:trHeight w:val="517"/>
        </w:trPr>
        <w:tc>
          <w:tcPr>
            <w:tcW w:w="0" w:type="auto"/>
          </w:tcPr>
          <w:p w14:paraId="7E297AA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w:t>
            </w:r>
          </w:p>
        </w:tc>
        <w:tc>
          <w:tcPr>
            <w:tcW w:w="0" w:type="auto"/>
          </w:tcPr>
          <w:p w14:paraId="1852E3E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tcPr>
          <w:p w14:paraId="3EFE1EB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Expenses from financial and operational lease</w:t>
            </w:r>
          </w:p>
        </w:tc>
        <w:tc>
          <w:tcPr>
            <w:tcW w:w="0" w:type="auto"/>
          </w:tcPr>
          <w:p w14:paraId="35ED0761" w14:textId="77777777" w:rsidR="00B442EC" w:rsidRPr="00B442EC" w:rsidRDefault="00B442EC" w:rsidP="00B442EC">
            <w:pPr>
              <w:spacing w:after="120" w:line="264" w:lineRule="auto"/>
              <w:contextualSpacing/>
              <w:jc w:val="both"/>
              <w:rPr>
                <w:rFonts w:ascii="Calibri" w:hAnsi="Calibri" w:cs="Times New Roman"/>
              </w:rPr>
            </w:pPr>
          </w:p>
        </w:tc>
        <w:tc>
          <w:tcPr>
            <w:tcW w:w="0" w:type="auto"/>
          </w:tcPr>
          <w:p w14:paraId="6140F738" w14:textId="77777777" w:rsidR="00B442EC" w:rsidRPr="00B442EC" w:rsidRDefault="00B442EC" w:rsidP="00B442EC">
            <w:pPr>
              <w:spacing w:after="120" w:line="264" w:lineRule="auto"/>
              <w:contextualSpacing/>
              <w:jc w:val="both"/>
              <w:rPr>
                <w:rFonts w:ascii="Calibri" w:hAnsi="Calibri" w:cs="Times New Roman"/>
              </w:rPr>
            </w:pPr>
          </w:p>
        </w:tc>
        <w:tc>
          <w:tcPr>
            <w:tcW w:w="0" w:type="auto"/>
          </w:tcPr>
          <w:p w14:paraId="1458F72A" w14:textId="77777777" w:rsidR="00B442EC" w:rsidRPr="00B442EC" w:rsidRDefault="00B442EC" w:rsidP="00B442EC">
            <w:pPr>
              <w:spacing w:after="120" w:line="264" w:lineRule="auto"/>
              <w:contextualSpacing/>
              <w:jc w:val="both"/>
              <w:rPr>
                <w:rFonts w:ascii="Calibri" w:hAnsi="Calibri" w:cs="Times New Roman"/>
              </w:rPr>
            </w:pPr>
          </w:p>
        </w:tc>
      </w:tr>
      <w:tr w:rsidR="00B442EC" w:rsidRPr="00B442EC" w14:paraId="7B105054" w14:textId="77777777" w:rsidTr="0001430D">
        <w:trPr>
          <w:trHeight w:val="517"/>
        </w:trPr>
        <w:tc>
          <w:tcPr>
            <w:tcW w:w="0" w:type="auto"/>
            <w:shd w:val="clear" w:color="auto" w:fill="auto"/>
          </w:tcPr>
          <w:p w14:paraId="334BBAB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9</w:t>
            </w:r>
          </w:p>
        </w:tc>
        <w:tc>
          <w:tcPr>
            <w:tcW w:w="0" w:type="auto"/>
            <w:shd w:val="clear" w:color="auto" w:fill="auto"/>
          </w:tcPr>
          <w:p w14:paraId="7B475C0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shd w:val="clear" w:color="auto" w:fill="auto"/>
          </w:tcPr>
          <w:p w14:paraId="7BA2F01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Absolute value of net interest income (including financial and operational lease)</w:t>
            </w:r>
          </w:p>
        </w:tc>
        <w:tc>
          <w:tcPr>
            <w:tcW w:w="0" w:type="auto"/>
            <w:shd w:val="clear" w:color="auto" w:fill="auto"/>
          </w:tcPr>
          <w:p w14:paraId="34E21B0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c>
          <w:tcPr>
            <w:tcW w:w="0" w:type="auto"/>
            <w:shd w:val="clear" w:color="auto" w:fill="auto"/>
          </w:tcPr>
          <w:p w14:paraId="613449BD" w14:textId="77777777" w:rsidR="00B442EC" w:rsidRPr="00B442EC" w:rsidRDefault="00B442EC" w:rsidP="00B442EC">
            <w:pPr>
              <w:spacing w:after="120" w:line="264" w:lineRule="auto"/>
              <w:contextualSpacing/>
              <w:jc w:val="both"/>
              <w:rPr>
                <w:rFonts w:ascii="Calibri" w:hAnsi="Calibri" w:cs="Times New Roman"/>
              </w:rPr>
            </w:pPr>
          </w:p>
        </w:tc>
        <w:tc>
          <w:tcPr>
            <w:tcW w:w="0" w:type="auto"/>
            <w:shd w:val="clear" w:color="auto" w:fill="auto"/>
          </w:tcPr>
          <w:p w14:paraId="2DFDC236" w14:textId="77777777" w:rsidR="00B442EC" w:rsidRPr="00B442EC" w:rsidRDefault="00B442EC" w:rsidP="00B442EC">
            <w:pPr>
              <w:spacing w:after="120" w:line="264" w:lineRule="auto"/>
              <w:contextualSpacing/>
              <w:jc w:val="both"/>
              <w:rPr>
                <w:rFonts w:ascii="Calibri" w:hAnsi="Calibri" w:cs="Times New Roman"/>
              </w:rPr>
            </w:pPr>
          </w:p>
        </w:tc>
      </w:tr>
      <w:tr w:rsidR="00B442EC" w:rsidRPr="00B442EC" w14:paraId="4510DC9A" w14:textId="77777777" w:rsidTr="0001430D">
        <w:trPr>
          <w:trHeight w:val="517"/>
        </w:trPr>
        <w:tc>
          <w:tcPr>
            <w:tcW w:w="0" w:type="auto"/>
            <w:shd w:val="clear" w:color="auto" w:fill="auto"/>
          </w:tcPr>
          <w:p w14:paraId="3BE6A7FE"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0" w:type="auto"/>
            <w:shd w:val="clear" w:color="auto" w:fill="auto"/>
          </w:tcPr>
          <w:p w14:paraId="1AC7905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shd w:val="clear" w:color="auto" w:fill="auto"/>
          </w:tcPr>
          <w:p w14:paraId="74F8537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Dividend income</w:t>
            </w:r>
          </w:p>
        </w:tc>
        <w:tc>
          <w:tcPr>
            <w:tcW w:w="0" w:type="auto"/>
            <w:shd w:val="clear" w:color="auto" w:fill="auto"/>
          </w:tcPr>
          <w:p w14:paraId="75A790A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Dividend income from investments in stocks and funds not consolidated in the bank’s financial statements, including dividend income from non-consolidated subsidiaries, associates, and joint ventures.</w:t>
            </w:r>
          </w:p>
        </w:tc>
        <w:tc>
          <w:tcPr>
            <w:tcW w:w="0" w:type="auto"/>
            <w:shd w:val="clear" w:color="auto" w:fill="auto"/>
          </w:tcPr>
          <w:p w14:paraId="3864C04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 120 Line 46</w:t>
            </w:r>
          </w:p>
        </w:tc>
        <w:tc>
          <w:tcPr>
            <w:tcW w:w="0" w:type="auto"/>
            <w:shd w:val="clear" w:color="auto" w:fill="auto"/>
          </w:tcPr>
          <w:p w14:paraId="0C30BEB5"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Adjust for Insurance Business (Insurance Brokerage/ commission as part of banking business is included)</w:t>
            </w:r>
          </w:p>
        </w:tc>
      </w:tr>
      <w:tr w:rsidR="00B442EC" w:rsidRPr="00B442EC" w14:paraId="799C99C8" w14:textId="77777777" w:rsidTr="0001430D">
        <w:trPr>
          <w:trHeight w:val="517"/>
        </w:trPr>
        <w:tc>
          <w:tcPr>
            <w:tcW w:w="0" w:type="auto"/>
          </w:tcPr>
          <w:p w14:paraId="32EBD84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11</w:t>
            </w:r>
          </w:p>
        </w:tc>
        <w:tc>
          <w:tcPr>
            <w:tcW w:w="0" w:type="auto"/>
          </w:tcPr>
          <w:p w14:paraId="1CD5484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tcPr>
          <w:p w14:paraId="3D42AAE1"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Fee and commission income</w:t>
            </w:r>
          </w:p>
        </w:tc>
        <w:tc>
          <w:tcPr>
            <w:tcW w:w="0" w:type="auto"/>
          </w:tcPr>
          <w:p w14:paraId="41A2407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Income received from providing advice and services. Includes income received by the bank as an outsourcer of financial services</w:t>
            </w:r>
          </w:p>
        </w:tc>
        <w:tc>
          <w:tcPr>
            <w:tcW w:w="0" w:type="auto"/>
          </w:tcPr>
          <w:p w14:paraId="0890276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 120 Line 29</w:t>
            </w:r>
          </w:p>
        </w:tc>
        <w:tc>
          <w:tcPr>
            <w:tcW w:w="0" w:type="auto"/>
          </w:tcPr>
          <w:p w14:paraId="1D44F5F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Adjust for Insurance Business (Insurance Brokerage/ commission as part of banking business is included)</w:t>
            </w:r>
          </w:p>
        </w:tc>
      </w:tr>
      <w:tr w:rsidR="00B442EC" w:rsidRPr="00B442EC" w14:paraId="3D4765F9" w14:textId="77777777" w:rsidTr="0001430D">
        <w:trPr>
          <w:trHeight w:val="517"/>
        </w:trPr>
        <w:tc>
          <w:tcPr>
            <w:tcW w:w="0" w:type="auto"/>
          </w:tcPr>
          <w:p w14:paraId="07C48F70"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12</w:t>
            </w:r>
          </w:p>
        </w:tc>
        <w:tc>
          <w:tcPr>
            <w:tcW w:w="0" w:type="auto"/>
          </w:tcPr>
          <w:p w14:paraId="1ABF5FE1"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tcPr>
          <w:p w14:paraId="3ACE0A50"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Fee and commission expenses</w:t>
            </w:r>
          </w:p>
        </w:tc>
        <w:tc>
          <w:tcPr>
            <w:tcW w:w="0" w:type="auto"/>
          </w:tcPr>
          <w:p w14:paraId="0D6E752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Expenses paid for receiving advice and services. Includes outsourcing fees paid by the bank for the supply of financial services, but not outsourcing fees paid for the supply of non-financial services (e.g., logistical, IT, human resources)</w:t>
            </w:r>
          </w:p>
        </w:tc>
        <w:tc>
          <w:tcPr>
            <w:tcW w:w="0" w:type="auto"/>
          </w:tcPr>
          <w:p w14:paraId="61914E0E"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 120 Line 36</w:t>
            </w:r>
          </w:p>
        </w:tc>
        <w:tc>
          <w:tcPr>
            <w:tcW w:w="0" w:type="auto"/>
          </w:tcPr>
          <w:p w14:paraId="1E6C56B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Adjust for Insurance Business (Insurance Brokerage/ commission as part of banking business is included)</w:t>
            </w:r>
          </w:p>
        </w:tc>
      </w:tr>
      <w:tr w:rsidR="00B442EC" w:rsidRPr="00B442EC" w14:paraId="04E62454" w14:textId="77777777" w:rsidTr="0001430D">
        <w:trPr>
          <w:trHeight w:val="517"/>
        </w:trPr>
        <w:tc>
          <w:tcPr>
            <w:tcW w:w="0" w:type="auto"/>
          </w:tcPr>
          <w:p w14:paraId="771FE3D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lastRenderedPageBreak/>
              <w:t>13</w:t>
            </w:r>
          </w:p>
        </w:tc>
        <w:tc>
          <w:tcPr>
            <w:tcW w:w="0" w:type="auto"/>
          </w:tcPr>
          <w:p w14:paraId="1D74758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tcPr>
          <w:p w14:paraId="17CDFF1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Net profit (loss) on financial operations (trading book)</w:t>
            </w:r>
          </w:p>
        </w:tc>
        <w:tc>
          <w:tcPr>
            <w:tcW w:w="0" w:type="auto"/>
          </w:tcPr>
          <w:p w14:paraId="54BF9B3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 Net profit/loss on trading assets and trading liabilities (derivatives, debt securities, equity securities, loans and advances, short positions, other assets, and liabilities)</w:t>
            </w:r>
          </w:p>
          <w:p w14:paraId="55B1D3C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 Net profit/loss from hedge accounting</w:t>
            </w:r>
          </w:p>
          <w:p w14:paraId="221795B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 Net profit/loss from exchange differences</w:t>
            </w:r>
          </w:p>
        </w:tc>
        <w:tc>
          <w:tcPr>
            <w:tcW w:w="0" w:type="auto"/>
          </w:tcPr>
          <w:p w14:paraId="7DD6C44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 120 Line 49</w:t>
            </w:r>
          </w:p>
        </w:tc>
        <w:tc>
          <w:tcPr>
            <w:tcW w:w="0" w:type="auto"/>
          </w:tcPr>
          <w:p w14:paraId="33349FE0"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Split of banking and trading only available for Bank Solo. Consolidated and Group splits to be investigated.</w:t>
            </w:r>
          </w:p>
        </w:tc>
      </w:tr>
      <w:tr w:rsidR="00B442EC" w:rsidRPr="00B442EC" w14:paraId="5C68C6B9" w14:textId="77777777" w:rsidTr="0001430D">
        <w:trPr>
          <w:trHeight w:val="517"/>
        </w:trPr>
        <w:tc>
          <w:tcPr>
            <w:tcW w:w="0" w:type="auto"/>
          </w:tcPr>
          <w:p w14:paraId="0C0C56B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14</w:t>
            </w:r>
          </w:p>
        </w:tc>
        <w:tc>
          <w:tcPr>
            <w:tcW w:w="0" w:type="auto"/>
          </w:tcPr>
          <w:p w14:paraId="5067D77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tcPr>
          <w:p w14:paraId="3AC2BFE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Net profit (loss) on financial operations (non-trading book)</w:t>
            </w:r>
          </w:p>
        </w:tc>
        <w:tc>
          <w:tcPr>
            <w:tcW w:w="0" w:type="auto"/>
          </w:tcPr>
          <w:p w14:paraId="5C491DE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 Net profit/loss on financial assets and liabilities measured at fair value through profit and loss</w:t>
            </w:r>
          </w:p>
          <w:p w14:paraId="7C0CA245"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 Realised gains/losses on financial assets and liabilities not measured at fair value through profit and loss (loans and advances, assets available for sale, assets held to maturity, financial liabilities measured at amortised cost)</w:t>
            </w:r>
          </w:p>
          <w:p w14:paraId="0BBA273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 Net profit/loss from hedge accounting</w:t>
            </w:r>
          </w:p>
          <w:p w14:paraId="7F7FC72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 Net profit/loss from exchange differences</w:t>
            </w:r>
          </w:p>
        </w:tc>
        <w:tc>
          <w:tcPr>
            <w:tcW w:w="0" w:type="auto"/>
          </w:tcPr>
          <w:p w14:paraId="64079F9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 120 Line 49, 56</w:t>
            </w:r>
          </w:p>
        </w:tc>
        <w:tc>
          <w:tcPr>
            <w:tcW w:w="0" w:type="auto"/>
          </w:tcPr>
          <w:p w14:paraId="138188AC"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Split of banking and trading only available for Bank Solo. Consolidated and Group splits to be investigated.</w:t>
            </w:r>
          </w:p>
          <w:p w14:paraId="6B64DFC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Banks to consider inclusion of items in BA120 Line 56.</w:t>
            </w:r>
          </w:p>
          <w:p w14:paraId="17EA0FC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If Line 56 is included, then exclude line 58 (Insurance business)</w:t>
            </w:r>
          </w:p>
          <w:p w14:paraId="096C964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If line 56 is included then exclude Line 60 (Per guideline excluded - Impairment/reversal of impairment (e.g., on financial assets, non-financial assets, investments in subsidiaries, joint ventures, and associates).</w:t>
            </w:r>
          </w:p>
          <w:p w14:paraId="25CD9F66" w14:textId="77777777" w:rsidR="00B442EC" w:rsidRPr="00B442EC" w:rsidRDefault="00B442EC" w:rsidP="00B442EC">
            <w:pPr>
              <w:spacing w:after="120" w:line="264" w:lineRule="auto"/>
              <w:contextualSpacing/>
              <w:jc w:val="both"/>
              <w:rPr>
                <w:rFonts w:ascii="Calibri" w:hAnsi="Calibri" w:cs="Times New Roman"/>
              </w:rPr>
            </w:pPr>
          </w:p>
        </w:tc>
      </w:tr>
      <w:tr w:rsidR="00B442EC" w:rsidRPr="00B442EC" w14:paraId="21F075C1" w14:textId="77777777" w:rsidTr="0001430D">
        <w:trPr>
          <w:trHeight w:val="517"/>
        </w:trPr>
        <w:tc>
          <w:tcPr>
            <w:tcW w:w="0" w:type="auto"/>
          </w:tcPr>
          <w:p w14:paraId="3A9C89A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15</w:t>
            </w:r>
          </w:p>
        </w:tc>
        <w:tc>
          <w:tcPr>
            <w:tcW w:w="0" w:type="auto"/>
          </w:tcPr>
          <w:p w14:paraId="225A0C2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tcPr>
          <w:p w14:paraId="73914CB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Other operating income</w:t>
            </w:r>
          </w:p>
        </w:tc>
        <w:tc>
          <w:tcPr>
            <w:tcW w:w="0" w:type="auto"/>
          </w:tcPr>
          <w:p w14:paraId="2839282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Income from ordinary banking operations not included in other BI items but of similar nature (income from operating leases should be excluded)</w:t>
            </w:r>
          </w:p>
        </w:tc>
        <w:tc>
          <w:tcPr>
            <w:tcW w:w="0" w:type="auto"/>
          </w:tcPr>
          <w:p w14:paraId="33C63D01"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BA 120 Line 61</w:t>
            </w:r>
          </w:p>
        </w:tc>
        <w:tc>
          <w:tcPr>
            <w:tcW w:w="0" w:type="auto"/>
          </w:tcPr>
          <w:p w14:paraId="571F2B3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Line 63 "Other" will have to analysed for underlying GL items that require inclusion.</w:t>
            </w:r>
          </w:p>
          <w:p w14:paraId="61CA1E1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From line 63 remove all items related to Insurance.</w:t>
            </w:r>
          </w:p>
        </w:tc>
      </w:tr>
      <w:tr w:rsidR="00B442EC" w:rsidRPr="00B442EC" w14:paraId="4136E40D" w14:textId="77777777" w:rsidTr="0001430D">
        <w:trPr>
          <w:trHeight w:val="517"/>
        </w:trPr>
        <w:tc>
          <w:tcPr>
            <w:tcW w:w="0" w:type="auto"/>
          </w:tcPr>
          <w:p w14:paraId="20E21F1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16</w:t>
            </w:r>
          </w:p>
        </w:tc>
        <w:tc>
          <w:tcPr>
            <w:tcW w:w="0" w:type="auto"/>
          </w:tcPr>
          <w:p w14:paraId="1DCF951E"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tcPr>
          <w:p w14:paraId="3F98589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Net adjustments to gross income</w:t>
            </w:r>
          </w:p>
        </w:tc>
        <w:tc>
          <w:tcPr>
            <w:tcW w:w="0" w:type="auto"/>
          </w:tcPr>
          <w:p w14:paraId="528C927E" w14:textId="77777777" w:rsidR="00B442EC" w:rsidRPr="00B442EC" w:rsidRDefault="00B442EC" w:rsidP="00B442EC">
            <w:pPr>
              <w:spacing w:after="120" w:line="264" w:lineRule="auto"/>
              <w:contextualSpacing/>
              <w:jc w:val="both"/>
              <w:rPr>
                <w:rFonts w:ascii="Calibri" w:hAnsi="Calibri" w:cs="Times New Roman"/>
              </w:rPr>
            </w:pPr>
          </w:p>
        </w:tc>
        <w:tc>
          <w:tcPr>
            <w:tcW w:w="0" w:type="auto"/>
          </w:tcPr>
          <w:p w14:paraId="75DCD798" w14:textId="77777777" w:rsidR="00B442EC" w:rsidRPr="00B442EC" w:rsidRDefault="00B442EC" w:rsidP="00B442EC">
            <w:pPr>
              <w:spacing w:after="120" w:line="264" w:lineRule="auto"/>
              <w:contextualSpacing/>
              <w:jc w:val="both"/>
              <w:rPr>
                <w:rFonts w:ascii="Calibri" w:hAnsi="Calibri" w:cs="Times New Roman"/>
              </w:rPr>
            </w:pPr>
          </w:p>
        </w:tc>
        <w:tc>
          <w:tcPr>
            <w:tcW w:w="0" w:type="auto"/>
          </w:tcPr>
          <w:p w14:paraId="3447CAAB" w14:textId="77777777" w:rsidR="00B442EC" w:rsidRPr="00B442EC" w:rsidRDefault="00B442EC" w:rsidP="00B442EC">
            <w:pPr>
              <w:spacing w:after="120" w:line="264" w:lineRule="auto"/>
              <w:contextualSpacing/>
              <w:jc w:val="both"/>
              <w:rPr>
                <w:rFonts w:ascii="Calibri" w:hAnsi="Calibri" w:cs="Times New Roman"/>
              </w:rPr>
            </w:pPr>
          </w:p>
        </w:tc>
      </w:tr>
      <w:tr w:rsidR="00B442EC" w:rsidRPr="00B442EC" w14:paraId="0FEB1AB3" w14:textId="77777777" w:rsidTr="0001430D">
        <w:trPr>
          <w:trHeight w:val="517"/>
        </w:trPr>
        <w:tc>
          <w:tcPr>
            <w:tcW w:w="0" w:type="auto"/>
          </w:tcPr>
          <w:p w14:paraId="71D7B01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17</w:t>
            </w:r>
          </w:p>
        </w:tc>
        <w:tc>
          <w:tcPr>
            <w:tcW w:w="0" w:type="auto"/>
          </w:tcPr>
          <w:p w14:paraId="7A8A8B3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8-10</w:t>
            </w:r>
          </w:p>
        </w:tc>
        <w:tc>
          <w:tcPr>
            <w:tcW w:w="0" w:type="auto"/>
          </w:tcPr>
          <w:p w14:paraId="300B8D61"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Other operating expenses</w:t>
            </w:r>
          </w:p>
        </w:tc>
        <w:tc>
          <w:tcPr>
            <w:tcW w:w="0" w:type="auto"/>
          </w:tcPr>
          <w:p w14:paraId="463B9855"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 xml:space="preserve">Expenses and losses from ordinary banking operations not included in other BI </w:t>
            </w:r>
            <w:r w:rsidRPr="00B442EC">
              <w:rPr>
                <w:rFonts w:ascii="Calibri" w:hAnsi="Calibri" w:cs="Times New Roman"/>
              </w:rPr>
              <w:lastRenderedPageBreak/>
              <w:t>items but of similar nature and from operational loss events (expenses from operating leases should be excluded)</w:t>
            </w:r>
          </w:p>
        </w:tc>
        <w:tc>
          <w:tcPr>
            <w:tcW w:w="0" w:type="auto"/>
          </w:tcPr>
          <w:p w14:paraId="774FC36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lastRenderedPageBreak/>
              <w:t>BA 120 Line 72, 76</w:t>
            </w:r>
          </w:p>
          <w:p w14:paraId="4A082E0B" w14:textId="77777777" w:rsidR="00B442EC" w:rsidRPr="00B442EC" w:rsidRDefault="00B442EC" w:rsidP="00B442EC">
            <w:pPr>
              <w:spacing w:after="120" w:line="264" w:lineRule="auto"/>
              <w:contextualSpacing/>
              <w:jc w:val="both"/>
              <w:rPr>
                <w:rFonts w:ascii="Calibri" w:hAnsi="Calibri" w:cs="Times New Roman"/>
              </w:rPr>
            </w:pPr>
          </w:p>
        </w:tc>
        <w:tc>
          <w:tcPr>
            <w:tcW w:w="0" w:type="auto"/>
          </w:tcPr>
          <w:p w14:paraId="36DB3DEE"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Line 76 "Other" will have to be analysed for underlying GL items.</w:t>
            </w:r>
          </w:p>
          <w:p w14:paraId="13E3967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lastRenderedPageBreak/>
              <w:t>All items related to Operational Risk provisions and losses must be included.</w:t>
            </w:r>
          </w:p>
          <w:p w14:paraId="1D0F7C1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Expenses relating to operational leases must be excluded.</w:t>
            </w:r>
          </w:p>
          <w:p w14:paraId="76184EA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Depreciation/amortisation of tangible and intangible assets must be excluded.</w:t>
            </w:r>
          </w:p>
          <w:p w14:paraId="1D8F384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All administrative expenses must be excluded.</w:t>
            </w:r>
          </w:p>
          <w:p w14:paraId="1A6E2E1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Selling expenses must be included e.g., donations, entertainment (client), Membership and subscriptions, research, and development.</w:t>
            </w:r>
          </w:p>
        </w:tc>
      </w:tr>
    </w:tbl>
    <w:p w14:paraId="496BFF8C" w14:textId="77777777" w:rsidR="00B442EC" w:rsidRPr="00B442EC" w:rsidRDefault="00B442EC" w:rsidP="00B442EC">
      <w:pPr>
        <w:spacing w:after="120" w:line="264" w:lineRule="auto"/>
        <w:contextualSpacing/>
        <w:jc w:val="both"/>
        <w:rPr>
          <w:rFonts w:ascii="Calibri" w:eastAsia="Times New Roman" w:hAnsi="Calibri" w:cs="Times New Roman"/>
          <w:b/>
          <w:bCs/>
          <w:sz w:val="24"/>
          <w:szCs w:val="24"/>
        </w:rPr>
      </w:pPr>
    </w:p>
    <w:p w14:paraId="4F377261" w14:textId="77777777" w:rsidR="00B442EC" w:rsidRPr="00B442EC" w:rsidRDefault="00B442EC" w:rsidP="00B442EC">
      <w:pPr>
        <w:spacing w:after="120" w:line="264" w:lineRule="auto"/>
        <w:jc w:val="both"/>
        <w:rPr>
          <w:rFonts w:ascii="Calibri" w:eastAsia="Times New Roman" w:hAnsi="Calibri" w:cs="Times New Roman"/>
        </w:rPr>
      </w:pPr>
      <w:r w:rsidRPr="00B442EC">
        <w:rPr>
          <w:rFonts w:ascii="Calibri" w:eastAsia="Times New Roman" w:hAnsi="Calibri" w:cs="Times New Roman"/>
        </w:rPr>
        <w:t>The following P&amp;L items do not contribute to any of the items of the BI:</w:t>
      </w:r>
    </w:p>
    <w:p w14:paraId="1D2BC8E2"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Income and expenses from insurance or reinsurance businesses</w:t>
      </w:r>
    </w:p>
    <w:p w14:paraId="33C6512E"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Premiums paid and reimbursements/payments received from insurance or reinsurance policies purchased</w:t>
      </w:r>
    </w:p>
    <w:p w14:paraId="5A252BB3"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Administrative expenses, including staff expenses, outsourcing fees paid for the supply of nonfinancial services (e.g., logistical, IT, human resources), and other administrative expenses (e.g., IT, utilities, telephone, travel, office supplies, postage)</w:t>
      </w:r>
    </w:p>
    <w:p w14:paraId="5F0A51A2"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Recovery of administrative expenses including recovery of payments on behalf of customers (e.g., taxes debited to customers)</w:t>
      </w:r>
    </w:p>
    <w:p w14:paraId="29EAAB5D"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Expenses of premises and fixed assets (except when these expenses result from operational loss events) 136 Basel III: Finalising post-crisis reforms</w:t>
      </w:r>
    </w:p>
    <w:p w14:paraId="2ABCDDC3"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Depreciation/amortisation of tangible and intangible assets (except depreciation related to operating lease assets, which should be included in financial and operating lease expenses)</w:t>
      </w:r>
    </w:p>
    <w:p w14:paraId="2A94468D"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Provisions/reversal of provisions (e.g., on pensions, commitments and guarantees given) except for provisions related to operational loss events</w:t>
      </w:r>
    </w:p>
    <w:p w14:paraId="1563585B"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Expenses due to share capital repayable on demand</w:t>
      </w:r>
    </w:p>
    <w:p w14:paraId="1F415954"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Impairment/reversal of impairment (e.g., on financial assets, non-financial assets, investments in subsidiaries, joint ventures, and associates)</w:t>
      </w:r>
    </w:p>
    <w:p w14:paraId="290C9CD2"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Changes in goodwill recognised in profit or loss</w:t>
      </w:r>
    </w:p>
    <w:p w14:paraId="63E8EBB2"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Corporate income tax (tax based on profits including current tax and deferred).</w:t>
      </w:r>
    </w:p>
    <w:p w14:paraId="79A6E979" w14:textId="77777777" w:rsidR="00B442EC" w:rsidRPr="00B442EC" w:rsidRDefault="00B442EC" w:rsidP="00B442EC">
      <w:pPr>
        <w:spacing w:after="120" w:line="264" w:lineRule="auto"/>
        <w:jc w:val="both"/>
        <w:rPr>
          <w:rFonts w:ascii="Calibri" w:eastAsia="Times New Roman" w:hAnsi="Calibri" w:cs="Times New Roman"/>
        </w:rPr>
      </w:pPr>
    </w:p>
    <w:p w14:paraId="1357B0AF" w14:textId="77777777" w:rsidR="00B442EC" w:rsidRPr="00B442EC" w:rsidRDefault="00B442EC" w:rsidP="00B442EC">
      <w:pPr>
        <w:jc w:val="both"/>
        <w:rPr>
          <w:rFonts w:ascii="Calibri" w:eastAsia="Times New Roman" w:hAnsi="Calibri" w:cs="Times New Roman"/>
          <w:b/>
          <w:bCs/>
          <w:sz w:val="24"/>
          <w:szCs w:val="24"/>
        </w:rPr>
      </w:pPr>
      <w:r w:rsidRPr="00B442EC">
        <w:rPr>
          <w:rFonts w:ascii="Calibri" w:eastAsia="Times New Roman" w:hAnsi="Calibri" w:cs="Times New Roman"/>
          <w:b/>
          <w:bCs/>
          <w:sz w:val="24"/>
          <w:szCs w:val="24"/>
        </w:rPr>
        <w:br w:type="page"/>
      </w:r>
      <w:r w:rsidRPr="00B442EC">
        <w:rPr>
          <w:rFonts w:ascii="Calibri" w:eastAsia="Times New Roman" w:hAnsi="Calibri" w:cs="Times New Roman"/>
          <w:b/>
          <w:bCs/>
          <w:sz w:val="24"/>
          <w:szCs w:val="24"/>
        </w:rPr>
        <w:lastRenderedPageBreak/>
        <w:t>Panel C: Operational risk losses</w:t>
      </w:r>
    </w:p>
    <w:p w14:paraId="2621E871" w14:textId="77777777" w:rsidR="00B442EC" w:rsidRPr="00B442EC" w:rsidRDefault="00B442EC" w:rsidP="00B442EC">
      <w:pPr>
        <w:spacing w:after="120" w:line="264" w:lineRule="auto"/>
        <w:ind w:left="720"/>
        <w:contextualSpacing/>
        <w:jc w:val="both"/>
        <w:rPr>
          <w:rFonts w:ascii="Calibri" w:eastAsia="Times New Roman" w:hAnsi="Calibri" w:cs="Times New Roman"/>
        </w:rPr>
      </w:pPr>
    </w:p>
    <w:p w14:paraId="7DDEF9BC"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 xml:space="preserve">Panel C collects aggregated data on the number and </w:t>
      </w:r>
      <w:proofErr w:type="gramStart"/>
      <w:r w:rsidRPr="00B442EC">
        <w:rPr>
          <w:rFonts w:ascii="Calibri" w:eastAsia="Times New Roman" w:hAnsi="Calibri" w:cs="Times New Roman"/>
        </w:rPr>
        <w:t>amount</w:t>
      </w:r>
      <w:proofErr w:type="gramEnd"/>
      <w:r w:rsidRPr="00B442EC">
        <w:rPr>
          <w:rFonts w:ascii="Calibri" w:eastAsia="Times New Roman" w:hAnsi="Calibri" w:cs="Times New Roman"/>
        </w:rPr>
        <w:t xml:space="preserve"> of operational losses for the bank per the following criteria in columns D to M:</w:t>
      </w:r>
    </w:p>
    <w:p w14:paraId="6E1F9476" w14:textId="77777777" w:rsidR="00B442EC" w:rsidRPr="00B442EC" w:rsidRDefault="00B442EC" w:rsidP="00B442EC">
      <w:pPr>
        <w:jc w:val="both"/>
        <w:rPr>
          <w:rFonts w:ascii="Calibri" w:eastAsia="Times New Roman" w:hAnsi="Calibri" w:cs="Calibri"/>
          <w:szCs w:val="20"/>
          <w:u w:val="single"/>
        </w:rPr>
      </w:pPr>
      <w:r w:rsidRPr="00B442EC">
        <w:rPr>
          <w:rFonts w:ascii="Calibri" w:eastAsia="Times New Roman" w:hAnsi="Calibri" w:cs="Calibri"/>
          <w:szCs w:val="20"/>
          <w:u w:val="single"/>
        </w:rPr>
        <w:t>Scope of losses to be reported:</w:t>
      </w:r>
    </w:p>
    <w:p w14:paraId="4C8F53C0" w14:textId="77777777" w:rsidR="00B442EC" w:rsidRPr="00B442EC" w:rsidRDefault="00B442EC" w:rsidP="00B442EC">
      <w:pPr>
        <w:numPr>
          <w:ilvl w:val="0"/>
          <w:numId w:val="2"/>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All losses with an accounting or recognition date within the 10-year window.</w:t>
      </w:r>
    </w:p>
    <w:p w14:paraId="318CC158" w14:textId="77777777" w:rsidR="00B442EC" w:rsidRPr="00B442EC" w:rsidRDefault="00B442EC" w:rsidP="00B442EC">
      <w:pPr>
        <w:numPr>
          <w:ilvl w:val="0"/>
          <w:numId w:val="2"/>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 xml:space="preserve">The total net loss amount (gross less recoveries), for each individual loss, must be ≥ ZAR350k across the </w:t>
      </w:r>
      <w:proofErr w:type="gramStart"/>
      <w:r w:rsidRPr="00B442EC">
        <w:rPr>
          <w:rFonts w:ascii="Calibri" w:eastAsia="Times New Roman" w:hAnsi="Calibri" w:cs="Times New Roman"/>
        </w:rPr>
        <w:t>10 year</w:t>
      </w:r>
      <w:proofErr w:type="gramEnd"/>
      <w:r w:rsidRPr="00B442EC">
        <w:rPr>
          <w:rFonts w:ascii="Calibri" w:eastAsia="Times New Roman" w:hAnsi="Calibri" w:cs="Times New Roman"/>
        </w:rPr>
        <w:t xml:space="preserve"> period. </w:t>
      </w:r>
    </w:p>
    <w:p w14:paraId="7FE22994" w14:textId="77777777" w:rsidR="00B442EC" w:rsidRPr="00B442EC" w:rsidRDefault="00B442EC" w:rsidP="00B442EC">
      <w:pPr>
        <w:numPr>
          <w:ilvl w:val="0"/>
          <w:numId w:val="2"/>
        </w:numPr>
        <w:tabs>
          <w:tab w:val="left" w:pos="1500"/>
        </w:tabs>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Rapidly recovered amounts to be discounted from the gross and recovery amount prior to calculating the net loss.</w:t>
      </w:r>
    </w:p>
    <w:p w14:paraId="22620017" w14:textId="77777777" w:rsidR="00B442EC" w:rsidRPr="00B442EC" w:rsidRDefault="00B442EC" w:rsidP="00B442EC">
      <w:pPr>
        <w:numPr>
          <w:ilvl w:val="0"/>
          <w:numId w:val="2"/>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 xml:space="preserve">Inclusion of all gross losses reportable as per the definition of gross loss requirements </w:t>
      </w:r>
    </w:p>
    <w:p w14:paraId="24AA266F" w14:textId="77777777" w:rsidR="00B442EC" w:rsidRPr="00B442EC" w:rsidRDefault="00B442EC" w:rsidP="00B442EC">
      <w:pPr>
        <w:numPr>
          <w:ilvl w:val="0"/>
          <w:numId w:val="2"/>
        </w:numPr>
        <w:tabs>
          <w:tab w:val="left" w:pos="1500"/>
        </w:tabs>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Inclusion of all recoveries reportable as pre the definition of recoveries</w:t>
      </w:r>
    </w:p>
    <w:p w14:paraId="2E912D04" w14:textId="77777777" w:rsidR="00B442EC" w:rsidRPr="00B442EC" w:rsidRDefault="00B442EC" w:rsidP="00B442EC">
      <w:pPr>
        <w:numPr>
          <w:ilvl w:val="0"/>
          <w:numId w:val="2"/>
        </w:numPr>
        <w:tabs>
          <w:tab w:val="left" w:pos="1500"/>
        </w:tabs>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Credit boundary events to be excluded, only pure direct operational losses (including Market risk boundary losses) to be included.</w:t>
      </w:r>
    </w:p>
    <w:p w14:paraId="1278D13E" w14:textId="77777777" w:rsidR="00B442EC" w:rsidRPr="00B442EC" w:rsidRDefault="00B442EC" w:rsidP="00B442EC">
      <w:pPr>
        <w:tabs>
          <w:tab w:val="left" w:pos="1500"/>
        </w:tabs>
        <w:ind w:left="1440"/>
        <w:contextualSpacing/>
        <w:jc w:val="both"/>
        <w:rPr>
          <w:rFonts w:ascii="Calibri" w:eastAsia="Times New Roman" w:hAnsi="Calibri" w:cs="Calibri"/>
          <w:szCs w:val="20"/>
        </w:rPr>
      </w:pPr>
    </w:p>
    <w:tbl>
      <w:tblPr>
        <w:tblStyle w:val="TableGrid1"/>
        <w:tblW w:w="9751" w:type="dxa"/>
        <w:tblLook w:val="04A0" w:firstRow="1" w:lastRow="0" w:firstColumn="1" w:lastColumn="0" w:noHBand="0" w:noVBand="1"/>
      </w:tblPr>
      <w:tblGrid>
        <w:gridCol w:w="818"/>
        <w:gridCol w:w="1474"/>
        <w:gridCol w:w="3742"/>
        <w:gridCol w:w="3717"/>
      </w:tblGrid>
      <w:tr w:rsidR="00B442EC" w:rsidRPr="00B442EC" w14:paraId="3D8F6A44" w14:textId="77777777" w:rsidTr="0001430D">
        <w:trPr>
          <w:trHeight w:val="544"/>
          <w:tblHeader/>
        </w:trPr>
        <w:tc>
          <w:tcPr>
            <w:tcW w:w="818" w:type="dxa"/>
            <w:shd w:val="clear" w:color="auto" w:fill="auto"/>
          </w:tcPr>
          <w:p w14:paraId="3FFFE262"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Row No</w:t>
            </w:r>
          </w:p>
        </w:tc>
        <w:tc>
          <w:tcPr>
            <w:tcW w:w="1474" w:type="dxa"/>
            <w:shd w:val="clear" w:color="auto" w:fill="auto"/>
          </w:tcPr>
          <w:p w14:paraId="569C9F8B"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Column No</w:t>
            </w:r>
          </w:p>
        </w:tc>
        <w:tc>
          <w:tcPr>
            <w:tcW w:w="3742" w:type="dxa"/>
            <w:shd w:val="clear" w:color="auto" w:fill="auto"/>
          </w:tcPr>
          <w:p w14:paraId="51A17E72"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Heading</w:t>
            </w:r>
          </w:p>
        </w:tc>
        <w:tc>
          <w:tcPr>
            <w:tcW w:w="3717" w:type="dxa"/>
            <w:shd w:val="clear" w:color="auto" w:fill="auto"/>
          </w:tcPr>
          <w:p w14:paraId="3B7CCB48"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Description</w:t>
            </w:r>
          </w:p>
        </w:tc>
      </w:tr>
      <w:tr w:rsidR="00B442EC" w:rsidRPr="00B442EC" w14:paraId="1EDF3902" w14:textId="77777777" w:rsidTr="0001430D">
        <w:trPr>
          <w:trHeight w:val="286"/>
        </w:trPr>
        <w:tc>
          <w:tcPr>
            <w:tcW w:w="818" w:type="dxa"/>
            <w:shd w:val="clear" w:color="auto" w:fill="auto"/>
          </w:tcPr>
          <w:p w14:paraId="41EC75C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18</w:t>
            </w:r>
          </w:p>
        </w:tc>
        <w:tc>
          <w:tcPr>
            <w:tcW w:w="1474" w:type="dxa"/>
            <w:shd w:val="clear" w:color="auto" w:fill="auto"/>
          </w:tcPr>
          <w:p w14:paraId="276EA97C"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1-10</w:t>
            </w:r>
          </w:p>
        </w:tc>
        <w:tc>
          <w:tcPr>
            <w:tcW w:w="3742" w:type="dxa"/>
            <w:tcBorders>
              <w:top w:val="single" w:sz="4" w:space="0" w:color="auto"/>
              <w:left w:val="nil"/>
              <w:bottom w:val="single" w:sz="4" w:space="0" w:color="auto"/>
              <w:right w:val="single" w:sz="4" w:space="0" w:color="auto"/>
            </w:tcBorders>
            <w:shd w:val="clear" w:color="auto" w:fill="auto"/>
            <w:vAlign w:val="center"/>
          </w:tcPr>
          <w:p w14:paraId="5B68C63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Total amount of gross losses</w:t>
            </w:r>
          </w:p>
        </w:tc>
        <w:tc>
          <w:tcPr>
            <w:tcW w:w="3717" w:type="dxa"/>
            <w:shd w:val="clear" w:color="auto" w:fill="auto"/>
          </w:tcPr>
          <w:p w14:paraId="5D8A54AC"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Sum of all impacts with an accounting date per the respective year, less rapidly recovered amount</w:t>
            </w:r>
          </w:p>
        </w:tc>
      </w:tr>
      <w:tr w:rsidR="00B442EC" w:rsidRPr="00B442EC" w14:paraId="1090F5C9" w14:textId="77777777" w:rsidTr="0001430D">
        <w:trPr>
          <w:trHeight w:val="532"/>
        </w:trPr>
        <w:tc>
          <w:tcPr>
            <w:tcW w:w="818" w:type="dxa"/>
            <w:shd w:val="clear" w:color="auto" w:fill="auto"/>
          </w:tcPr>
          <w:p w14:paraId="749AB221"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19</w:t>
            </w:r>
          </w:p>
        </w:tc>
        <w:tc>
          <w:tcPr>
            <w:tcW w:w="1474" w:type="dxa"/>
            <w:shd w:val="clear" w:color="auto" w:fill="auto"/>
          </w:tcPr>
          <w:p w14:paraId="6DB082D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1-10</w:t>
            </w:r>
          </w:p>
        </w:tc>
        <w:tc>
          <w:tcPr>
            <w:tcW w:w="3742" w:type="dxa"/>
            <w:tcBorders>
              <w:top w:val="nil"/>
              <w:left w:val="nil"/>
              <w:bottom w:val="single" w:sz="4" w:space="0" w:color="auto"/>
              <w:right w:val="single" w:sz="4" w:space="0" w:color="auto"/>
            </w:tcBorders>
            <w:shd w:val="clear" w:color="auto" w:fill="auto"/>
            <w:vAlign w:val="center"/>
          </w:tcPr>
          <w:p w14:paraId="2799414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Total amount of loss recoveries</w:t>
            </w:r>
          </w:p>
        </w:tc>
        <w:tc>
          <w:tcPr>
            <w:tcW w:w="3717" w:type="dxa"/>
            <w:shd w:val="clear" w:color="auto" w:fill="auto"/>
          </w:tcPr>
          <w:p w14:paraId="3D696D40"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Sum of all recoveries with an accounting date per the respective year, less rapidly recovered amount</w:t>
            </w:r>
          </w:p>
        </w:tc>
      </w:tr>
      <w:tr w:rsidR="00B442EC" w:rsidRPr="00B442EC" w14:paraId="456C5CA7" w14:textId="77777777" w:rsidTr="0001430D">
        <w:trPr>
          <w:trHeight w:val="532"/>
        </w:trPr>
        <w:tc>
          <w:tcPr>
            <w:tcW w:w="818" w:type="dxa"/>
            <w:shd w:val="clear" w:color="auto" w:fill="auto"/>
          </w:tcPr>
          <w:p w14:paraId="2431E91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20</w:t>
            </w:r>
          </w:p>
        </w:tc>
        <w:tc>
          <w:tcPr>
            <w:tcW w:w="1474" w:type="dxa"/>
            <w:shd w:val="clear" w:color="auto" w:fill="auto"/>
          </w:tcPr>
          <w:p w14:paraId="29C75B90"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1-10</w:t>
            </w:r>
          </w:p>
        </w:tc>
        <w:tc>
          <w:tcPr>
            <w:tcW w:w="3742" w:type="dxa"/>
            <w:tcBorders>
              <w:top w:val="nil"/>
              <w:left w:val="nil"/>
              <w:bottom w:val="single" w:sz="4" w:space="0" w:color="auto"/>
              <w:right w:val="single" w:sz="4" w:space="0" w:color="auto"/>
            </w:tcBorders>
            <w:shd w:val="clear" w:color="auto" w:fill="auto"/>
            <w:vAlign w:val="center"/>
          </w:tcPr>
          <w:p w14:paraId="60107F19" w14:textId="77777777" w:rsidR="00B442EC" w:rsidRPr="00B442EC" w:rsidRDefault="00B442EC" w:rsidP="00B442EC">
            <w:pPr>
              <w:spacing w:after="120" w:line="264" w:lineRule="auto"/>
              <w:jc w:val="both"/>
              <w:rPr>
                <w:rFonts w:ascii="Calibri" w:hAnsi="Calibri" w:cs="Times New Roman"/>
              </w:rPr>
            </w:pPr>
            <w:r w:rsidRPr="00B442EC">
              <w:rPr>
                <w:rFonts w:ascii="Calibri" w:hAnsi="Calibri" w:cs="Calibri"/>
                <w:color w:val="000000"/>
              </w:rPr>
              <w:t>of which: insurance recoveries</w:t>
            </w:r>
          </w:p>
        </w:tc>
        <w:tc>
          <w:tcPr>
            <w:tcW w:w="3717" w:type="dxa"/>
            <w:shd w:val="clear" w:color="auto" w:fill="auto"/>
          </w:tcPr>
          <w:p w14:paraId="73E8CF7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Sum off recoveries received via Insurance, with an accounting date per the respective year, less rapidly recovered amount</w:t>
            </w:r>
          </w:p>
        </w:tc>
      </w:tr>
      <w:tr w:rsidR="00B442EC" w:rsidRPr="00B442EC" w14:paraId="4AA1E1F9" w14:textId="77777777" w:rsidTr="0001430D">
        <w:trPr>
          <w:trHeight w:val="532"/>
        </w:trPr>
        <w:tc>
          <w:tcPr>
            <w:tcW w:w="818" w:type="dxa"/>
            <w:shd w:val="clear" w:color="auto" w:fill="auto"/>
          </w:tcPr>
          <w:p w14:paraId="692B4AB5"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22</w:t>
            </w:r>
          </w:p>
        </w:tc>
        <w:tc>
          <w:tcPr>
            <w:tcW w:w="1474" w:type="dxa"/>
            <w:shd w:val="clear" w:color="auto" w:fill="auto"/>
          </w:tcPr>
          <w:p w14:paraId="3CDDEC01"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1-10</w:t>
            </w:r>
          </w:p>
        </w:tc>
        <w:tc>
          <w:tcPr>
            <w:tcW w:w="3742" w:type="dxa"/>
            <w:tcBorders>
              <w:top w:val="nil"/>
              <w:left w:val="nil"/>
              <w:bottom w:val="single" w:sz="4" w:space="0" w:color="auto"/>
              <w:right w:val="single" w:sz="4" w:space="0" w:color="auto"/>
            </w:tcBorders>
            <w:shd w:val="clear" w:color="auto" w:fill="auto"/>
            <w:vAlign w:val="center"/>
          </w:tcPr>
          <w:p w14:paraId="28B3AB9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Total amount of net losses</w:t>
            </w:r>
          </w:p>
        </w:tc>
        <w:tc>
          <w:tcPr>
            <w:tcW w:w="3717" w:type="dxa"/>
            <w:shd w:val="clear" w:color="auto" w:fill="auto"/>
          </w:tcPr>
          <w:p w14:paraId="0FC9C54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These items are formula driven in the BA400 return</w:t>
            </w:r>
          </w:p>
        </w:tc>
      </w:tr>
      <w:tr w:rsidR="00B442EC" w:rsidRPr="00B442EC" w14:paraId="7E2AB4BD" w14:textId="77777777" w:rsidTr="0001430D">
        <w:trPr>
          <w:trHeight w:val="532"/>
        </w:trPr>
        <w:tc>
          <w:tcPr>
            <w:tcW w:w="818" w:type="dxa"/>
            <w:shd w:val="clear" w:color="auto" w:fill="auto"/>
          </w:tcPr>
          <w:p w14:paraId="3F66FB9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23</w:t>
            </w:r>
          </w:p>
        </w:tc>
        <w:tc>
          <w:tcPr>
            <w:tcW w:w="1474" w:type="dxa"/>
            <w:shd w:val="clear" w:color="auto" w:fill="auto"/>
          </w:tcPr>
          <w:p w14:paraId="6CCF1D3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1-10</w:t>
            </w:r>
          </w:p>
        </w:tc>
        <w:tc>
          <w:tcPr>
            <w:tcW w:w="3742" w:type="dxa"/>
            <w:tcBorders>
              <w:top w:val="nil"/>
              <w:left w:val="nil"/>
              <w:bottom w:val="single" w:sz="4" w:space="0" w:color="auto"/>
              <w:right w:val="single" w:sz="4" w:space="0" w:color="auto"/>
            </w:tcBorders>
            <w:shd w:val="clear" w:color="auto" w:fill="auto"/>
            <w:vAlign w:val="center"/>
          </w:tcPr>
          <w:p w14:paraId="60A15BE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Number of loss events contributing to total gross losses</w:t>
            </w:r>
          </w:p>
        </w:tc>
        <w:tc>
          <w:tcPr>
            <w:tcW w:w="3717" w:type="dxa"/>
            <w:shd w:val="clear" w:color="auto" w:fill="auto"/>
          </w:tcPr>
          <w:p w14:paraId="2950070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Number of loss events, with a gross impact in the respective year (Note: if an event contains impacts across multiple years, then event count would be “1” for each respective year with an impact</w:t>
            </w:r>
          </w:p>
        </w:tc>
      </w:tr>
      <w:tr w:rsidR="00B442EC" w:rsidRPr="00B442EC" w14:paraId="0AF029D4" w14:textId="77777777" w:rsidTr="0001430D">
        <w:trPr>
          <w:trHeight w:val="532"/>
        </w:trPr>
        <w:tc>
          <w:tcPr>
            <w:tcW w:w="818" w:type="dxa"/>
            <w:shd w:val="clear" w:color="auto" w:fill="auto"/>
          </w:tcPr>
          <w:p w14:paraId="4764BA0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25</w:t>
            </w:r>
          </w:p>
        </w:tc>
        <w:tc>
          <w:tcPr>
            <w:tcW w:w="1474" w:type="dxa"/>
            <w:shd w:val="clear" w:color="auto" w:fill="auto"/>
          </w:tcPr>
          <w:p w14:paraId="7E40C89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1-10</w:t>
            </w:r>
          </w:p>
        </w:tc>
        <w:tc>
          <w:tcPr>
            <w:tcW w:w="3742" w:type="dxa"/>
            <w:tcBorders>
              <w:top w:val="nil"/>
              <w:left w:val="nil"/>
              <w:bottom w:val="single" w:sz="4" w:space="0" w:color="auto"/>
              <w:right w:val="single" w:sz="4" w:space="0" w:color="auto"/>
            </w:tcBorders>
            <w:shd w:val="clear" w:color="auto" w:fill="auto"/>
            <w:vAlign w:val="center"/>
          </w:tcPr>
          <w:p w14:paraId="165C88A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Number of loss events in the ten-year window</w:t>
            </w:r>
          </w:p>
        </w:tc>
        <w:tc>
          <w:tcPr>
            <w:tcW w:w="3717" w:type="dxa"/>
            <w:shd w:val="clear" w:color="auto" w:fill="auto"/>
          </w:tcPr>
          <w:p w14:paraId="76F4085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 xml:space="preserve">Unique count of events, across the entire </w:t>
            </w:r>
            <w:proofErr w:type="gramStart"/>
            <w:r w:rsidRPr="00B442EC">
              <w:rPr>
                <w:rFonts w:ascii="Calibri" w:hAnsi="Calibri" w:cs="Times New Roman"/>
              </w:rPr>
              <w:t>10 year</w:t>
            </w:r>
            <w:proofErr w:type="gramEnd"/>
            <w:r w:rsidRPr="00B442EC">
              <w:rPr>
                <w:rFonts w:ascii="Calibri" w:hAnsi="Calibri" w:cs="Times New Roman"/>
              </w:rPr>
              <w:t xml:space="preserve"> period</w:t>
            </w:r>
          </w:p>
        </w:tc>
      </w:tr>
      <w:tr w:rsidR="00B442EC" w:rsidRPr="00B442EC" w14:paraId="6FD2FF1A" w14:textId="77777777" w:rsidTr="0001430D">
        <w:trPr>
          <w:trHeight w:val="532"/>
        </w:trPr>
        <w:tc>
          <w:tcPr>
            <w:tcW w:w="818" w:type="dxa"/>
            <w:shd w:val="clear" w:color="auto" w:fill="auto"/>
          </w:tcPr>
          <w:p w14:paraId="3A815D31"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28</w:t>
            </w:r>
          </w:p>
        </w:tc>
        <w:tc>
          <w:tcPr>
            <w:tcW w:w="1474" w:type="dxa"/>
            <w:shd w:val="clear" w:color="auto" w:fill="auto"/>
          </w:tcPr>
          <w:p w14:paraId="0FE0FCF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1-10</w:t>
            </w:r>
          </w:p>
        </w:tc>
        <w:tc>
          <w:tcPr>
            <w:tcW w:w="3742" w:type="dxa"/>
            <w:tcBorders>
              <w:top w:val="nil"/>
              <w:left w:val="nil"/>
              <w:bottom w:val="single" w:sz="4" w:space="0" w:color="auto"/>
              <w:right w:val="single" w:sz="4" w:space="0" w:color="auto"/>
            </w:tcBorders>
            <w:shd w:val="clear" w:color="auto" w:fill="auto"/>
            <w:vAlign w:val="center"/>
          </w:tcPr>
          <w:p w14:paraId="4555533E"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Total amount of net losses qualifying for exclusion (per supervisory approval)</w:t>
            </w:r>
          </w:p>
        </w:tc>
        <w:tc>
          <w:tcPr>
            <w:tcW w:w="3717" w:type="dxa"/>
            <w:shd w:val="clear" w:color="auto" w:fill="auto"/>
          </w:tcPr>
          <w:p w14:paraId="75673E3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 xml:space="preserve">It is proposed that losses only be excluded from the loss component after being included in a bank’s operational risk loss database for a minimum period of 3 years. </w:t>
            </w:r>
          </w:p>
          <w:p w14:paraId="14CBF71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A request for loss exclusions will only be considered should the individual excluded loss event be greater than 5% of the bank’s average net losses. The banks will need to approach the PA for approval.</w:t>
            </w:r>
          </w:p>
        </w:tc>
      </w:tr>
      <w:tr w:rsidR="00B442EC" w:rsidRPr="00B442EC" w14:paraId="6E72BCCD" w14:textId="77777777" w:rsidTr="0001430D">
        <w:trPr>
          <w:trHeight w:val="532"/>
        </w:trPr>
        <w:tc>
          <w:tcPr>
            <w:tcW w:w="818" w:type="dxa"/>
            <w:shd w:val="clear" w:color="auto" w:fill="auto"/>
          </w:tcPr>
          <w:p w14:paraId="0C9168CE"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29</w:t>
            </w:r>
          </w:p>
        </w:tc>
        <w:tc>
          <w:tcPr>
            <w:tcW w:w="1474" w:type="dxa"/>
            <w:shd w:val="clear" w:color="auto" w:fill="auto"/>
          </w:tcPr>
          <w:p w14:paraId="416E711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1-10</w:t>
            </w:r>
          </w:p>
        </w:tc>
        <w:tc>
          <w:tcPr>
            <w:tcW w:w="3742" w:type="dxa"/>
            <w:tcBorders>
              <w:top w:val="nil"/>
              <w:left w:val="nil"/>
              <w:bottom w:val="single" w:sz="4" w:space="0" w:color="auto"/>
              <w:right w:val="single" w:sz="4" w:space="0" w:color="auto"/>
            </w:tcBorders>
            <w:shd w:val="clear" w:color="auto" w:fill="auto"/>
            <w:vAlign w:val="center"/>
          </w:tcPr>
          <w:p w14:paraId="44F5596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Total net losses after exclusion of qualifying losses</w:t>
            </w:r>
          </w:p>
        </w:tc>
        <w:tc>
          <w:tcPr>
            <w:tcW w:w="3717" w:type="dxa"/>
            <w:shd w:val="clear" w:color="auto" w:fill="auto"/>
          </w:tcPr>
          <w:p w14:paraId="1374447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These items are formula driven in the BA400 return</w:t>
            </w:r>
          </w:p>
        </w:tc>
      </w:tr>
      <w:tr w:rsidR="00B442EC" w:rsidRPr="00B442EC" w14:paraId="2FB395A2" w14:textId="77777777" w:rsidTr="0001430D">
        <w:trPr>
          <w:trHeight w:val="532"/>
        </w:trPr>
        <w:tc>
          <w:tcPr>
            <w:tcW w:w="818" w:type="dxa"/>
            <w:shd w:val="clear" w:color="auto" w:fill="auto"/>
          </w:tcPr>
          <w:p w14:paraId="42C1FA2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lastRenderedPageBreak/>
              <w:t>30</w:t>
            </w:r>
          </w:p>
        </w:tc>
        <w:tc>
          <w:tcPr>
            <w:tcW w:w="1474" w:type="dxa"/>
            <w:shd w:val="clear" w:color="auto" w:fill="auto"/>
          </w:tcPr>
          <w:p w14:paraId="26A7C4B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1-10</w:t>
            </w:r>
          </w:p>
        </w:tc>
        <w:tc>
          <w:tcPr>
            <w:tcW w:w="3742" w:type="dxa"/>
            <w:tcBorders>
              <w:top w:val="nil"/>
              <w:left w:val="nil"/>
              <w:bottom w:val="single" w:sz="4" w:space="0" w:color="auto"/>
              <w:right w:val="single" w:sz="4" w:space="0" w:color="auto"/>
            </w:tcBorders>
            <w:shd w:val="clear" w:color="auto" w:fill="auto"/>
            <w:vAlign w:val="center"/>
          </w:tcPr>
          <w:p w14:paraId="0D31E8E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Number of loss events qualifying for exclusion in the ten-year window (per supervisory approval)</w:t>
            </w:r>
          </w:p>
        </w:tc>
        <w:tc>
          <w:tcPr>
            <w:tcW w:w="3717" w:type="dxa"/>
            <w:shd w:val="clear" w:color="auto" w:fill="auto"/>
          </w:tcPr>
          <w:p w14:paraId="4EC0087B" w14:textId="77777777" w:rsidR="00B442EC" w:rsidRPr="00B442EC" w:rsidRDefault="00B442EC" w:rsidP="00B442EC">
            <w:pPr>
              <w:spacing w:after="120" w:line="264" w:lineRule="auto"/>
              <w:jc w:val="both"/>
              <w:rPr>
                <w:rFonts w:ascii="Calibri" w:hAnsi="Calibri" w:cs="Times New Roman"/>
              </w:rPr>
            </w:pPr>
            <w:r w:rsidRPr="00B442EC">
              <w:rPr>
                <w:rFonts w:ascii="Calibri" w:hAnsi="Calibri" w:cs="Times New Roman"/>
              </w:rPr>
              <w:t xml:space="preserve">It is proposed that losses only be excluded from the loss component after being included in a bank’s operational risk loss database for a minimum period of 3 years. </w:t>
            </w:r>
          </w:p>
          <w:p w14:paraId="3812437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A request for loss exclusions will only be considered should the individual excluded loss event be greater than 5% of the bank’s average net losses. The banks will need to approach the PA for approval.</w:t>
            </w:r>
          </w:p>
        </w:tc>
      </w:tr>
    </w:tbl>
    <w:p w14:paraId="17803A6D" w14:textId="77777777" w:rsidR="00B442EC" w:rsidRPr="00B442EC" w:rsidRDefault="00B442EC" w:rsidP="00B442EC">
      <w:pPr>
        <w:spacing w:after="120" w:line="264" w:lineRule="auto"/>
        <w:jc w:val="both"/>
        <w:rPr>
          <w:rFonts w:ascii="Calibri" w:eastAsia="Times New Roman" w:hAnsi="Calibri" w:cs="Times New Roman"/>
          <w:b/>
          <w:bCs/>
        </w:rPr>
      </w:pPr>
    </w:p>
    <w:tbl>
      <w:tblPr>
        <w:tblStyle w:val="TableGrid1"/>
        <w:tblW w:w="9776" w:type="dxa"/>
        <w:tblLook w:val="04A0" w:firstRow="1" w:lastRow="0" w:firstColumn="1" w:lastColumn="0" w:noHBand="0" w:noVBand="1"/>
      </w:tblPr>
      <w:tblGrid>
        <w:gridCol w:w="844"/>
        <w:gridCol w:w="1474"/>
        <w:gridCol w:w="3801"/>
        <w:gridCol w:w="3657"/>
      </w:tblGrid>
      <w:tr w:rsidR="00B442EC" w:rsidRPr="00B442EC" w14:paraId="77E567F1" w14:textId="77777777" w:rsidTr="0001430D">
        <w:trPr>
          <w:trHeight w:val="551"/>
          <w:tblHeader/>
        </w:trPr>
        <w:tc>
          <w:tcPr>
            <w:tcW w:w="844" w:type="dxa"/>
            <w:shd w:val="clear" w:color="auto" w:fill="auto"/>
          </w:tcPr>
          <w:p w14:paraId="2D4E2185"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Row No</w:t>
            </w:r>
          </w:p>
        </w:tc>
        <w:tc>
          <w:tcPr>
            <w:tcW w:w="1474" w:type="dxa"/>
            <w:shd w:val="clear" w:color="auto" w:fill="auto"/>
          </w:tcPr>
          <w:p w14:paraId="2968AE74"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Column No</w:t>
            </w:r>
          </w:p>
        </w:tc>
        <w:tc>
          <w:tcPr>
            <w:tcW w:w="3801" w:type="dxa"/>
            <w:shd w:val="clear" w:color="auto" w:fill="auto"/>
          </w:tcPr>
          <w:p w14:paraId="2FF96864"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Heading</w:t>
            </w:r>
          </w:p>
        </w:tc>
        <w:tc>
          <w:tcPr>
            <w:tcW w:w="3657" w:type="dxa"/>
            <w:shd w:val="clear" w:color="auto" w:fill="auto"/>
          </w:tcPr>
          <w:p w14:paraId="0E268C6A" w14:textId="77777777" w:rsidR="00B442EC" w:rsidRPr="00B442EC" w:rsidRDefault="00B442EC" w:rsidP="00B442EC">
            <w:pPr>
              <w:spacing w:after="120" w:line="264" w:lineRule="auto"/>
              <w:contextualSpacing/>
              <w:jc w:val="both"/>
              <w:rPr>
                <w:rFonts w:ascii="Calibri" w:hAnsi="Calibri" w:cs="Times New Roman"/>
                <w:b/>
                <w:bCs/>
              </w:rPr>
            </w:pPr>
            <w:r w:rsidRPr="00B442EC">
              <w:rPr>
                <w:rFonts w:ascii="Calibri" w:hAnsi="Calibri" w:cs="Times New Roman"/>
                <w:b/>
                <w:bCs/>
              </w:rPr>
              <w:t>Description</w:t>
            </w:r>
            <w:r w:rsidRPr="00B442EC">
              <w:rPr>
                <w:rFonts w:ascii="Calibri" w:hAnsi="Calibri" w:cs="Times New Roman"/>
                <w:b/>
                <w:bCs/>
                <w:color w:val="FF0000"/>
              </w:rPr>
              <w:t xml:space="preserve"> </w:t>
            </w:r>
          </w:p>
        </w:tc>
      </w:tr>
      <w:tr w:rsidR="00B442EC" w:rsidRPr="00B442EC" w14:paraId="6C3C85E9" w14:textId="77777777" w:rsidTr="0001430D">
        <w:trPr>
          <w:trHeight w:val="538"/>
        </w:trPr>
        <w:tc>
          <w:tcPr>
            <w:tcW w:w="844" w:type="dxa"/>
            <w:shd w:val="clear" w:color="auto" w:fill="auto"/>
          </w:tcPr>
          <w:p w14:paraId="36D1738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33</w:t>
            </w:r>
          </w:p>
        </w:tc>
        <w:tc>
          <w:tcPr>
            <w:tcW w:w="1474" w:type="dxa"/>
            <w:shd w:val="clear" w:color="auto" w:fill="auto"/>
          </w:tcPr>
          <w:p w14:paraId="1C4AAA6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01" w:type="dxa"/>
            <w:tcBorders>
              <w:top w:val="single" w:sz="4" w:space="0" w:color="auto"/>
              <w:left w:val="nil"/>
              <w:bottom w:val="single" w:sz="4" w:space="0" w:color="auto"/>
              <w:right w:val="single" w:sz="4" w:space="0" w:color="auto"/>
            </w:tcBorders>
            <w:shd w:val="clear" w:color="auto" w:fill="auto"/>
            <w:vAlign w:val="center"/>
          </w:tcPr>
          <w:p w14:paraId="77775A5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Total amount of gross losses</w:t>
            </w:r>
          </w:p>
        </w:tc>
        <w:tc>
          <w:tcPr>
            <w:tcW w:w="3657" w:type="dxa"/>
            <w:shd w:val="clear" w:color="auto" w:fill="auto"/>
          </w:tcPr>
          <w:p w14:paraId="38D205F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6A1CAB05" w14:textId="77777777" w:rsidTr="0001430D">
        <w:trPr>
          <w:trHeight w:val="538"/>
        </w:trPr>
        <w:tc>
          <w:tcPr>
            <w:tcW w:w="844" w:type="dxa"/>
            <w:shd w:val="clear" w:color="auto" w:fill="auto"/>
          </w:tcPr>
          <w:p w14:paraId="68EA350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34</w:t>
            </w:r>
          </w:p>
        </w:tc>
        <w:tc>
          <w:tcPr>
            <w:tcW w:w="1474" w:type="dxa"/>
            <w:shd w:val="clear" w:color="auto" w:fill="auto"/>
          </w:tcPr>
          <w:p w14:paraId="7C013145"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01" w:type="dxa"/>
            <w:tcBorders>
              <w:top w:val="nil"/>
              <w:left w:val="nil"/>
              <w:bottom w:val="single" w:sz="4" w:space="0" w:color="auto"/>
              <w:right w:val="single" w:sz="4" w:space="0" w:color="auto"/>
            </w:tcBorders>
            <w:shd w:val="clear" w:color="auto" w:fill="auto"/>
            <w:vAlign w:val="center"/>
          </w:tcPr>
          <w:p w14:paraId="54CC1B3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Total amount of loss recoveries</w:t>
            </w:r>
          </w:p>
        </w:tc>
        <w:tc>
          <w:tcPr>
            <w:tcW w:w="3657" w:type="dxa"/>
            <w:shd w:val="clear" w:color="auto" w:fill="auto"/>
          </w:tcPr>
          <w:p w14:paraId="353C6C8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792136AD" w14:textId="77777777" w:rsidTr="0001430D">
        <w:trPr>
          <w:trHeight w:val="538"/>
        </w:trPr>
        <w:tc>
          <w:tcPr>
            <w:tcW w:w="844" w:type="dxa"/>
            <w:shd w:val="clear" w:color="auto" w:fill="auto"/>
          </w:tcPr>
          <w:p w14:paraId="68D9C431" w14:textId="77777777" w:rsidR="00B442EC" w:rsidRPr="00B442EC" w:rsidRDefault="00B442EC" w:rsidP="00B442EC">
            <w:pPr>
              <w:spacing w:after="120" w:line="264" w:lineRule="auto"/>
              <w:contextualSpacing/>
              <w:jc w:val="both"/>
              <w:rPr>
                <w:rFonts w:ascii="Calibri" w:hAnsi="Calibri" w:cs="Times New Roman"/>
              </w:rPr>
            </w:pPr>
            <w:bookmarkStart w:id="1" w:name="_Hlk85032758"/>
            <w:r w:rsidRPr="00B442EC">
              <w:rPr>
                <w:rFonts w:ascii="Calibri" w:hAnsi="Calibri" w:cs="Times New Roman"/>
              </w:rPr>
              <w:t>35</w:t>
            </w:r>
          </w:p>
        </w:tc>
        <w:tc>
          <w:tcPr>
            <w:tcW w:w="1474" w:type="dxa"/>
            <w:shd w:val="clear" w:color="auto" w:fill="auto"/>
          </w:tcPr>
          <w:p w14:paraId="054882C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01" w:type="dxa"/>
            <w:tcBorders>
              <w:top w:val="nil"/>
              <w:left w:val="nil"/>
              <w:bottom w:val="single" w:sz="4" w:space="0" w:color="auto"/>
              <w:right w:val="single" w:sz="4" w:space="0" w:color="auto"/>
            </w:tcBorders>
            <w:shd w:val="clear" w:color="auto" w:fill="auto"/>
            <w:vAlign w:val="center"/>
          </w:tcPr>
          <w:p w14:paraId="49CE43F1" w14:textId="77777777" w:rsidR="00B442EC" w:rsidRPr="00B442EC" w:rsidRDefault="00B442EC" w:rsidP="00B442EC">
            <w:pPr>
              <w:spacing w:after="120" w:line="264" w:lineRule="auto"/>
              <w:jc w:val="both"/>
              <w:rPr>
                <w:rFonts w:ascii="Calibri" w:hAnsi="Calibri" w:cs="Times New Roman"/>
              </w:rPr>
            </w:pPr>
            <w:r w:rsidRPr="00B442EC">
              <w:rPr>
                <w:rFonts w:ascii="Calibri" w:hAnsi="Calibri" w:cs="Calibri"/>
                <w:color w:val="000000"/>
              </w:rPr>
              <w:t xml:space="preserve"> of which: insurance recoveries</w:t>
            </w:r>
          </w:p>
        </w:tc>
        <w:tc>
          <w:tcPr>
            <w:tcW w:w="3657" w:type="dxa"/>
            <w:shd w:val="clear" w:color="auto" w:fill="auto"/>
          </w:tcPr>
          <w:p w14:paraId="0911561C"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bookmarkEnd w:id="1"/>
      <w:tr w:rsidR="00B442EC" w:rsidRPr="00B442EC" w14:paraId="0D823FEC" w14:textId="77777777" w:rsidTr="0001430D">
        <w:trPr>
          <w:trHeight w:val="538"/>
        </w:trPr>
        <w:tc>
          <w:tcPr>
            <w:tcW w:w="844" w:type="dxa"/>
            <w:shd w:val="clear" w:color="auto" w:fill="auto"/>
          </w:tcPr>
          <w:p w14:paraId="0A3B882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36</w:t>
            </w:r>
          </w:p>
        </w:tc>
        <w:tc>
          <w:tcPr>
            <w:tcW w:w="1474" w:type="dxa"/>
            <w:shd w:val="clear" w:color="auto" w:fill="auto"/>
          </w:tcPr>
          <w:p w14:paraId="28E22871"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01" w:type="dxa"/>
            <w:tcBorders>
              <w:top w:val="nil"/>
              <w:left w:val="nil"/>
              <w:bottom w:val="single" w:sz="4" w:space="0" w:color="auto"/>
              <w:right w:val="single" w:sz="4" w:space="0" w:color="auto"/>
            </w:tcBorders>
            <w:shd w:val="clear" w:color="auto" w:fill="auto"/>
            <w:vAlign w:val="center"/>
          </w:tcPr>
          <w:p w14:paraId="0736315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Total amount of net losses</w:t>
            </w:r>
          </w:p>
        </w:tc>
        <w:tc>
          <w:tcPr>
            <w:tcW w:w="3657" w:type="dxa"/>
            <w:tcBorders>
              <w:bottom w:val="single" w:sz="4" w:space="0" w:color="auto"/>
            </w:tcBorders>
            <w:shd w:val="clear" w:color="auto" w:fill="auto"/>
          </w:tcPr>
          <w:p w14:paraId="450FE2F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3993CB7C" w14:textId="77777777" w:rsidTr="0001430D">
        <w:trPr>
          <w:trHeight w:val="538"/>
        </w:trPr>
        <w:tc>
          <w:tcPr>
            <w:tcW w:w="844" w:type="dxa"/>
            <w:shd w:val="clear" w:color="auto" w:fill="auto"/>
          </w:tcPr>
          <w:p w14:paraId="58DB0AB0"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37</w:t>
            </w:r>
          </w:p>
        </w:tc>
        <w:tc>
          <w:tcPr>
            <w:tcW w:w="1474" w:type="dxa"/>
            <w:shd w:val="clear" w:color="auto" w:fill="auto"/>
          </w:tcPr>
          <w:p w14:paraId="6635E67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01" w:type="dxa"/>
            <w:tcBorders>
              <w:top w:val="single" w:sz="4" w:space="0" w:color="auto"/>
              <w:left w:val="nil"/>
              <w:bottom w:val="single" w:sz="4" w:space="0" w:color="auto"/>
              <w:right w:val="single" w:sz="4" w:space="0" w:color="auto"/>
            </w:tcBorders>
            <w:shd w:val="clear" w:color="auto" w:fill="auto"/>
            <w:vAlign w:val="center"/>
          </w:tcPr>
          <w:p w14:paraId="3CD8407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Number of loss events contributing to total gross losses</w:t>
            </w:r>
          </w:p>
        </w:tc>
        <w:tc>
          <w:tcPr>
            <w:tcW w:w="3657" w:type="dxa"/>
            <w:tcBorders>
              <w:left w:val="single" w:sz="4" w:space="0" w:color="auto"/>
            </w:tcBorders>
            <w:shd w:val="clear" w:color="auto" w:fill="auto"/>
          </w:tcPr>
          <w:p w14:paraId="4F2E2D7C"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32B3AB8F" w14:textId="77777777" w:rsidTr="0001430D">
        <w:trPr>
          <w:trHeight w:val="538"/>
        </w:trPr>
        <w:tc>
          <w:tcPr>
            <w:tcW w:w="844" w:type="dxa"/>
            <w:shd w:val="clear" w:color="auto" w:fill="auto"/>
          </w:tcPr>
          <w:p w14:paraId="75F21AE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38</w:t>
            </w:r>
          </w:p>
        </w:tc>
        <w:tc>
          <w:tcPr>
            <w:tcW w:w="1474" w:type="dxa"/>
            <w:shd w:val="clear" w:color="auto" w:fill="auto"/>
          </w:tcPr>
          <w:p w14:paraId="63FFEFD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01" w:type="dxa"/>
            <w:tcBorders>
              <w:top w:val="single" w:sz="4" w:space="0" w:color="auto"/>
              <w:left w:val="nil"/>
              <w:bottom w:val="single" w:sz="4" w:space="0" w:color="auto"/>
              <w:right w:val="single" w:sz="4" w:space="0" w:color="auto"/>
            </w:tcBorders>
            <w:shd w:val="clear" w:color="auto" w:fill="auto"/>
            <w:vAlign w:val="center"/>
          </w:tcPr>
          <w:p w14:paraId="6CA184D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Total amount of net losses qualifying for exclusion (per supervisory approval)</w:t>
            </w:r>
          </w:p>
        </w:tc>
        <w:tc>
          <w:tcPr>
            <w:tcW w:w="3657" w:type="dxa"/>
            <w:tcBorders>
              <w:left w:val="single" w:sz="4" w:space="0" w:color="auto"/>
            </w:tcBorders>
            <w:shd w:val="clear" w:color="auto" w:fill="auto"/>
          </w:tcPr>
          <w:p w14:paraId="0B72159C"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59751D29" w14:textId="77777777" w:rsidTr="0001430D">
        <w:trPr>
          <w:trHeight w:val="538"/>
        </w:trPr>
        <w:tc>
          <w:tcPr>
            <w:tcW w:w="844" w:type="dxa"/>
            <w:shd w:val="clear" w:color="auto" w:fill="auto"/>
          </w:tcPr>
          <w:p w14:paraId="31C9550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39</w:t>
            </w:r>
          </w:p>
        </w:tc>
        <w:tc>
          <w:tcPr>
            <w:tcW w:w="1474" w:type="dxa"/>
            <w:shd w:val="clear" w:color="auto" w:fill="auto"/>
          </w:tcPr>
          <w:p w14:paraId="13CFE3B5"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01" w:type="dxa"/>
            <w:tcBorders>
              <w:top w:val="single" w:sz="4" w:space="0" w:color="auto"/>
              <w:left w:val="nil"/>
              <w:bottom w:val="single" w:sz="4" w:space="0" w:color="auto"/>
              <w:right w:val="single" w:sz="4" w:space="0" w:color="auto"/>
            </w:tcBorders>
            <w:shd w:val="clear" w:color="auto" w:fill="auto"/>
            <w:vAlign w:val="center"/>
          </w:tcPr>
          <w:p w14:paraId="295F5B6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Total net losses after exclusion of qualifying losses</w:t>
            </w:r>
          </w:p>
        </w:tc>
        <w:tc>
          <w:tcPr>
            <w:tcW w:w="3657" w:type="dxa"/>
            <w:tcBorders>
              <w:left w:val="single" w:sz="4" w:space="0" w:color="auto"/>
            </w:tcBorders>
            <w:shd w:val="clear" w:color="auto" w:fill="auto"/>
          </w:tcPr>
          <w:p w14:paraId="4A41CD7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bl>
    <w:p w14:paraId="7CEC852F" w14:textId="77777777" w:rsidR="00B442EC" w:rsidRPr="00B442EC" w:rsidRDefault="00B442EC" w:rsidP="00B442EC">
      <w:pPr>
        <w:spacing w:after="120" w:line="264" w:lineRule="auto"/>
        <w:ind w:left="720"/>
        <w:contextualSpacing/>
        <w:jc w:val="both"/>
        <w:rPr>
          <w:rFonts w:ascii="Calibri" w:eastAsia="Times New Roman" w:hAnsi="Calibri" w:cs="Times New Roman"/>
          <w:b/>
          <w:bCs/>
        </w:rPr>
      </w:pPr>
    </w:p>
    <w:p w14:paraId="18BE4D5E" w14:textId="77777777" w:rsidR="00B442EC" w:rsidRPr="00B442EC" w:rsidRDefault="00B442EC" w:rsidP="00B442EC">
      <w:pPr>
        <w:spacing w:after="120" w:line="264" w:lineRule="auto"/>
        <w:contextualSpacing/>
        <w:jc w:val="both"/>
        <w:rPr>
          <w:rFonts w:ascii="Calibri" w:eastAsia="Times New Roman" w:hAnsi="Calibri" w:cs="Times New Roman"/>
          <w:b/>
          <w:bCs/>
          <w:sz w:val="24"/>
          <w:szCs w:val="24"/>
        </w:rPr>
      </w:pPr>
      <w:bookmarkStart w:id="2" w:name="_Hlk85020425"/>
    </w:p>
    <w:p w14:paraId="57AADB33" w14:textId="77777777" w:rsidR="00B442EC" w:rsidRPr="00B442EC" w:rsidRDefault="00B442EC" w:rsidP="00B442EC">
      <w:pPr>
        <w:spacing w:after="120" w:line="264" w:lineRule="auto"/>
        <w:contextualSpacing/>
        <w:jc w:val="both"/>
        <w:rPr>
          <w:rFonts w:ascii="Calibri" w:eastAsia="Times New Roman" w:hAnsi="Calibri" w:cs="Times New Roman"/>
          <w:b/>
          <w:bCs/>
          <w:sz w:val="24"/>
          <w:szCs w:val="24"/>
        </w:rPr>
      </w:pPr>
    </w:p>
    <w:p w14:paraId="50A81B61" w14:textId="77777777" w:rsidR="00B442EC" w:rsidRPr="00B442EC" w:rsidRDefault="00B442EC" w:rsidP="00B442EC">
      <w:pPr>
        <w:spacing w:after="120" w:line="264" w:lineRule="auto"/>
        <w:contextualSpacing/>
        <w:jc w:val="both"/>
        <w:rPr>
          <w:rFonts w:ascii="Calibri" w:eastAsia="Times New Roman" w:hAnsi="Calibri" w:cs="Times New Roman"/>
          <w:b/>
          <w:bCs/>
          <w:sz w:val="24"/>
          <w:szCs w:val="24"/>
        </w:rPr>
      </w:pPr>
      <w:r w:rsidRPr="00B442EC">
        <w:rPr>
          <w:rFonts w:ascii="Calibri" w:eastAsia="Times New Roman" w:hAnsi="Calibri" w:cs="Times New Roman"/>
          <w:b/>
          <w:bCs/>
          <w:sz w:val="24"/>
          <w:szCs w:val="24"/>
        </w:rPr>
        <w:t xml:space="preserve">Panel D: Standardized approach components </w:t>
      </w:r>
    </w:p>
    <w:p w14:paraId="5C2F28A3" w14:textId="77777777" w:rsidR="00B442EC" w:rsidRPr="00B442EC" w:rsidRDefault="00B442EC" w:rsidP="00B442EC">
      <w:pPr>
        <w:spacing w:after="120" w:line="264" w:lineRule="auto"/>
        <w:contextualSpacing/>
        <w:jc w:val="both"/>
        <w:rPr>
          <w:rFonts w:ascii="Calibri" w:eastAsia="Times New Roman" w:hAnsi="Calibri" w:cs="Times New Roman"/>
          <w:b/>
          <w:bCs/>
        </w:rPr>
      </w:pPr>
    </w:p>
    <w:p w14:paraId="1836CB3C"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Panel D calculates the main components of the standardized approach and considers the treatment of losses per national discretion.</w:t>
      </w:r>
      <w:bookmarkEnd w:id="2"/>
    </w:p>
    <w:p w14:paraId="091F845B" w14:textId="77777777" w:rsidR="00B442EC" w:rsidRPr="00B442EC" w:rsidRDefault="00B442EC" w:rsidP="00B442EC">
      <w:pPr>
        <w:spacing w:after="120" w:line="264" w:lineRule="auto"/>
        <w:ind w:left="720"/>
        <w:contextualSpacing/>
        <w:jc w:val="both"/>
        <w:rPr>
          <w:rFonts w:ascii="Calibri" w:eastAsia="Times New Roman" w:hAnsi="Calibri" w:cs="Times New Roman"/>
        </w:rPr>
      </w:pPr>
    </w:p>
    <w:tbl>
      <w:tblPr>
        <w:tblStyle w:val="TableGrid1"/>
        <w:tblW w:w="9914" w:type="dxa"/>
        <w:tblLook w:val="04A0" w:firstRow="1" w:lastRow="0" w:firstColumn="1" w:lastColumn="0" w:noHBand="0" w:noVBand="1"/>
      </w:tblPr>
      <w:tblGrid>
        <w:gridCol w:w="1358"/>
        <w:gridCol w:w="1217"/>
        <w:gridCol w:w="3892"/>
        <w:gridCol w:w="3447"/>
      </w:tblGrid>
      <w:tr w:rsidR="00B442EC" w:rsidRPr="00B442EC" w14:paraId="468C58BC" w14:textId="77777777" w:rsidTr="0001430D">
        <w:trPr>
          <w:trHeight w:val="551"/>
          <w:tblHeader/>
        </w:trPr>
        <w:tc>
          <w:tcPr>
            <w:tcW w:w="1358" w:type="dxa"/>
            <w:shd w:val="clear" w:color="auto" w:fill="auto"/>
          </w:tcPr>
          <w:p w14:paraId="19255C7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b/>
                <w:bCs/>
              </w:rPr>
              <w:t>Row No</w:t>
            </w:r>
          </w:p>
        </w:tc>
        <w:tc>
          <w:tcPr>
            <w:tcW w:w="1217" w:type="dxa"/>
            <w:shd w:val="clear" w:color="auto" w:fill="auto"/>
          </w:tcPr>
          <w:p w14:paraId="49583C8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b/>
                <w:bCs/>
              </w:rPr>
              <w:t>Column No</w:t>
            </w:r>
          </w:p>
        </w:tc>
        <w:tc>
          <w:tcPr>
            <w:tcW w:w="3892" w:type="dxa"/>
            <w:shd w:val="clear" w:color="auto" w:fill="auto"/>
          </w:tcPr>
          <w:p w14:paraId="5917134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b/>
                <w:bCs/>
              </w:rPr>
              <w:t>Heading</w:t>
            </w:r>
          </w:p>
        </w:tc>
        <w:tc>
          <w:tcPr>
            <w:tcW w:w="3447" w:type="dxa"/>
            <w:shd w:val="clear" w:color="auto" w:fill="auto"/>
          </w:tcPr>
          <w:p w14:paraId="654C98BC"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b/>
                <w:bCs/>
              </w:rPr>
              <w:t>Description</w:t>
            </w:r>
            <w:r w:rsidRPr="00B442EC">
              <w:rPr>
                <w:rFonts w:ascii="Calibri" w:hAnsi="Calibri" w:cs="Times New Roman"/>
                <w:b/>
                <w:bCs/>
                <w:color w:val="FF0000"/>
              </w:rPr>
              <w:t xml:space="preserve"> </w:t>
            </w:r>
          </w:p>
        </w:tc>
      </w:tr>
      <w:tr w:rsidR="00B442EC" w:rsidRPr="00B442EC" w14:paraId="2F6BF732" w14:textId="77777777" w:rsidTr="0001430D">
        <w:trPr>
          <w:trHeight w:val="538"/>
        </w:trPr>
        <w:tc>
          <w:tcPr>
            <w:tcW w:w="1358" w:type="dxa"/>
            <w:shd w:val="clear" w:color="auto" w:fill="auto"/>
          </w:tcPr>
          <w:p w14:paraId="1135087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40</w:t>
            </w:r>
          </w:p>
        </w:tc>
        <w:tc>
          <w:tcPr>
            <w:tcW w:w="1217" w:type="dxa"/>
            <w:shd w:val="clear" w:color="auto" w:fill="auto"/>
          </w:tcPr>
          <w:p w14:paraId="3A93048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single" w:sz="4" w:space="0" w:color="auto"/>
              <w:left w:val="nil"/>
              <w:bottom w:val="single" w:sz="4" w:space="0" w:color="auto"/>
              <w:right w:val="single" w:sz="4" w:space="0" w:color="auto"/>
            </w:tcBorders>
            <w:shd w:val="clear" w:color="auto" w:fill="auto"/>
            <w:vAlign w:val="center"/>
          </w:tcPr>
          <w:p w14:paraId="35220244"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rPr>
              <w:t>Interest, leases, and dividend component (ILDC)</w:t>
            </w:r>
          </w:p>
        </w:tc>
        <w:tc>
          <w:tcPr>
            <w:tcW w:w="3447" w:type="dxa"/>
            <w:shd w:val="clear" w:color="auto" w:fill="auto"/>
          </w:tcPr>
          <w:p w14:paraId="74BDC64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37C144BE" w14:textId="77777777" w:rsidTr="0001430D">
        <w:trPr>
          <w:trHeight w:val="538"/>
        </w:trPr>
        <w:tc>
          <w:tcPr>
            <w:tcW w:w="1358" w:type="dxa"/>
            <w:shd w:val="clear" w:color="auto" w:fill="auto"/>
          </w:tcPr>
          <w:p w14:paraId="5BF70092"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41</w:t>
            </w:r>
          </w:p>
        </w:tc>
        <w:tc>
          <w:tcPr>
            <w:tcW w:w="1217" w:type="dxa"/>
            <w:shd w:val="clear" w:color="auto" w:fill="auto"/>
          </w:tcPr>
          <w:p w14:paraId="2DDDBED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2EEF748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rPr>
              <w:t>Services component (SC)</w:t>
            </w:r>
          </w:p>
        </w:tc>
        <w:tc>
          <w:tcPr>
            <w:tcW w:w="3447" w:type="dxa"/>
            <w:shd w:val="clear" w:color="auto" w:fill="auto"/>
          </w:tcPr>
          <w:p w14:paraId="335750B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1E9FB737" w14:textId="77777777" w:rsidTr="0001430D">
        <w:trPr>
          <w:trHeight w:val="538"/>
        </w:trPr>
        <w:tc>
          <w:tcPr>
            <w:tcW w:w="1358" w:type="dxa"/>
            <w:shd w:val="clear" w:color="auto" w:fill="auto"/>
          </w:tcPr>
          <w:p w14:paraId="0C76FDF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42</w:t>
            </w:r>
          </w:p>
        </w:tc>
        <w:tc>
          <w:tcPr>
            <w:tcW w:w="1217" w:type="dxa"/>
            <w:shd w:val="clear" w:color="auto" w:fill="auto"/>
          </w:tcPr>
          <w:p w14:paraId="4BF90D5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2C81E06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rPr>
              <w:t>Financial Component (FC)</w:t>
            </w:r>
          </w:p>
        </w:tc>
        <w:tc>
          <w:tcPr>
            <w:tcW w:w="3447" w:type="dxa"/>
            <w:shd w:val="clear" w:color="auto" w:fill="auto"/>
          </w:tcPr>
          <w:p w14:paraId="0D8ABDC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47EFADCB" w14:textId="77777777" w:rsidTr="0001430D">
        <w:trPr>
          <w:trHeight w:val="538"/>
        </w:trPr>
        <w:tc>
          <w:tcPr>
            <w:tcW w:w="1358" w:type="dxa"/>
            <w:shd w:val="clear" w:color="auto" w:fill="auto"/>
          </w:tcPr>
          <w:p w14:paraId="704481BC"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43</w:t>
            </w:r>
          </w:p>
        </w:tc>
        <w:tc>
          <w:tcPr>
            <w:tcW w:w="1217" w:type="dxa"/>
            <w:shd w:val="clear" w:color="auto" w:fill="auto"/>
          </w:tcPr>
          <w:p w14:paraId="0F31F17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0A088ED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rPr>
              <w:t>Business Indicator (BI)</w:t>
            </w:r>
          </w:p>
        </w:tc>
        <w:tc>
          <w:tcPr>
            <w:tcW w:w="3447" w:type="dxa"/>
            <w:tcBorders>
              <w:bottom w:val="single" w:sz="4" w:space="0" w:color="auto"/>
            </w:tcBorders>
            <w:shd w:val="clear" w:color="auto" w:fill="auto"/>
          </w:tcPr>
          <w:p w14:paraId="055C7B3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0BA9F2BF" w14:textId="77777777" w:rsidTr="0001430D">
        <w:trPr>
          <w:trHeight w:val="538"/>
        </w:trPr>
        <w:tc>
          <w:tcPr>
            <w:tcW w:w="1358" w:type="dxa"/>
            <w:shd w:val="clear" w:color="auto" w:fill="auto"/>
          </w:tcPr>
          <w:p w14:paraId="50EB232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44</w:t>
            </w:r>
          </w:p>
        </w:tc>
        <w:tc>
          <w:tcPr>
            <w:tcW w:w="1217" w:type="dxa"/>
            <w:shd w:val="clear" w:color="auto" w:fill="auto"/>
          </w:tcPr>
          <w:p w14:paraId="67B08A4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7AB589F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color w:val="000000"/>
              </w:rPr>
              <w:t>Bucket</w:t>
            </w:r>
          </w:p>
        </w:tc>
        <w:tc>
          <w:tcPr>
            <w:tcW w:w="3447" w:type="dxa"/>
            <w:tcBorders>
              <w:left w:val="single" w:sz="4" w:space="0" w:color="auto"/>
            </w:tcBorders>
            <w:shd w:val="clear" w:color="auto" w:fill="auto"/>
          </w:tcPr>
          <w:p w14:paraId="217B20E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45CD4FD3" w14:textId="77777777" w:rsidTr="0001430D">
        <w:trPr>
          <w:trHeight w:val="538"/>
        </w:trPr>
        <w:tc>
          <w:tcPr>
            <w:tcW w:w="1358" w:type="dxa"/>
            <w:shd w:val="clear" w:color="auto" w:fill="auto"/>
          </w:tcPr>
          <w:p w14:paraId="11D23F0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lastRenderedPageBreak/>
              <w:t>45</w:t>
            </w:r>
          </w:p>
        </w:tc>
        <w:tc>
          <w:tcPr>
            <w:tcW w:w="1217" w:type="dxa"/>
            <w:shd w:val="clear" w:color="auto" w:fill="auto"/>
          </w:tcPr>
          <w:p w14:paraId="49C91835"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42B27E3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rPr>
              <w:t>BI Component (BIC)</w:t>
            </w:r>
          </w:p>
        </w:tc>
        <w:tc>
          <w:tcPr>
            <w:tcW w:w="3447" w:type="dxa"/>
            <w:tcBorders>
              <w:left w:val="single" w:sz="4" w:space="0" w:color="auto"/>
            </w:tcBorders>
            <w:shd w:val="clear" w:color="auto" w:fill="auto"/>
          </w:tcPr>
          <w:p w14:paraId="54A129CC"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1A9B4228" w14:textId="77777777" w:rsidTr="0001430D">
        <w:trPr>
          <w:trHeight w:val="538"/>
        </w:trPr>
        <w:tc>
          <w:tcPr>
            <w:tcW w:w="1358" w:type="dxa"/>
            <w:shd w:val="clear" w:color="auto" w:fill="auto"/>
          </w:tcPr>
          <w:p w14:paraId="707C2DE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46</w:t>
            </w:r>
          </w:p>
        </w:tc>
        <w:tc>
          <w:tcPr>
            <w:tcW w:w="1217" w:type="dxa"/>
            <w:shd w:val="clear" w:color="auto" w:fill="auto"/>
          </w:tcPr>
          <w:p w14:paraId="66F94E4E"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053DF575"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Calibri"/>
              </w:rPr>
              <w:t>BI gross of excluded divested activities (per supervisory approval)</w:t>
            </w:r>
          </w:p>
        </w:tc>
        <w:tc>
          <w:tcPr>
            <w:tcW w:w="3447" w:type="dxa"/>
            <w:tcBorders>
              <w:left w:val="single" w:sz="4" w:space="0" w:color="auto"/>
            </w:tcBorders>
            <w:shd w:val="clear" w:color="auto" w:fill="auto"/>
          </w:tcPr>
          <w:p w14:paraId="34FE4B4B"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It Is proposed that banks apply to the PA for approval to exclude divested activities from the BI. In addition, banks should report the revised OR RWAs in the first update of total RWAs post-exclusion in line with the next submission of the return.</w:t>
            </w:r>
          </w:p>
        </w:tc>
      </w:tr>
      <w:tr w:rsidR="00B442EC" w:rsidRPr="00B442EC" w14:paraId="711B09FF" w14:textId="77777777" w:rsidTr="0001430D">
        <w:trPr>
          <w:trHeight w:val="538"/>
        </w:trPr>
        <w:tc>
          <w:tcPr>
            <w:tcW w:w="1358" w:type="dxa"/>
            <w:shd w:val="clear" w:color="auto" w:fill="auto"/>
          </w:tcPr>
          <w:p w14:paraId="5145BE10"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47</w:t>
            </w:r>
          </w:p>
        </w:tc>
        <w:tc>
          <w:tcPr>
            <w:tcW w:w="1217" w:type="dxa"/>
            <w:shd w:val="clear" w:color="auto" w:fill="auto"/>
          </w:tcPr>
          <w:p w14:paraId="7B995B3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454DC418" w14:textId="77777777" w:rsidR="00B442EC" w:rsidRPr="00B442EC" w:rsidRDefault="00B442EC" w:rsidP="00B442EC">
            <w:pPr>
              <w:spacing w:after="120" w:line="264" w:lineRule="auto"/>
              <w:contextualSpacing/>
              <w:jc w:val="both"/>
              <w:rPr>
                <w:rFonts w:ascii="Calibri" w:hAnsi="Calibri" w:cs="Calibri"/>
                <w:color w:val="000000"/>
              </w:rPr>
            </w:pPr>
            <w:r w:rsidRPr="00B442EC">
              <w:rPr>
                <w:rFonts w:ascii="Calibri" w:hAnsi="Calibri" w:cs="Calibri"/>
              </w:rPr>
              <w:t>Reduction in BI due to excluded divested activities</w:t>
            </w:r>
          </w:p>
        </w:tc>
        <w:tc>
          <w:tcPr>
            <w:tcW w:w="3447" w:type="dxa"/>
            <w:tcBorders>
              <w:left w:val="single" w:sz="4" w:space="0" w:color="auto"/>
            </w:tcBorders>
            <w:shd w:val="clear" w:color="auto" w:fill="auto"/>
          </w:tcPr>
          <w:p w14:paraId="5368A8A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4E3BD0BD" w14:textId="77777777" w:rsidTr="0001430D">
        <w:trPr>
          <w:trHeight w:val="538"/>
        </w:trPr>
        <w:tc>
          <w:tcPr>
            <w:tcW w:w="1358" w:type="dxa"/>
            <w:shd w:val="clear" w:color="auto" w:fill="auto"/>
          </w:tcPr>
          <w:p w14:paraId="355B7B1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48</w:t>
            </w:r>
          </w:p>
        </w:tc>
        <w:tc>
          <w:tcPr>
            <w:tcW w:w="1217" w:type="dxa"/>
            <w:shd w:val="clear" w:color="auto" w:fill="auto"/>
          </w:tcPr>
          <w:p w14:paraId="118DFA2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0EC240A6" w14:textId="77777777" w:rsidR="00B442EC" w:rsidRPr="00B442EC" w:rsidRDefault="00B442EC" w:rsidP="00B442EC">
            <w:pPr>
              <w:spacing w:after="120" w:line="264" w:lineRule="auto"/>
              <w:contextualSpacing/>
              <w:jc w:val="both"/>
              <w:rPr>
                <w:rFonts w:ascii="Calibri" w:hAnsi="Calibri" w:cs="Calibri"/>
                <w:color w:val="000000"/>
              </w:rPr>
            </w:pPr>
            <w:r w:rsidRPr="00B442EC">
              <w:rPr>
                <w:rFonts w:ascii="Calibri" w:hAnsi="Calibri" w:cs="Calibri"/>
              </w:rPr>
              <w:t>Loss Component (LC)</w:t>
            </w:r>
          </w:p>
        </w:tc>
        <w:tc>
          <w:tcPr>
            <w:tcW w:w="3447" w:type="dxa"/>
            <w:tcBorders>
              <w:left w:val="single" w:sz="4" w:space="0" w:color="auto"/>
            </w:tcBorders>
            <w:shd w:val="clear" w:color="auto" w:fill="auto"/>
          </w:tcPr>
          <w:p w14:paraId="4D36E6A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51955DB3" w14:textId="77777777" w:rsidTr="0001430D">
        <w:trPr>
          <w:trHeight w:val="538"/>
        </w:trPr>
        <w:tc>
          <w:tcPr>
            <w:tcW w:w="1358" w:type="dxa"/>
            <w:shd w:val="clear" w:color="auto" w:fill="auto"/>
          </w:tcPr>
          <w:p w14:paraId="67C3B95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49</w:t>
            </w:r>
          </w:p>
        </w:tc>
        <w:tc>
          <w:tcPr>
            <w:tcW w:w="1217" w:type="dxa"/>
            <w:shd w:val="clear" w:color="auto" w:fill="auto"/>
          </w:tcPr>
          <w:p w14:paraId="5AAA919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5CA0ADF7" w14:textId="77777777" w:rsidR="00B442EC" w:rsidRPr="00B442EC" w:rsidRDefault="00B442EC" w:rsidP="00B442EC">
            <w:pPr>
              <w:spacing w:after="120" w:line="264" w:lineRule="auto"/>
              <w:contextualSpacing/>
              <w:jc w:val="both"/>
              <w:rPr>
                <w:rFonts w:ascii="Calibri" w:hAnsi="Calibri" w:cs="Calibri"/>
                <w:color w:val="000000"/>
              </w:rPr>
            </w:pPr>
            <w:r w:rsidRPr="00B442EC">
              <w:rPr>
                <w:rFonts w:ascii="Calibri" w:hAnsi="Calibri" w:cs="Calibri"/>
              </w:rPr>
              <w:t>Internal Loss Multiplier (ILM)</w:t>
            </w:r>
          </w:p>
        </w:tc>
        <w:tc>
          <w:tcPr>
            <w:tcW w:w="3447" w:type="dxa"/>
            <w:tcBorders>
              <w:left w:val="single" w:sz="4" w:space="0" w:color="auto"/>
            </w:tcBorders>
            <w:shd w:val="clear" w:color="auto" w:fill="auto"/>
          </w:tcPr>
          <w:p w14:paraId="1B3EC19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bl>
    <w:p w14:paraId="6A387D6F" w14:textId="77777777" w:rsidR="00B442EC" w:rsidRPr="00B442EC" w:rsidRDefault="00B442EC" w:rsidP="00B442EC">
      <w:pPr>
        <w:spacing w:after="120" w:line="264" w:lineRule="auto"/>
        <w:contextualSpacing/>
        <w:jc w:val="both"/>
        <w:rPr>
          <w:rFonts w:ascii="Calibri" w:eastAsia="Times New Roman" w:hAnsi="Calibri" w:cs="Times New Roman"/>
          <w:b/>
          <w:bCs/>
          <w:color w:val="FF0000"/>
        </w:rPr>
      </w:pPr>
    </w:p>
    <w:p w14:paraId="1430EA43" w14:textId="77777777" w:rsidR="00B442EC" w:rsidRPr="00B442EC" w:rsidRDefault="00B442EC" w:rsidP="00B442EC">
      <w:pPr>
        <w:spacing w:after="120" w:line="264" w:lineRule="auto"/>
        <w:contextualSpacing/>
        <w:jc w:val="both"/>
        <w:rPr>
          <w:rFonts w:ascii="Calibri" w:eastAsia="Times New Roman" w:hAnsi="Calibri" w:cs="Times New Roman"/>
          <w:b/>
          <w:bCs/>
        </w:rPr>
      </w:pPr>
    </w:p>
    <w:p w14:paraId="3397C523" w14:textId="77777777" w:rsidR="00B442EC" w:rsidRPr="00B442EC" w:rsidRDefault="00B442EC" w:rsidP="00B442EC">
      <w:pPr>
        <w:spacing w:after="120" w:line="264" w:lineRule="auto"/>
        <w:jc w:val="both"/>
        <w:rPr>
          <w:rFonts w:ascii="Calibri" w:eastAsia="Times New Roman" w:hAnsi="Calibri" w:cs="Times New Roman"/>
          <w:b/>
          <w:bCs/>
          <w:sz w:val="24"/>
          <w:szCs w:val="24"/>
        </w:rPr>
      </w:pPr>
      <w:r w:rsidRPr="00B442EC">
        <w:rPr>
          <w:rFonts w:ascii="Calibri" w:eastAsia="Times New Roman" w:hAnsi="Calibri" w:cs="Times New Roman"/>
          <w:b/>
          <w:bCs/>
          <w:sz w:val="24"/>
          <w:szCs w:val="24"/>
        </w:rPr>
        <w:t xml:space="preserve">Panel E: Operational risk capital </w:t>
      </w:r>
    </w:p>
    <w:p w14:paraId="60729D6A" w14:textId="77777777" w:rsidR="00B442EC" w:rsidRPr="00B442EC" w:rsidRDefault="00B442EC" w:rsidP="00B442EC">
      <w:pPr>
        <w:spacing w:after="120" w:line="264" w:lineRule="auto"/>
        <w:contextualSpacing/>
        <w:jc w:val="both"/>
        <w:rPr>
          <w:rFonts w:ascii="Calibri" w:eastAsia="Times New Roman" w:hAnsi="Calibri" w:cs="Times New Roman"/>
          <w:b/>
          <w:bCs/>
        </w:rPr>
      </w:pPr>
    </w:p>
    <w:p w14:paraId="280DD336" w14:textId="77777777" w:rsidR="00B442EC" w:rsidRPr="00B442EC" w:rsidRDefault="00B442EC" w:rsidP="00B442EC">
      <w:pPr>
        <w:numPr>
          <w:ilvl w:val="0"/>
          <w:numId w:val="1"/>
        </w:numPr>
        <w:spacing w:after="120" w:line="264" w:lineRule="auto"/>
        <w:contextualSpacing/>
        <w:jc w:val="both"/>
        <w:rPr>
          <w:rFonts w:ascii="Calibri" w:eastAsia="Times New Roman" w:hAnsi="Calibri" w:cs="Times New Roman"/>
        </w:rPr>
      </w:pPr>
      <w:r w:rsidRPr="00B442EC">
        <w:rPr>
          <w:rFonts w:ascii="Calibri" w:eastAsia="Times New Roman" w:hAnsi="Calibri" w:cs="Times New Roman"/>
        </w:rPr>
        <w:t>Panel E collects information on operational risk-weighted assets and capital calculated using ILM equals to 1 and actual ILM (e.g., if the bank has been permitted to use ILM), line no 43 to 46 will be calculated. In a case where a bank is not permitted to use the ILM, then line 43 and line 45 must be set to zero).</w:t>
      </w:r>
    </w:p>
    <w:p w14:paraId="356C8114" w14:textId="77777777" w:rsidR="00B442EC" w:rsidRPr="00B442EC" w:rsidRDefault="00B442EC" w:rsidP="00B442EC">
      <w:pPr>
        <w:spacing w:after="120" w:line="264" w:lineRule="auto"/>
        <w:contextualSpacing/>
        <w:jc w:val="both"/>
        <w:rPr>
          <w:rFonts w:ascii="Calibri" w:eastAsia="Times New Roman" w:hAnsi="Calibri" w:cs="Times New Roman"/>
          <w:b/>
          <w:bCs/>
        </w:rPr>
      </w:pPr>
    </w:p>
    <w:tbl>
      <w:tblPr>
        <w:tblStyle w:val="TableGrid1"/>
        <w:tblW w:w="9914" w:type="dxa"/>
        <w:tblLook w:val="04A0" w:firstRow="1" w:lastRow="0" w:firstColumn="1" w:lastColumn="0" w:noHBand="0" w:noVBand="1"/>
      </w:tblPr>
      <w:tblGrid>
        <w:gridCol w:w="1358"/>
        <w:gridCol w:w="1217"/>
        <w:gridCol w:w="3892"/>
        <w:gridCol w:w="3447"/>
      </w:tblGrid>
      <w:tr w:rsidR="00B442EC" w:rsidRPr="00B442EC" w14:paraId="2ABF7A83" w14:textId="77777777" w:rsidTr="0001430D">
        <w:trPr>
          <w:trHeight w:val="396"/>
        </w:trPr>
        <w:tc>
          <w:tcPr>
            <w:tcW w:w="1358" w:type="dxa"/>
            <w:shd w:val="clear" w:color="auto" w:fill="auto"/>
          </w:tcPr>
          <w:p w14:paraId="1EA0BA8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b/>
                <w:bCs/>
              </w:rPr>
              <w:t>Row No</w:t>
            </w:r>
          </w:p>
        </w:tc>
        <w:tc>
          <w:tcPr>
            <w:tcW w:w="1217" w:type="dxa"/>
            <w:shd w:val="clear" w:color="auto" w:fill="auto"/>
          </w:tcPr>
          <w:p w14:paraId="172093DA"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b/>
                <w:bCs/>
              </w:rPr>
              <w:t>Column No</w:t>
            </w:r>
          </w:p>
        </w:tc>
        <w:tc>
          <w:tcPr>
            <w:tcW w:w="3892" w:type="dxa"/>
            <w:shd w:val="clear" w:color="auto" w:fill="auto"/>
          </w:tcPr>
          <w:p w14:paraId="57D4DE9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b/>
                <w:bCs/>
              </w:rPr>
              <w:t>Heading</w:t>
            </w:r>
          </w:p>
        </w:tc>
        <w:tc>
          <w:tcPr>
            <w:tcW w:w="3447" w:type="dxa"/>
            <w:shd w:val="clear" w:color="auto" w:fill="auto"/>
          </w:tcPr>
          <w:p w14:paraId="1C6D5E1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b/>
                <w:bCs/>
              </w:rPr>
              <w:t>Description</w:t>
            </w:r>
          </w:p>
        </w:tc>
      </w:tr>
      <w:tr w:rsidR="00B442EC" w:rsidRPr="00B442EC" w14:paraId="3CC867E9" w14:textId="77777777" w:rsidTr="0001430D">
        <w:trPr>
          <w:trHeight w:val="538"/>
        </w:trPr>
        <w:tc>
          <w:tcPr>
            <w:tcW w:w="1358" w:type="dxa"/>
            <w:shd w:val="clear" w:color="auto" w:fill="auto"/>
          </w:tcPr>
          <w:p w14:paraId="0ECBCB7C"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50</w:t>
            </w:r>
          </w:p>
        </w:tc>
        <w:tc>
          <w:tcPr>
            <w:tcW w:w="1217" w:type="dxa"/>
            <w:shd w:val="clear" w:color="auto" w:fill="auto"/>
          </w:tcPr>
          <w:p w14:paraId="3B4A09F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single" w:sz="4" w:space="0" w:color="auto"/>
              <w:left w:val="nil"/>
              <w:bottom w:val="single" w:sz="4" w:space="0" w:color="auto"/>
              <w:right w:val="single" w:sz="4" w:space="0" w:color="auto"/>
            </w:tcBorders>
            <w:shd w:val="clear" w:color="auto" w:fill="auto"/>
            <w:vAlign w:val="center"/>
          </w:tcPr>
          <w:p w14:paraId="226E4D16" w14:textId="77777777" w:rsidR="00B442EC" w:rsidRPr="00B442EC" w:rsidRDefault="00B442EC" w:rsidP="00B442EC">
            <w:pPr>
              <w:spacing w:after="120" w:line="264" w:lineRule="auto"/>
              <w:contextualSpacing/>
              <w:rPr>
                <w:rFonts w:ascii="Calibri" w:hAnsi="Calibri" w:cs="Times New Roman"/>
              </w:rPr>
            </w:pPr>
            <w:r w:rsidRPr="00B442EC">
              <w:rPr>
                <w:rFonts w:ascii="Calibri" w:hAnsi="Calibri" w:cs="Calibri"/>
                <w:color w:val="000000"/>
              </w:rPr>
              <w:t>Operational Risk Capital</w:t>
            </w:r>
          </w:p>
        </w:tc>
        <w:tc>
          <w:tcPr>
            <w:tcW w:w="3447" w:type="dxa"/>
            <w:shd w:val="clear" w:color="auto" w:fill="auto"/>
          </w:tcPr>
          <w:p w14:paraId="7C900979"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30230665" w14:textId="77777777" w:rsidTr="0001430D">
        <w:trPr>
          <w:trHeight w:val="538"/>
        </w:trPr>
        <w:tc>
          <w:tcPr>
            <w:tcW w:w="1358" w:type="dxa"/>
            <w:shd w:val="clear" w:color="auto" w:fill="auto"/>
          </w:tcPr>
          <w:p w14:paraId="6F47205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51</w:t>
            </w:r>
          </w:p>
        </w:tc>
        <w:tc>
          <w:tcPr>
            <w:tcW w:w="1217" w:type="dxa"/>
            <w:shd w:val="clear" w:color="auto" w:fill="auto"/>
          </w:tcPr>
          <w:p w14:paraId="16B0D3D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18BBD352" w14:textId="77777777" w:rsidR="00B442EC" w:rsidRPr="00B442EC" w:rsidRDefault="00B442EC" w:rsidP="00B442EC">
            <w:pPr>
              <w:spacing w:after="120" w:line="264" w:lineRule="auto"/>
              <w:rPr>
                <w:rFonts w:ascii="Calibri" w:hAnsi="Calibri" w:cs="Times New Roman"/>
              </w:rPr>
            </w:pPr>
            <w:r w:rsidRPr="00B442EC">
              <w:rPr>
                <w:rFonts w:ascii="Calibri" w:hAnsi="Calibri" w:cs="Calibri"/>
              </w:rPr>
              <w:t>With ILM set to 1</w:t>
            </w:r>
          </w:p>
        </w:tc>
        <w:tc>
          <w:tcPr>
            <w:tcW w:w="3447" w:type="dxa"/>
            <w:shd w:val="clear" w:color="auto" w:fill="auto"/>
          </w:tcPr>
          <w:p w14:paraId="78A6C00F"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4697A38F" w14:textId="77777777" w:rsidTr="0001430D">
        <w:trPr>
          <w:trHeight w:val="538"/>
        </w:trPr>
        <w:tc>
          <w:tcPr>
            <w:tcW w:w="1358" w:type="dxa"/>
            <w:shd w:val="clear" w:color="auto" w:fill="auto"/>
          </w:tcPr>
          <w:p w14:paraId="4AB92FC6"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52</w:t>
            </w:r>
          </w:p>
        </w:tc>
        <w:tc>
          <w:tcPr>
            <w:tcW w:w="1217" w:type="dxa"/>
            <w:shd w:val="clear" w:color="auto" w:fill="auto"/>
          </w:tcPr>
          <w:p w14:paraId="3D6AAC07"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40564E00" w14:textId="77777777" w:rsidR="00B442EC" w:rsidRPr="00B442EC" w:rsidRDefault="00B442EC" w:rsidP="00B442EC">
            <w:pPr>
              <w:spacing w:after="120" w:line="264" w:lineRule="auto"/>
              <w:contextualSpacing/>
              <w:rPr>
                <w:rFonts w:ascii="Calibri" w:hAnsi="Calibri" w:cs="Times New Roman"/>
              </w:rPr>
            </w:pPr>
            <w:r w:rsidRPr="00B442EC">
              <w:rPr>
                <w:rFonts w:ascii="Calibri" w:hAnsi="Calibri" w:cs="Calibri"/>
                <w:color w:val="000000"/>
              </w:rPr>
              <w:t>Operational Risk Weighted Assets</w:t>
            </w:r>
          </w:p>
        </w:tc>
        <w:tc>
          <w:tcPr>
            <w:tcW w:w="3447" w:type="dxa"/>
            <w:shd w:val="clear" w:color="auto" w:fill="auto"/>
          </w:tcPr>
          <w:p w14:paraId="49FB3E73"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r w:rsidR="00B442EC" w:rsidRPr="00B442EC" w14:paraId="6BBAC25C" w14:textId="77777777" w:rsidTr="0001430D">
        <w:trPr>
          <w:trHeight w:val="538"/>
        </w:trPr>
        <w:tc>
          <w:tcPr>
            <w:tcW w:w="1358" w:type="dxa"/>
            <w:shd w:val="clear" w:color="auto" w:fill="auto"/>
          </w:tcPr>
          <w:p w14:paraId="426A805D"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53</w:t>
            </w:r>
          </w:p>
        </w:tc>
        <w:tc>
          <w:tcPr>
            <w:tcW w:w="1217" w:type="dxa"/>
            <w:shd w:val="clear" w:color="auto" w:fill="auto"/>
          </w:tcPr>
          <w:p w14:paraId="0ACB3A58"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10</w:t>
            </w:r>
          </w:p>
        </w:tc>
        <w:tc>
          <w:tcPr>
            <w:tcW w:w="3892" w:type="dxa"/>
            <w:tcBorders>
              <w:top w:val="nil"/>
              <w:left w:val="nil"/>
              <w:bottom w:val="single" w:sz="4" w:space="0" w:color="auto"/>
              <w:right w:val="single" w:sz="4" w:space="0" w:color="auto"/>
            </w:tcBorders>
            <w:shd w:val="clear" w:color="auto" w:fill="auto"/>
            <w:vAlign w:val="center"/>
          </w:tcPr>
          <w:p w14:paraId="3189EB2E" w14:textId="77777777" w:rsidR="00B442EC" w:rsidRPr="00B442EC" w:rsidRDefault="00B442EC" w:rsidP="00B442EC">
            <w:pPr>
              <w:spacing w:after="120" w:line="264" w:lineRule="auto"/>
              <w:rPr>
                <w:rFonts w:ascii="Calibri" w:hAnsi="Calibri" w:cs="Times New Roman"/>
              </w:rPr>
            </w:pPr>
            <w:r w:rsidRPr="00B442EC">
              <w:rPr>
                <w:rFonts w:ascii="Calibri" w:hAnsi="Calibri" w:cs="Calibri"/>
              </w:rPr>
              <w:t>With ILM set to 1</w:t>
            </w:r>
          </w:p>
        </w:tc>
        <w:tc>
          <w:tcPr>
            <w:tcW w:w="3447" w:type="dxa"/>
            <w:tcBorders>
              <w:bottom w:val="single" w:sz="4" w:space="0" w:color="auto"/>
            </w:tcBorders>
            <w:shd w:val="clear" w:color="auto" w:fill="auto"/>
          </w:tcPr>
          <w:p w14:paraId="131019CE" w14:textId="77777777" w:rsidR="00B442EC" w:rsidRPr="00B442EC" w:rsidRDefault="00B442EC" w:rsidP="00B442EC">
            <w:pPr>
              <w:spacing w:after="120" w:line="264" w:lineRule="auto"/>
              <w:contextualSpacing/>
              <w:jc w:val="both"/>
              <w:rPr>
                <w:rFonts w:ascii="Calibri" w:hAnsi="Calibri" w:cs="Times New Roman"/>
              </w:rPr>
            </w:pPr>
            <w:r w:rsidRPr="00B442EC">
              <w:rPr>
                <w:rFonts w:ascii="Calibri" w:hAnsi="Calibri" w:cs="Times New Roman"/>
              </w:rPr>
              <w:t>These items are formula driven in the BA400 return</w:t>
            </w:r>
          </w:p>
        </w:tc>
      </w:tr>
    </w:tbl>
    <w:p w14:paraId="76BF2B0B" w14:textId="77777777" w:rsidR="00B442EC" w:rsidRPr="00B442EC" w:rsidRDefault="00B442EC" w:rsidP="00B442EC">
      <w:pPr>
        <w:tabs>
          <w:tab w:val="left" w:pos="5795"/>
        </w:tabs>
        <w:spacing w:after="120" w:line="264" w:lineRule="auto"/>
        <w:jc w:val="both"/>
        <w:rPr>
          <w:rFonts w:ascii="Calibri" w:eastAsia="Times New Roman" w:hAnsi="Calibri" w:cs="Times New Roman"/>
        </w:rPr>
      </w:pPr>
    </w:p>
    <w:p w14:paraId="1EE34D4B" w14:textId="77777777" w:rsidR="00B442EC" w:rsidRPr="00B442EC" w:rsidRDefault="00B442EC" w:rsidP="00B442EC">
      <w:pPr>
        <w:tabs>
          <w:tab w:val="left" w:pos="5795"/>
        </w:tabs>
        <w:spacing w:after="120" w:line="264" w:lineRule="auto"/>
        <w:jc w:val="both"/>
        <w:rPr>
          <w:rFonts w:ascii="Calibri" w:eastAsia="Times New Roman" w:hAnsi="Calibri" w:cs="Times New Roman"/>
        </w:rPr>
      </w:pPr>
    </w:p>
    <w:p w14:paraId="22F03512" w14:textId="77777777" w:rsidR="00825136" w:rsidRDefault="00825136"/>
    <w:sectPr w:rsidR="00825136" w:rsidSect="00254A7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0C43" w14:textId="77777777" w:rsidR="009B4E86" w:rsidRDefault="009B4E86" w:rsidP="00B442EC">
      <w:pPr>
        <w:spacing w:after="0" w:line="240" w:lineRule="auto"/>
      </w:pPr>
      <w:r>
        <w:separator/>
      </w:r>
    </w:p>
  </w:endnote>
  <w:endnote w:type="continuationSeparator" w:id="0">
    <w:p w14:paraId="28663DD4" w14:textId="77777777" w:rsidR="009B4E86" w:rsidRDefault="009B4E86" w:rsidP="00B4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898B" w14:textId="77777777" w:rsidR="006C2EF0" w:rsidRDefault="006C2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66933"/>
      <w:docPartObj>
        <w:docPartGallery w:val="Page Numbers (Bottom of Page)"/>
        <w:docPartUnique/>
      </w:docPartObj>
    </w:sdtPr>
    <w:sdtEndPr>
      <w:rPr>
        <w:noProof/>
      </w:rPr>
    </w:sdtEndPr>
    <w:sdtContent>
      <w:p w14:paraId="27B58FB9" w14:textId="77777777" w:rsidR="00B34118" w:rsidRDefault="00B442E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B576EF7" w14:textId="77777777" w:rsidR="00B34118" w:rsidRPr="00045156" w:rsidRDefault="00B442EC">
    <w:pPr>
      <w:pStyle w:val="Footer"/>
      <w:rPr>
        <w:sz w:val="16"/>
        <w:szCs w:val="16"/>
      </w:rPr>
    </w:pPr>
    <w:r w:rsidRPr="00045156">
      <w:rPr>
        <w:sz w:val="16"/>
        <w:szCs w:val="16"/>
      </w:rPr>
      <w:t>Operational Risk BA400 return accompanying text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ED16" w14:textId="77777777" w:rsidR="006C2EF0" w:rsidRDefault="006C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1188" w14:textId="77777777" w:rsidR="009B4E86" w:rsidRDefault="009B4E86" w:rsidP="00B442EC">
      <w:pPr>
        <w:spacing w:after="0" w:line="240" w:lineRule="auto"/>
      </w:pPr>
      <w:r>
        <w:separator/>
      </w:r>
    </w:p>
  </w:footnote>
  <w:footnote w:type="continuationSeparator" w:id="0">
    <w:p w14:paraId="3B989683" w14:textId="77777777" w:rsidR="009B4E86" w:rsidRDefault="009B4E86" w:rsidP="00B44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8A7B" w14:textId="3B06C54A" w:rsidR="00B34118" w:rsidRDefault="00B442EC">
    <w:pPr>
      <w:pStyle w:val="Header"/>
    </w:pPr>
    <w:r>
      <w:rPr>
        <w:noProof/>
      </w:rPr>
      <mc:AlternateContent>
        <mc:Choice Requires="wps">
          <w:drawing>
            <wp:anchor distT="0" distB="0" distL="114300" distR="114300" simplePos="0" relativeHeight="251659264" behindDoc="1" locked="0" layoutInCell="0" allowOverlap="1" wp14:anchorId="34606D03" wp14:editId="4A4B04DF">
              <wp:simplePos x="0" y="0"/>
              <wp:positionH relativeFrom="margin">
                <wp:align>center</wp:align>
              </wp:positionH>
              <wp:positionV relativeFrom="margin">
                <wp:align>center</wp:align>
              </wp:positionV>
              <wp:extent cx="5050790" cy="30302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wps:spPr>
                    <wps:txbx>
                      <w:txbxContent>
                        <w:p w14:paraId="1118F94F" w14:textId="77777777" w:rsidR="00290517" w:rsidRDefault="00B442EC" w:rsidP="00290517">
                          <w:pPr>
                            <w:pStyle w:val="NormalWeb"/>
                            <w:spacing w:after="0"/>
                            <w:jc w:val="center"/>
                          </w:pPr>
                          <w:r w:rsidRPr="00B442EC">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606D03" id="_x0000_t202" coordsize="21600,21600" o:spt="202" path="m,l,21600r21600,l21600,xe">
              <v:stroke joinstyle="miter"/>
              <v:path gradientshapeok="t" o:connecttype="rect"/>
            </v:shapetype>
            <v:shape id="Text Box 4" o:spid="_x0000_s1026" type="#_x0000_t202" style="position:absolute;margin-left:0;margin-top:0;width:397.7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o:lock v:ext="edit" shapetype="t"/>
              <v:textbox style="mso-fit-shape-to-text:t">
                <w:txbxContent>
                  <w:p w14:paraId="1118F94F" w14:textId="77777777" w:rsidR="00290517" w:rsidRDefault="00B442EC" w:rsidP="00290517">
                    <w:pPr>
                      <w:pStyle w:val="NormalWeb"/>
                      <w:spacing w:after="0"/>
                      <w:jc w:val="center"/>
                    </w:pPr>
                    <w:r w:rsidRPr="00B442EC">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5FCC" w14:textId="77777777" w:rsidR="006C2EF0" w:rsidRDefault="006C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FB66" w14:textId="77777777" w:rsidR="006C2EF0" w:rsidRDefault="006C2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6F28"/>
    <w:multiLevelType w:val="hybridMultilevel"/>
    <w:tmpl w:val="967A5E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86A354C"/>
    <w:multiLevelType w:val="hybridMultilevel"/>
    <w:tmpl w:val="71B6D5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F5C4B55"/>
    <w:multiLevelType w:val="hybridMultilevel"/>
    <w:tmpl w:val="6ED44A2E"/>
    <w:lvl w:ilvl="0" w:tplc="1C090017">
      <w:start w:val="1"/>
      <w:numFmt w:val="lowerLetter"/>
      <w:lvlText w:val="%1)"/>
      <w:lvlJc w:val="left"/>
      <w:pPr>
        <w:ind w:left="720" w:hanging="360"/>
      </w:pPr>
      <w:rPr>
        <w:rFonts w:hint="default"/>
      </w:rPr>
    </w:lvl>
    <w:lvl w:ilvl="1" w:tplc="1C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7835">
    <w:abstractNumId w:val="0"/>
  </w:num>
  <w:num w:numId="2" w16cid:durableId="230770850">
    <w:abstractNumId w:val="2"/>
  </w:num>
  <w:num w:numId="3" w16cid:durableId="999424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EC"/>
    <w:rsid w:val="002656CF"/>
    <w:rsid w:val="00424CC1"/>
    <w:rsid w:val="00651B57"/>
    <w:rsid w:val="006C2EF0"/>
    <w:rsid w:val="00715514"/>
    <w:rsid w:val="00825136"/>
    <w:rsid w:val="009B4E86"/>
    <w:rsid w:val="00B442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49F9"/>
  <w15:chartTrackingRefBased/>
  <w15:docId w15:val="{59D387CB-CE4F-4240-9DF4-8D579B99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2EC"/>
    <w:rPr>
      <w:rFonts w:ascii="Times New Roman" w:hAnsi="Times New Roman" w:cs="Times New Roman"/>
      <w:sz w:val="24"/>
      <w:szCs w:val="24"/>
    </w:rPr>
  </w:style>
  <w:style w:type="paragraph" w:styleId="Header">
    <w:name w:val="header"/>
    <w:basedOn w:val="Normal"/>
    <w:link w:val="HeaderChar"/>
    <w:uiPriority w:val="99"/>
    <w:unhideWhenUsed/>
    <w:rsid w:val="00B442EC"/>
    <w:pPr>
      <w:tabs>
        <w:tab w:val="center" w:pos="4513"/>
        <w:tab w:val="right" w:pos="9026"/>
      </w:tabs>
      <w:spacing w:after="0" w:line="240" w:lineRule="auto"/>
    </w:pPr>
    <w:rPr>
      <w:rFonts w:eastAsia="Times New Roman"/>
      <w:sz w:val="20"/>
      <w:szCs w:val="20"/>
    </w:rPr>
  </w:style>
  <w:style w:type="character" w:customStyle="1" w:styleId="HeaderChar">
    <w:name w:val="Header Char"/>
    <w:basedOn w:val="DefaultParagraphFont"/>
    <w:link w:val="Header"/>
    <w:uiPriority w:val="99"/>
    <w:rsid w:val="00B442EC"/>
    <w:rPr>
      <w:rFonts w:eastAsia="Times New Roman"/>
      <w:sz w:val="20"/>
      <w:szCs w:val="20"/>
    </w:rPr>
  </w:style>
  <w:style w:type="paragraph" w:styleId="Footer">
    <w:name w:val="footer"/>
    <w:basedOn w:val="Normal"/>
    <w:link w:val="FooterChar"/>
    <w:uiPriority w:val="99"/>
    <w:unhideWhenUsed/>
    <w:rsid w:val="00B442EC"/>
    <w:pPr>
      <w:tabs>
        <w:tab w:val="center" w:pos="4513"/>
        <w:tab w:val="right" w:pos="9026"/>
      </w:tabs>
      <w:spacing w:after="0" w:line="240" w:lineRule="auto"/>
    </w:pPr>
    <w:rPr>
      <w:rFonts w:eastAsia="Times New Roman"/>
      <w:sz w:val="20"/>
      <w:szCs w:val="20"/>
    </w:rPr>
  </w:style>
  <w:style w:type="character" w:customStyle="1" w:styleId="FooterChar">
    <w:name w:val="Footer Char"/>
    <w:basedOn w:val="DefaultParagraphFont"/>
    <w:link w:val="Footer"/>
    <w:uiPriority w:val="99"/>
    <w:rsid w:val="00B442EC"/>
    <w:rPr>
      <w:rFonts w:eastAsia="Times New Roman"/>
      <w:sz w:val="20"/>
      <w:szCs w:val="20"/>
    </w:rPr>
  </w:style>
  <w:style w:type="table" w:customStyle="1" w:styleId="TableGrid1">
    <w:name w:val="Table Grid1"/>
    <w:basedOn w:val="TableNormal"/>
    <w:next w:val="TableGrid"/>
    <w:uiPriority w:val="39"/>
    <w:rsid w:val="00B442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c52299-74de-4dfd-b117-c9c408edfa50}" enabled="1" method="Standard" siteId="{853cbaab-a620-4178-8933-88d76414184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2107</Words>
  <Characters>12016</Characters>
  <Application>Microsoft Office Word</Application>
  <DocSecurity>0</DocSecurity>
  <Lines>100</Lines>
  <Paragraphs>28</Paragraphs>
  <ScaleCrop>false</ScaleCrop>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Itumeleng Ledwaba</dc:creator>
  <cp:keywords/>
  <dc:description/>
  <cp:lastModifiedBy>Dries Smal</cp:lastModifiedBy>
  <cp:revision>2</cp:revision>
  <dcterms:created xsi:type="dcterms:W3CDTF">2022-06-09T08:36:00Z</dcterms:created>
  <dcterms:modified xsi:type="dcterms:W3CDTF">2022-06-09T08:36:00Z</dcterms:modified>
</cp:coreProperties>
</file>