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CC" w:rsidRPr="00DD6FCC" w:rsidRDefault="00DD6FCC" w:rsidP="00A854A8">
      <w:pPr>
        <w:widowControl w:val="0"/>
        <w:autoSpaceDE w:val="0"/>
        <w:autoSpaceDN w:val="0"/>
        <w:adjustRightInd w:val="0"/>
        <w:ind w:left="708" w:hanging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D6FC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</w:t>
      </w:r>
      <w:r w:rsidR="0024352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nnexure</w:t>
      </w:r>
      <w:bookmarkStart w:id="0" w:name="_GoBack"/>
      <w:bookmarkEnd w:id="0"/>
      <w:r w:rsidRPr="00DD6FC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B: </w:t>
      </w:r>
      <w:r w:rsidRPr="00DD6F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Phase-in Arrangements for the minimum requirements</w:t>
      </w:r>
    </w:p>
    <w:p w:rsidR="00DD6FCC" w:rsidRPr="00DD6FCC" w:rsidRDefault="00DD6FCC" w:rsidP="00DD6FCC">
      <w:pPr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</w:p>
    <w:p w:rsidR="00DD6FCC" w:rsidRPr="00DD6FCC" w:rsidRDefault="00DD6FCC" w:rsidP="00DD6FCC">
      <w:pPr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en-GB"/>
        </w:rPr>
      </w:pPr>
      <w:r w:rsidRPr="00DD6FCC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Shading indicates transition periods - all dates are as of 1 January</w:t>
      </w:r>
    </w:p>
    <w:tbl>
      <w:tblPr>
        <w:tblW w:w="1399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5"/>
        <w:gridCol w:w="825"/>
        <w:gridCol w:w="680"/>
        <w:gridCol w:w="680"/>
        <w:gridCol w:w="680"/>
        <w:gridCol w:w="907"/>
        <w:gridCol w:w="907"/>
        <w:gridCol w:w="907"/>
        <w:gridCol w:w="825"/>
        <w:gridCol w:w="680"/>
        <w:gridCol w:w="680"/>
        <w:gridCol w:w="680"/>
      </w:tblGrid>
      <w:tr w:rsidR="00DD6FCC" w:rsidRPr="00DD6FCC" w:rsidTr="00AB64F7">
        <w:trPr>
          <w:trHeight w:val="284"/>
        </w:trPr>
        <w:tc>
          <w:tcPr>
            <w:tcW w:w="5545" w:type="dxa"/>
            <w:shd w:val="clear" w:color="auto" w:fill="C4BC96" w:themeFill="background2" w:themeFillShade="BF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5" w:type="dxa"/>
            <w:shd w:val="clear" w:color="auto" w:fill="C4BC96" w:themeFill="background2" w:themeFillShade="BF"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Basel III</w:t>
            </w: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907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907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907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825" w:type="dxa"/>
            <w:shd w:val="clear" w:color="auto" w:fill="C4BC96" w:themeFill="background2" w:themeFillShade="BF"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2022</w:t>
            </w:r>
          </w:p>
        </w:tc>
      </w:tr>
      <w:tr w:rsidR="00DD6FCC" w:rsidRPr="00DD6FCC" w:rsidTr="00AB64F7">
        <w:trPr>
          <w:trHeight w:val="260"/>
        </w:trPr>
        <w:tc>
          <w:tcPr>
            <w:tcW w:w="5545" w:type="dxa"/>
            <w:shd w:val="clear" w:color="auto" w:fill="C4BC96" w:themeFill="background2" w:themeFillShade="BF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Common Equity Tier 1 requirements (CET1)</w:t>
            </w:r>
          </w:p>
        </w:tc>
        <w:tc>
          <w:tcPr>
            <w:tcW w:w="825" w:type="dxa"/>
            <w:shd w:val="clear" w:color="auto" w:fill="C4BC96" w:themeFill="background2" w:themeFillShade="BF"/>
            <w:vAlign w:val="center"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vAlign w:val="center"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vAlign w:val="center"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vAlign w:val="center"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7" w:type="dxa"/>
            <w:shd w:val="clear" w:color="auto" w:fill="C4BC96" w:themeFill="background2" w:themeFillShade="BF"/>
            <w:vAlign w:val="center"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7" w:type="dxa"/>
            <w:shd w:val="clear" w:color="auto" w:fill="C4BC96" w:themeFill="background2" w:themeFillShade="BF"/>
            <w:vAlign w:val="center"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7" w:type="dxa"/>
            <w:shd w:val="clear" w:color="auto" w:fill="C4BC96" w:themeFill="background2" w:themeFillShade="BF"/>
            <w:vAlign w:val="center"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5" w:type="dxa"/>
            <w:shd w:val="clear" w:color="auto" w:fill="C4BC96" w:themeFill="background2" w:themeFillShade="BF"/>
            <w:vAlign w:val="center"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vAlign w:val="center"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vAlign w:val="center"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vAlign w:val="center"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DD6FCC" w:rsidRPr="00DD6FCC" w:rsidTr="00AB64F7">
        <w:trPr>
          <w:trHeight w:val="397"/>
        </w:trPr>
        <w:tc>
          <w:tcPr>
            <w:tcW w:w="5545" w:type="dxa"/>
            <w:shd w:val="clear" w:color="auto" w:fill="auto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Minimum CET1 Ratio (per Basel III)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4,5%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3,5%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4,0%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4,5%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4,5%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4,5%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4,5%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4,5%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D6FCC" w:rsidRPr="00DD6FCC" w:rsidTr="00AB64F7">
        <w:trPr>
          <w:trHeight w:val="397"/>
        </w:trPr>
        <w:tc>
          <w:tcPr>
            <w:tcW w:w="5545" w:type="dxa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Pillar 2A for CET1 </w:t>
            </w:r>
          </w:p>
        </w:tc>
        <w:tc>
          <w:tcPr>
            <w:tcW w:w="825" w:type="dxa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1,0%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1,5%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2,0%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1,75%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1,50%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1,0%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0,50%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D6FCC" w:rsidRPr="00DD6FCC" w:rsidTr="00AB64F7">
        <w:trPr>
          <w:trHeight w:val="397"/>
        </w:trPr>
        <w:tc>
          <w:tcPr>
            <w:tcW w:w="5545" w:type="dxa"/>
            <w:shd w:val="clear" w:color="000000" w:fill="FFFFFF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Minimum CET1 plus Pillar 2A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4,5%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5,5%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6,5%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6,25%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6,0%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5,5%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5,0%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D6FCC" w:rsidRPr="00DD6FCC" w:rsidTr="00AB64F7">
        <w:trPr>
          <w:trHeight w:val="397"/>
        </w:trPr>
        <w:tc>
          <w:tcPr>
            <w:tcW w:w="5545" w:type="dxa"/>
            <w:shd w:val="clear" w:color="000000" w:fill="FFFFFF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Phasing in of D-SIB requirements at CET1 level </w:t>
            </w: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n-GB"/>
              </w:rPr>
              <w:footnoteReference w:id="1"/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7" w:type="dxa"/>
            <w:shd w:val="clear" w:color="000000" w:fill="BFBF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25%</w:t>
            </w:r>
          </w:p>
        </w:tc>
        <w:tc>
          <w:tcPr>
            <w:tcW w:w="907" w:type="dxa"/>
            <w:shd w:val="clear" w:color="000000" w:fill="BFBF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50%</w:t>
            </w:r>
          </w:p>
        </w:tc>
        <w:tc>
          <w:tcPr>
            <w:tcW w:w="907" w:type="dxa"/>
            <w:shd w:val="clear" w:color="000000" w:fill="BFBF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75%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D6FCC" w:rsidRPr="00DD6FCC" w:rsidTr="00AB64F7">
        <w:trPr>
          <w:trHeight w:val="397"/>
        </w:trPr>
        <w:tc>
          <w:tcPr>
            <w:tcW w:w="5545" w:type="dxa"/>
            <w:shd w:val="clear" w:color="auto" w:fill="auto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Capital Conservation buffer </w:t>
            </w: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2,5%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7" w:type="dxa"/>
            <w:shd w:val="clear" w:color="000000" w:fill="BFBF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0,625%</w:t>
            </w:r>
          </w:p>
        </w:tc>
        <w:tc>
          <w:tcPr>
            <w:tcW w:w="907" w:type="dxa"/>
            <w:shd w:val="clear" w:color="000000" w:fill="BFBF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1,25%</w:t>
            </w:r>
          </w:p>
        </w:tc>
        <w:tc>
          <w:tcPr>
            <w:tcW w:w="907" w:type="dxa"/>
            <w:shd w:val="clear" w:color="000000" w:fill="BFBF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1,875%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2,5%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D6FCC" w:rsidRPr="00DD6FCC" w:rsidTr="00AB64F7">
        <w:trPr>
          <w:trHeight w:val="397"/>
        </w:trPr>
        <w:tc>
          <w:tcPr>
            <w:tcW w:w="5545" w:type="dxa"/>
            <w:shd w:val="clear" w:color="auto" w:fill="auto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Countercyclical buffer (maximum per cent, if imposed) </w:t>
            </w:r>
            <w:r w:rsidRPr="00DD6FCC">
              <w:rPr>
                <w:rFonts w:ascii="Calibri" w:eastAsia="Times New Roman" w:hAnsi="Calibri" w:cs="Times New Roman"/>
                <w:vertAlign w:val="superscript"/>
                <w:lang w:eastAsia="en-GB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2,5%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7" w:type="dxa"/>
            <w:shd w:val="clear" w:color="000000" w:fill="BFBF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0,625%</w:t>
            </w:r>
          </w:p>
        </w:tc>
        <w:tc>
          <w:tcPr>
            <w:tcW w:w="907" w:type="dxa"/>
            <w:shd w:val="clear" w:color="000000" w:fill="BFBF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1,25%</w:t>
            </w:r>
          </w:p>
        </w:tc>
        <w:tc>
          <w:tcPr>
            <w:tcW w:w="907" w:type="dxa"/>
            <w:shd w:val="clear" w:color="000000" w:fill="BFBF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1,875%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2,5%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D6FCC" w:rsidRPr="00DD6FCC" w:rsidTr="00AB64F7">
        <w:trPr>
          <w:trHeight w:val="241"/>
        </w:trPr>
        <w:tc>
          <w:tcPr>
            <w:tcW w:w="5545" w:type="dxa"/>
            <w:shd w:val="clear" w:color="auto" w:fill="C4BC96" w:themeFill="background2" w:themeFillShade="BF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Tier 1 requirements (T1)</w:t>
            </w:r>
          </w:p>
        </w:tc>
        <w:tc>
          <w:tcPr>
            <w:tcW w:w="825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7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7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7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5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D6FCC" w:rsidRPr="00DD6FCC" w:rsidTr="00AB64F7">
        <w:trPr>
          <w:trHeight w:val="397"/>
        </w:trPr>
        <w:tc>
          <w:tcPr>
            <w:tcW w:w="5545" w:type="dxa"/>
            <w:shd w:val="clear" w:color="auto" w:fill="auto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Minimum Tier 1 Ratio (per Basel III)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6,0%</w:t>
            </w:r>
          </w:p>
        </w:tc>
        <w:tc>
          <w:tcPr>
            <w:tcW w:w="680" w:type="dxa"/>
            <w:shd w:val="clear" w:color="000000" w:fill="BFBF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4,5%</w:t>
            </w:r>
          </w:p>
        </w:tc>
        <w:tc>
          <w:tcPr>
            <w:tcW w:w="680" w:type="dxa"/>
            <w:shd w:val="clear" w:color="000000" w:fill="BFBF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5,5%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6,0%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6,0%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6,0%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6,0%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6,0%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D6FCC" w:rsidRPr="00DD6FCC" w:rsidTr="00AB64F7">
        <w:trPr>
          <w:trHeight w:val="397"/>
        </w:trPr>
        <w:tc>
          <w:tcPr>
            <w:tcW w:w="5545" w:type="dxa"/>
            <w:shd w:val="clear" w:color="auto" w:fill="auto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Pillar 2A for T1 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1,5%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1,5%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2,0%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1,5%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1,25%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1,0%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0,75%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D6FCC" w:rsidRPr="00DD6FCC" w:rsidTr="00AB64F7">
        <w:trPr>
          <w:trHeight w:val="397"/>
        </w:trPr>
        <w:tc>
          <w:tcPr>
            <w:tcW w:w="5545" w:type="dxa"/>
            <w:shd w:val="clear" w:color="auto" w:fill="auto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Minimum T1 plus Pillar 2A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6,0%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7,0%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8,0%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7,5%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7,25%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7,0%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6,75%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D6FCC" w:rsidRPr="00DD6FCC" w:rsidTr="00AB64F7">
        <w:trPr>
          <w:trHeight w:val="397"/>
        </w:trPr>
        <w:tc>
          <w:tcPr>
            <w:tcW w:w="5545" w:type="dxa"/>
            <w:shd w:val="clear" w:color="auto" w:fill="auto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Phasing in of D-SIB requirements at Tier 1 level </w:t>
            </w:r>
            <w:r w:rsidRPr="00DD6FCC">
              <w:rPr>
                <w:rFonts w:ascii="Calibri" w:eastAsia="Times New Roman" w:hAnsi="Calibri" w:cs="Times New Roman"/>
                <w:vertAlign w:val="superscript"/>
                <w:lang w:eastAsia="en-GB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25%</w:t>
            </w:r>
          </w:p>
        </w:tc>
        <w:tc>
          <w:tcPr>
            <w:tcW w:w="907" w:type="dxa"/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50%</w:t>
            </w:r>
          </w:p>
        </w:tc>
        <w:tc>
          <w:tcPr>
            <w:tcW w:w="907" w:type="dxa"/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75%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D6FCC" w:rsidRPr="00DD6FCC" w:rsidTr="00AB64F7">
        <w:trPr>
          <w:trHeight w:val="353"/>
        </w:trPr>
        <w:tc>
          <w:tcPr>
            <w:tcW w:w="5545" w:type="dxa"/>
            <w:shd w:val="clear" w:color="auto" w:fill="C4BC96" w:themeFill="background2" w:themeFillShade="BF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Total capital requirements</w:t>
            </w:r>
          </w:p>
        </w:tc>
        <w:tc>
          <w:tcPr>
            <w:tcW w:w="825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7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7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7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5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C4BC96" w:themeFill="background2" w:themeFillShade="B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D6FCC" w:rsidRPr="00DD6FCC" w:rsidTr="00AB64F7">
        <w:trPr>
          <w:trHeight w:val="397"/>
        </w:trPr>
        <w:tc>
          <w:tcPr>
            <w:tcW w:w="5545" w:type="dxa"/>
            <w:shd w:val="clear" w:color="auto" w:fill="auto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Minimum Total Capital Ratio (per Basel III)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8,0%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8,0%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8,0%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8,0%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8,0%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8,0%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8,0%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8,0%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D6FCC" w:rsidRPr="00DD6FCC" w:rsidTr="00AB64F7">
        <w:trPr>
          <w:trHeight w:val="397"/>
        </w:trPr>
        <w:tc>
          <w:tcPr>
            <w:tcW w:w="5545" w:type="dxa"/>
            <w:shd w:val="clear" w:color="auto" w:fill="auto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Pillar 2A for Total Capital (maximum 2.0%)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1,5%</w:t>
            </w: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2,0%</w:t>
            </w:r>
          </w:p>
        </w:tc>
        <w:tc>
          <w:tcPr>
            <w:tcW w:w="680" w:type="dxa"/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2,0%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1,75%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1,50%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1,25%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1,0%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D6FCC" w:rsidRPr="00DD6FCC" w:rsidTr="00AB64F7">
        <w:trPr>
          <w:trHeight w:val="397"/>
        </w:trPr>
        <w:tc>
          <w:tcPr>
            <w:tcW w:w="5545" w:type="dxa"/>
            <w:shd w:val="clear" w:color="auto" w:fill="auto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Minimum Total Capital plus Pillar 2A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9,5%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10,0%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10,0%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9,75%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9,5%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9,25%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9,0%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D6FCC" w:rsidRPr="00DD6FCC" w:rsidTr="00AB64F7">
        <w:trPr>
          <w:trHeight w:val="397"/>
        </w:trPr>
        <w:tc>
          <w:tcPr>
            <w:tcW w:w="5545" w:type="dxa"/>
            <w:shd w:val="clear" w:color="auto" w:fill="auto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Phasing in of specified D-SIB charge at Total Capital level </w:t>
            </w:r>
            <w:r w:rsidRPr="00DD6FCC">
              <w:rPr>
                <w:rFonts w:ascii="Calibri" w:eastAsia="Times New Roman" w:hAnsi="Calibri" w:cs="Times New Roman"/>
                <w:vertAlign w:val="superscript"/>
                <w:lang w:eastAsia="en-GB"/>
              </w:rPr>
              <w:t>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25%</w:t>
            </w:r>
          </w:p>
        </w:tc>
        <w:tc>
          <w:tcPr>
            <w:tcW w:w="907" w:type="dxa"/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50%</w:t>
            </w:r>
          </w:p>
        </w:tc>
        <w:tc>
          <w:tcPr>
            <w:tcW w:w="907" w:type="dxa"/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75%</w:t>
            </w:r>
          </w:p>
        </w:tc>
        <w:tc>
          <w:tcPr>
            <w:tcW w:w="825" w:type="dxa"/>
            <w:shd w:val="clear" w:color="auto" w:fill="BFBFBF" w:themeFill="background1" w:themeFillShade="B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100% 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D6FCC" w:rsidRPr="00DD6FCC" w:rsidTr="00AB64F7">
        <w:trPr>
          <w:trHeight w:val="454"/>
        </w:trPr>
        <w:tc>
          <w:tcPr>
            <w:tcW w:w="5545" w:type="dxa"/>
            <w:shd w:val="clear" w:color="auto" w:fill="auto"/>
            <w:vAlign w:val="center"/>
            <w:hideMark/>
          </w:tcPr>
          <w:p w:rsidR="00DD6FCC" w:rsidRPr="00DD6FCC" w:rsidRDefault="00DD6FCC" w:rsidP="00DD6FC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Capital instruments that no longer qualify as additional Tier 1 or Tier 2 capital</w:t>
            </w:r>
          </w:p>
        </w:tc>
        <w:tc>
          <w:tcPr>
            <w:tcW w:w="8451" w:type="dxa"/>
            <w:gridSpan w:val="11"/>
            <w:shd w:val="clear" w:color="auto" w:fill="auto"/>
            <w:noWrap/>
            <w:vAlign w:val="center"/>
            <w:hideMark/>
          </w:tcPr>
          <w:p w:rsidR="00DD6FCC" w:rsidRPr="00DD6FCC" w:rsidRDefault="00DD6FCC" w:rsidP="00DD6FC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D6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Phased out over 10-year horizon beginning 2013</w:t>
            </w:r>
          </w:p>
        </w:tc>
      </w:tr>
    </w:tbl>
    <w:p w:rsidR="006A3ACE" w:rsidRDefault="006A3ACE"/>
    <w:sectPr w:rsidR="006A3ACE" w:rsidSect="00275E64">
      <w:footnotePr>
        <w:numRestart w:val="eachPage"/>
      </w:footnotePr>
      <w:pgSz w:w="163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CC" w:rsidRDefault="00DD6FCC" w:rsidP="00DD6FCC">
      <w:r>
        <w:separator/>
      </w:r>
    </w:p>
  </w:endnote>
  <w:endnote w:type="continuationSeparator" w:id="0">
    <w:p w:rsidR="00DD6FCC" w:rsidRDefault="00DD6FCC" w:rsidP="00DD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CC" w:rsidRDefault="00DD6FCC" w:rsidP="00DD6FCC">
      <w:r>
        <w:separator/>
      </w:r>
    </w:p>
  </w:footnote>
  <w:footnote w:type="continuationSeparator" w:id="0">
    <w:p w:rsidR="00DD6FCC" w:rsidRDefault="00DD6FCC" w:rsidP="00DD6FCC">
      <w:r>
        <w:continuationSeparator/>
      </w:r>
    </w:p>
  </w:footnote>
  <w:footnote w:id="1">
    <w:p w:rsidR="00DD6FCC" w:rsidRPr="00EE66E9" w:rsidRDefault="00DD6FCC" w:rsidP="00DD6FCC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E66E9">
        <w:rPr>
          <w:rFonts w:ascii="Arial" w:hAnsi="Arial" w:cs="Arial"/>
          <w:sz w:val="16"/>
          <w:szCs w:val="16"/>
        </w:rPr>
        <w:t>The aggregate requirement for Pillar 2A and D-SIB will not exceed 2,0 per cent for CET1, 2,5 per cent for Tier 1 and 3,5 per cent in respect of the total capital-adequacy ratio</w:t>
      </w:r>
    </w:p>
  </w:footnote>
  <w:footnote w:id="2">
    <w:p w:rsidR="00DD6FCC" w:rsidRPr="00EE66E9" w:rsidRDefault="00DD6FCC" w:rsidP="00DD6FCC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E66E9">
        <w:rPr>
          <w:rFonts w:ascii="Arial" w:hAnsi="Arial" w:cs="Arial"/>
          <w:sz w:val="16"/>
          <w:szCs w:val="16"/>
        </w:rPr>
        <w:t>The capital conservation buffer together with the countercyclical buffer will be applied at CET1 level and will also be required to be met at both a Tier 1 and Total capital level.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CC"/>
    <w:rsid w:val="00006CC1"/>
    <w:rsid w:val="0001228E"/>
    <w:rsid w:val="00022DEA"/>
    <w:rsid w:val="0003248A"/>
    <w:rsid w:val="000421FA"/>
    <w:rsid w:val="000435FE"/>
    <w:rsid w:val="00050134"/>
    <w:rsid w:val="000608E1"/>
    <w:rsid w:val="000639FF"/>
    <w:rsid w:val="000746CD"/>
    <w:rsid w:val="00074DF2"/>
    <w:rsid w:val="0007729E"/>
    <w:rsid w:val="00083621"/>
    <w:rsid w:val="00084A44"/>
    <w:rsid w:val="0008716E"/>
    <w:rsid w:val="00096EA4"/>
    <w:rsid w:val="000A43FB"/>
    <w:rsid w:val="000A5C82"/>
    <w:rsid w:val="000A5DC5"/>
    <w:rsid w:val="000B11D3"/>
    <w:rsid w:val="000B3A1C"/>
    <w:rsid w:val="000D1452"/>
    <w:rsid w:val="000D2A53"/>
    <w:rsid w:val="000D2D8B"/>
    <w:rsid w:val="000D57CB"/>
    <w:rsid w:val="000D664A"/>
    <w:rsid w:val="000F345D"/>
    <w:rsid w:val="000F3E85"/>
    <w:rsid w:val="000F6E25"/>
    <w:rsid w:val="000F6F3F"/>
    <w:rsid w:val="00100C1C"/>
    <w:rsid w:val="00101A3F"/>
    <w:rsid w:val="00104B06"/>
    <w:rsid w:val="0011385F"/>
    <w:rsid w:val="001168A7"/>
    <w:rsid w:val="00131767"/>
    <w:rsid w:val="00134BEE"/>
    <w:rsid w:val="00135FFE"/>
    <w:rsid w:val="0013672A"/>
    <w:rsid w:val="0014429F"/>
    <w:rsid w:val="001448FD"/>
    <w:rsid w:val="00155CC3"/>
    <w:rsid w:val="00157877"/>
    <w:rsid w:val="001579AB"/>
    <w:rsid w:val="00163C91"/>
    <w:rsid w:val="001653DA"/>
    <w:rsid w:val="001672DC"/>
    <w:rsid w:val="00175453"/>
    <w:rsid w:val="00183E1A"/>
    <w:rsid w:val="00190A29"/>
    <w:rsid w:val="00197FC5"/>
    <w:rsid w:val="001A060E"/>
    <w:rsid w:val="001A3BC5"/>
    <w:rsid w:val="001B1F1F"/>
    <w:rsid w:val="001B4A7A"/>
    <w:rsid w:val="001B505F"/>
    <w:rsid w:val="001B5D13"/>
    <w:rsid w:val="001B5E77"/>
    <w:rsid w:val="001C2698"/>
    <w:rsid w:val="001C2AA7"/>
    <w:rsid w:val="001C37DB"/>
    <w:rsid w:val="001D0A58"/>
    <w:rsid w:val="001D1B44"/>
    <w:rsid w:val="001E0899"/>
    <w:rsid w:val="001E1F30"/>
    <w:rsid w:val="001E6A28"/>
    <w:rsid w:val="001F1A60"/>
    <w:rsid w:val="001F4C79"/>
    <w:rsid w:val="001F631C"/>
    <w:rsid w:val="001F7F18"/>
    <w:rsid w:val="00203017"/>
    <w:rsid w:val="00203956"/>
    <w:rsid w:val="00204FF8"/>
    <w:rsid w:val="0020719B"/>
    <w:rsid w:val="00207A2D"/>
    <w:rsid w:val="00210FB1"/>
    <w:rsid w:val="00213841"/>
    <w:rsid w:val="0021685B"/>
    <w:rsid w:val="00221BB3"/>
    <w:rsid w:val="00221F26"/>
    <w:rsid w:val="00223FB7"/>
    <w:rsid w:val="002315A5"/>
    <w:rsid w:val="00231819"/>
    <w:rsid w:val="0023285E"/>
    <w:rsid w:val="00233DE8"/>
    <w:rsid w:val="00236307"/>
    <w:rsid w:val="00237459"/>
    <w:rsid w:val="00237A23"/>
    <w:rsid w:val="002422D7"/>
    <w:rsid w:val="00242632"/>
    <w:rsid w:val="00243526"/>
    <w:rsid w:val="0026089B"/>
    <w:rsid w:val="00265F02"/>
    <w:rsid w:val="00270824"/>
    <w:rsid w:val="00271A38"/>
    <w:rsid w:val="00273D05"/>
    <w:rsid w:val="0027499D"/>
    <w:rsid w:val="00275E58"/>
    <w:rsid w:val="00277813"/>
    <w:rsid w:val="00281435"/>
    <w:rsid w:val="00281577"/>
    <w:rsid w:val="002968C7"/>
    <w:rsid w:val="002978E6"/>
    <w:rsid w:val="002A13E0"/>
    <w:rsid w:val="002A31B1"/>
    <w:rsid w:val="002A6423"/>
    <w:rsid w:val="002A6C66"/>
    <w:rsid w:val="002B00D5"/>
    <w:rsid w:val="002B04CC"/>
    <w:rsid w:val="002B4BF7"/>
    <w:rsid w:val="002B5AE4"/>
    <w:rsid w:val="002B7374"/>
    <w:rsid w:val="002C061F"/>
    <w:rsid w:val="002C5E45"/>
    <w:rsid w:val="002C6DCA"/>
    <w:rsid w:val="002C7E5B"/>
    <w:rsid w:val="002D65E6"/>
    <w:rsid w:val="002E1942"/>
    <w:rsid w:val="002E1DFB"/>
    <w:rsid w:val="002E2175"/>
    <w:rsid w:val="002F3349"/>
    <w:rsid w:val="002F3D90"/>
    <w:rsid w:val="002F5701"/>
    <w:rsid w:val="002F7556"/>
    <w:rsid w:val="003113C0"/>
    <w:rsid w:val="00311A56"/>
    <w:rsid w:val="00312513"/>
    <w:rsid w:val="00312F83"/>
    <w:rsid w:val="003242C5"/>
    <w:rsid w:val="003278B5"/>
    <w:rsid w:val="00327E26"/>
    <w:rsid w:val="00330C04"/>
    <w:rsid w:val="003311DE"/>
    <w:rsid w:val="003312D0"/>
    <w:rsid w:val="00334862"/>
    <w:rsid w:val="003441F2"/>
    <w:rsid w:val="003508CA"/>
    <w:rsid w:val="0036055C"/>
    <w:rsid w:val="0036226B"/>
    <w:rsid w:val="00365224"/>
    <w:rsid w:val="003714AC"/>
    <w:rsid w:val="0038252D"/>
    <w:rsid w:val="003B43B7"/>
    <w:rsid w:val="003B759A"/>
    <w:rsid w:val="003C0F85"/>
    <w:rsid w:val="003C14CB"/>
    <w:rsid w:val="003C2862"/>
    <w:rsid w:val="003C535B"/>
    <w:rsid w:val="003C6A13"/>
    <w:rsid w:val="003D118D"/>
    <w:rsid w:val="003D1981"/>
    <w:rsid w:val="003D2AC0"/>
    <w:rsid w:val="003E630F"/>
    <w:rsid w:val="003F699D"/>
    <w:rsid w:val="00410E1B"/>
    <w:rsid w:val="00411071"/>
    <w:rsid w:val="004243B5"/>
    <w:rsid w:val="00432FA5"/>
    <w:rsid w:val="00436278"/>
    <w:rsid w:val="004402F2"/>
    <w:rsid w:val="00440878"/>
    <w:rsid w:val="00444A0A"/>
    <w:rsid w:val="004463D8"/>
    <w:rsid w:val="00452E86"/>
    <w:rsid w:val="00465631"/>
    <w:rsid w:val="00476060"/>
    <w:rsid w:val="00493E80"/>
    <w:rsid w:val="004A23CA"/>
    <w:rsid w:val="004A325E"/>
    <w:rsid w:val="004A3D54"/>
    <w:rsid w:val="004A4181"/>
    <w:rsid w:val="004A595D"/>
    <w:rsid w:val="004A73A5"/>
    <w:rsid w:val="004B03DA"/>
    <w:rsid w:val="004B2DF6"/>
    <w:rsid w:val="004B3E3F"/>
    <w:rsid w:val="004B4611"/>
    <w:rsid w:val="004B509B"/>
    <w:rsid w:val="004C2348"/>
    <w:rsid w:val="004C7E2D"/>
    <w:rsid w:val="004D6800"/>
    <w:rsid w:val="004E0C3F"/>
    <w:rsid w:val="004F0774"/>
    <w:rsid w:val="004F0D6F"/>
    <w:rsid w:val="005027E4"/>
    <w:rsid w:val="0051047E"/>
    <w:rsid w:val="00510D2D"/>
    <w:rsid w:val="005110B7"/>
    <w:rsid w:val="00511CAB"/>
    <w:rsid w:val="005173C8"/>
    <w:rsid w:val="00517AAC"/>
    <w:rsid w:val="005318DB"/>
    <w:rsid w:val="00531AF8"/>
    <w:rsid w:val="005351BB"/>
    <w:rsid w:val="00536293"/>
    <w:rsid w:val="005415FD"/>
    <w:rsid w:val="00541BBA"/>
    <w:rsid w:val="005440E2"/>
    <w:rsid w:val="00554D9B"/>
    <w:rsid w:val="005669AD"/>
    <w:rsid w:val="00572F9A"/>
    <w:rsid w:val="00577B46"/>
    <w:rsid w:val="00580C4F"/>
    <w:rsid w:val="00584CB0"/>
    <w:rsid w:val="005851B6"/>
    <w:rsid w:val="005852DD"/>
    <w:rsid w:val="005955E1"/>
    <w:rsid w:val="005B1FB2"/>
    <w:rsid w:val="005B3B5F"/>
    <w:rsid w:val="005B758E"/>
    <w:rsid w:val="005C00E6"/>
    <w:rsid w:val="005C3897"/>
    <w:rsid w:val="005D0841"/>
    <w:rsid w:val="005D097B"/>
    <w:rsid w:val="005D1263"/>
    <w:rsid w:val="005D152F"/>
    <w:rsid w:val="005D50B5"/>
    <w:rsid w:val="005D5601"/>
    <w:rsid w:val="005E3008"/>
    <w:rsid w:val="005E4DA4"/>
    <w:rsid w:val="005F646D"/>
    <w:rsid w:val="0060670E"/>
    <w:rsid w:val="00611CF2"/>
    <w:rsid w:val="00612F7C"/>
    <w:rsid w:val="006139AC"/>
    <w:rsid w:val="00613E7D"/>
    <w:rsid w:val="00614A5F"/>
    <w:rsid w:val="0061682A"/>
    <w:rsid w:val="006202B8"/>
    <w:rsid w:val="006265E9"/>
    <w:rsid w:val="00631BDA"/>
    <w:rsid w:val="00632FD2"/>
    <w:rsid w:val="00633F64"/>
    <w:rsid w:val="00634366"/>
    <w:rsid w:val="006350F9"/>
    <w:rsid w:val="0064282A"/>
    <w:rsid w:val="00643B0B"/>
    <w:rsid w:val="006453D7"/>
    <w:rsid w:val="006475C1"/>
    <w:rsid w:val="00652122"/>
    <w:rsid w:val="00653CE0"/>
    <w:rsid w:val="00660626"/>
    <w:rsid w:val="00666044"/>
    <w:rsid w:val="00667DDA"/>
    <w:rsid w:val="00682F78"/>
    <w:rsid w:val="006846DE"/>
    <w:rsid w:val="0069080B"/>
    <w:rsid w:val="00694642"/>
    <w:rsid w:val="006950A7"/>
    <w:rsid w:val="006A0701"/>
    <w:rsid w:val="006A3ACE"/>
    <w:rsid w:val="006A4589"/>
    <w:rsid w:val="006B2C32"/>
    <w:rsid w:val="006B3839"/>
    <w:rsid w:val="006B3B6E"/>
    <w:rsid w:val="006B6E69"/>
    <w:rsid w:val="006C16E8"/>
    <w:rsid w:val="006C34A4"/>
    <w:rsid w:val="006C3DF7"/>
    <w:rsid w:val="006C5272"/>
    <w:rsid w:val="006D6195"/>
    <w:rsid w:val="006D6492"/>
    <w:rsid w:val="006D6A01"/>
    <w:rsid w:val="006E03C5"/>
    <w:rsid w:val="006E0A03"/>
    <w:rsid w:val="006F1DA5"/>
    <w:rsid w:val="006F7E29"/>
    <w:rsid w:val="00701486"/>
    <w:rsid w:val="00707DAA"/>
    <w:rsid w:val="007103AD"/>
    <w:rsid w:val="0072096A"/>
    <w:rsid w:val="00721B2D"/>
    <w:rsid w:val="00723BBE"/>
    <w:rsid w:val="00730ED1"/>
    <w:rsid w:val="00731062"/>
    <w:rsid w:val="00733857"/>
    <w:rsid w:val="007361DA"/>
    <w:rsid w:val="00737D01"/>
    <w:rsid w:val="00740610"/>
    <w:rsid w:val="00743771"/>
    <w:rsid w:val="00744114"/>
    <w:rsid w:val="007527B0"/>
    <w:rsid w:val="00762132"/>
    <w:rsid w:val="00763F44"/>
    <w:rsid w:val="0077111B"/>
    <w:rsid w:val="00771121"/>
    <w:rsid w:val="00771839"/>
    <w:rsid w:val="00772521"/>
    <w:rsid w:val="00776AAA"/>
    <w:rsid w:val="0078370F"/>
    <w:rsid w:val="00787CB4"/>
    <w:rsid w:val="007909C5"/>
    <w:rsid w:val="00796659"/>
    <w:rsid w:val="00796BEC"/>
    <w:rsid w:val="007A3630"/>
    <w:rsid w:val="007A4E3C"/>
    <w:rsid w:val="007A51A7"/>
    <w:rsid w:val="007B0968"/>
    <w:rsid w:val="007B44A5"/>
    <w:rsid w:val="007B4D61"/>
    <w:rsid w:val="007B69BE"/>
    <w:rsid w:val="007B7489"/>
    <w:rsid w:val="007C0112"/>
    <w:rsid w:val="007C2259"/>
    <w:rsid w:val="007C490C"/>
    <w:rsid w:val="007C526D"/>
    <w:rsid w:val="007C5B9F"/>
    <w:rsid w:val="007D30CD"/>
    <w:rsid w:val="007D60CA"/>
    <w:rsid w:val="007D65F8"/>
    <w:rsid w:val="007E2A2E"/>
    <w:rsid w:val="007E6A1C"/>
    <w:rsid w:val="007E750D"/>
    <w:rsid w:val="0080254E"/>
    <w:rsid w:val="00802CFC"/>
    <w:rsid w:val="00803D3D"/>
    <w:rsid w:val="0080640C"/>
    <w:rsid w:val="00810023"/>
    <w:rsid w:val="00813F60"/>
    <w:rsid w:val="00815A8D"/>
    <w:rsid w:val="00816F6C"/>
    <w:rsid w:val="00822E93"/>
    <w:rsid w:val="00822EED"/>
    <w:rsid w:val="00823A61"/>
    <w:rsid w:val="00825322"/>
    <w:rsid w:val="00825806"/>
    <w:rsid w:val="00827A95"/>
    <w:rsid w:val="00831F4E"/>
    <w:rsid w:val="00840372"/>
    <w:rsid w:val="00844CC6"/>
    <w:rsid w:val="008452E3"/>
    <w:rsid w:val="00846433"/>
    <w:rsid w:val="00846A7C"/>
    <w:rsid w:val="00853E51"/>
    <w:rsid w:val="00857D68"/>
    <w:rsid w:val="00863044"/>
    <w:rsid w:val="008715C8"/>
    <w:rsid w:val="008726C3"/>
    <w:rsid w:val="0087689A"/>
    <w:rsid w:val="008819FF"/>
    <w:rsid w:val="00884EB7"/>
    <w:rsid w:val="00886E96"/>
    <w:rsid w:val="008920CA"/>
    <w:rsid w:val="008931A2"/>
    <w:rsid w:val="008951DF"/>
    <w:rsid w:val="008A02EA"/>
    <w:rsid w:val="008A1C2E"/>
    <w:rsid w:val="008C0D36"/>
    <w:rsid w:val="008C75D5"/>
    <w:rsid w:val="008D0852"/>
    <w:rsid w:val="008D3292"/>
    <w:rsid w:val="008D506F"/>
    <w:rsid w:val="008D6464"/>
    <w:rsid w:val="008E6584"/>
    <w:rsid w:val="008F46FE"/>
    <w:rsid w:val="008F4780"/>
    <w:rsid w:val="00914BDB"/>
    <w:rsid w:val="00921B8D"/>
    <w:rsid w:val="009265AB"/>
    <w:rsid w:val="009303DD"/>
    <w:rsid w:val="00931683"/>
    <w:rsid w:val="00931DE7"/>
    <w:rsid w:val="009367B5"/>
    <w:rsid w:val="009400E2"/>
    <w:rsid w:val="00943809"/>
    <w:rsid w:val="009453B1"/>
    <w:rsid w:val="009465E7"/>
    <w:rsid w:val="00951840"/>
    <w:rsid w:val="00953086"/>
    <w:rsid w:val="00953BA0"/>
    <w:rsid w:val="00957599"/>
    <w:rsid w:val="00960DD4"/>
    <w:rsid w:val="00961D41"/>
    <w:rsid w:val="00963A92"/>
    <w:rsid w:val="009653D4"/>
    <w:rsid w:val="009711E9"/>
    <w:rsid w:val="0097705B"/>
    <w:rsid w:val="00981416"/>
    <w:rsid w:val="009846CE"/>
    <w:rsid w:val="009900CC"/>
    <w:rsid w:val="009909D8"/>
    <w:rsid w:val="00992B3C"/>
    <w:rsid w:val="00992D83"/>
    <w:rsid w:val="009A0221"/>
    <w:rsid w:val="009A0E41"/>
    <w:rsid w:val="009A293F"/>
    <w:rsid w:val="009A2B77"/>
    <w:rsid w:val="009A5447"/>
    <w:rsid w:val="009B20C1"/>
    <w:rsid w:val="009B27C1"/>
    <w:rsid w:val="009C13BA"/>
    <w:rsid w:val="009E1AB4"/>
    <w:rsid w:val="009E34AF"/>
    <w:rsid w:val="009E35FA"/>
    <w:rsid w:val="009F0F10"/>
    <w:rsid w:val="009F77C9"/>
    <w:rsid w:val="009F7F85"/>
    <w:rsid w:val="00A03048"/>
    <w:rsid w:val="00A1411F"/>
    <w:rsid w:val="00A20830"/>
    <w:rsid w:val="00A214A9"/>
    <w:rsid w:val="00A250B5"/>
    <w:rsid w:val="00A25285"/>
    <w:rsid w:val="00A27923"/>
    <w:rsid w:val="00A339DF"/>
    <w:rsid w:val="00A34300"/>
    <w:rsid w:val="00A42C3A"/>
    <w:rsid w:val="00A4307A"/>
    <w:rsid w:val="00A50CCA"/>
    <w:rsid w:val="00A64E6B"/>
    <w:rsid w:val="00A776D2"/>
    <w:rsid w:val="00A77EAD"/>
    <w:rsid w:val="00A821E8"/>
    <w:rsid w:val="00A854A8"/>
    <w:rsid w:val="00A867FD"/>
    <w:rsid w:val="00A90386"/>
    <w:rsid w:val="00A90390"/>
    <w:rsid w:val="00A92D9B"/>
    <w:rsid w:val="00A979A1"/>
    <w:rsid w:val="00AA06EB"/>
    <w:rsid w:val="00AA55F5"/>
    <w:rsid w:val="00AB611E"/>
    <w:rsid w:val="00AC3BC7"/>
    <w:rsid w:val="00AC5E27"/>
    <w:rsid w:val="00AD4C26"/>
    <w:rsid w:val="00AD64C0"/>
    <w:rsid w:val="00AD7CBC"/>
    <w:rsid w:val="00AE29A4"/>
    <w:rsid w:val="00AE76D0"/>
    <w:rsid w:val="00AE7C74"/>
    <w:rsid w:val="00AF0626"/>
    <w:rsid w:val="00AF10D2"/>
    <w:rsid w:val="00AF42FD"/>
    <w:rsid w:val="00B03367"/>
    <w:rsid w:val="00B06A46"/>
    <w:rsid w:val="00B0719B"/>
    <w:rsid w:val="00B10720"/>
    <w:rsid w:val="00B1353E"/>
    <w:rsid w:val="00B230B8"/>
    <w:rsid w:val="00B23584"/>
    <w:rsid w:val="00B25FF4"/>
    <w:rsid w:val="00B302EB"/>
    <w:rsid w:val="00B32DFE"/>
    <w:rsid w:val="00B355C0"/>
    <w:rsid w:val="00B40DD8"/>
    <w:rsid w:val="00B47E46"/>
    <w:rsid w:val="00B50F7B"/>
    <w:rsid w:val="00B51ECA"/>
    <w:rsid w:val="00B563D0"/>
    <w:rsid w:val="00B57017"/>
    <w:rsid w:val="00B664CE"/>
    <w:rsid w:val="00B67E5D"/>
    <w:rsid w:val="00B70866"/>
    <w:rsid w:val="00B81C36"/>
    <w:rsid w:val="00B86132"/>
    <w:rsid w:val="00B870A3"/>
    <w:rsid w:val="00B96141"/>
    <w:rsid w:val="00B97649"/>
    <w:rsid w:val="00BA6CA4"/>
    <w:rsid w:val="00BB48C7"/>
    <w:rsid w:val="00BB5792"/>
    <w:rsid w:val="00BB6E3D"/>
    <w:rsid w:val="00BC5DA2"/>
    <w:rsid w:val="00BD1EF0"/>
    <w:rsid w:val="00BD4150"/>
    <w:rsid w:val="00BD461E"/>
    <w:rsid w:val="00BE0AEB"/>
    <w:rsid w:val="00BE718E"/>
    <w:rsid w:val="00C03CB9"/>
    <w:rsid w:val="00C064A9"/>
    <w:rsid w:val="00C1363A"/>
    <w:rsid w:val="00C21DC7"/>
    <w:rsid w:val="00C23961"/>
    <w:rsid w:val="00C258D9"/>
    <w:rsid w:val="00C264B7"/>
    <w:rsid w:val="00C34D17"/>
    <w:rsid w:val="00C44A0D"/>
    <w:rsid w:val="00C46C21"/>
    <w:rsid w:val="00C53B9B"/>
    <w:rsid w:val="00C54021"/>
    <w:rsid w:val="00C61384"/>
    <w:rsid w:val="00C62507"/>
    <w:rsid w:val="00C64762"/>
    <w:rsid w:val="00C746A3"/>
    <w:rsid w:val="00C77ADD"/>
    <w:rsid w:val="00C82124"/>
    <w:rsid w:val="00C8324B"/>
    <w:rsid w:val="00C83D93"/>
    <w:rsid w:val="00C84991"/>
    <w:rsid w:val="00C85494"/>
    <w:rsid w:val="00C90B72"/>
    <w:rsid w:val="00C93C98"/>
    <w:rsid w:val="00C96E6E"/>
    <w:rsid w:val="00CA5306"/>
    <w:rsid w:val="00CA7681"/>
    <w:rsid w:val="00CA76D0"/>
    <w:rsid w:val="00CB2CCC"/>
    <w:rsid w:val="00CC203B"/>
    <w:rsid w:val="00CC7528"/>
    <w:rsid w:val="00CD1CB6"/>
    <w:rsid w:val="00CD60B6"/>
    <w:rsid w:val="00CD6595"/>
    <w:rsid w:val="00CE292B"/>
    <w:rsid w:val="00CE2A51"/>
    <w:rsid w:val="00CE4D5C"/>
    <w:rsid w:val="00CF28D5"/>
    <w:rsid w:val="00CF727B"/>
    <w:rsid w:val="00D04079"/>
    <w:rsid w:val="00D060B4"/>
    <w:rsid w:val="00D06155"/>
    <w:rsid w:val="00D06FF1"/>
    <w:rsid w:val="00D07E69"/>
    <w:rsid w:val="00D17644"/>
    <w:rsid w:val="00D20E31"/>
    <w:rsid w:val="00D2164E"/>
    <w:rsid w:val="00D22E72"/>
    <w:rsid w:val="00D23F6D"/>
    <w:rsid w:val="00D24889"/>
    <w:rsid w:val="00D440B6"/>
    <w:rsid w:val="00D50C70"/>
    <w:rsid w:val="00D50CC4"/>
    <w:rsid w:val="00D51475"/>
    <w:rsid w:val="00D56492"/>
    <w:rsid w:val="00D57ADA"/>
    <w:rsid w:val="00D643B4"/>
    <w:rsid w:val="00D64C62"/>
    <w:rsid w:val="00D65776"/>
    <w:rsid w:val="00D65FF9"/>
    <w:rsid w:val="00D66FEA"/>
    <w:rsid w:val="00D6757B"/>
    <w:rsid w:val="00D6762C"/>
    <w:rsid w:val="00D74742"/>
    <w:rsid w:val="00D764DA"/>
    <w:rsid w:val="00D86709"/>
    <w:rsid w:val="00D87851"/>
    <w:rsid w:val="00D901F9"/>
    <w:rsid w:val="00D93A46"/>
    <w:rsid w:val="00D947BF"/>
    <w:rsid w:val="00DA0933"/>
    <w:rsid w:val="00DA1CC3"/>
    <w:rsid w:val="00DA53BA"/>
    <w:rsid w:val="00DB487E"/>
    <w:rsid w:val="00DC5955"/>
    <w:rsid w:val="00DC6701"/>
    <w:rsid w:val="00DD01C6"/>
    <w:rsid w:val="00DD5244"/>
    <w:rsid w:val="00DD6A8C"/>
    <w:rsid w:val="00DD6FCC"/>
    <w:rsid w:val="00DE5BC1"/>
    <w:rsid w:val="00DE7818"/>
    <w:rsid w:val="00DF205C"/>
    <w:rsid w:val="00DF573E"/>
    <w:rsid w:val="00DF5DE7"/>
    <w:rsid w:val="00E00918"/>
    <w:rsid w:val="00E0635D"/>
    <w:rsid w:val="00E0682A"/>
    <w:rsid w:val="00E11B76"/>
    <w:rsid w:val="00E13B18"/>
    <w:rsid w:val="00E16A89"/>
    <w:rsid w:val="00E20C1D"/>
    <w:rsid w:val="00E235C2"/>
    <w:rsid w:val="00E33127"/>
    <w:rsid w:val="00E3762F"/>
    <w:rsid w:val="00E45F6A"/>
    <w:rsid w:val="00E47B7E"/>
    <w:rsid w:val="00E62510"/>
    <w:rsid w:val="00E67164"/>
    <w:rsid w:val="00E67E02"/>
    <w:rsid w:val="00E7153E"/>
    <w:rsid w:val="00E809AE"/>
    <w:rsid w:val="00E81105"/>
    <w:rsid w:val="00E82231"/>
    <w:rsid w:val="00E83354"/>
    <w:rsid w:val="00E84779"/>
    <w:rsid w:val="00E9166A"/>
    <w:rsid w:val="00E96550"/>
    <w:rsid w:val="00EA021D"/>
    <w:rsid w:val="00EA4210"/>
    <w:rsid w:val="00EA6535"/>
    <w:rsid w:val="00EA7C2F"/>
    <w:rsid w:val="00EB076B"/>
    <w:rsid w:val="00EB3343"/>
    <w:rsid w:val="00EC071E"/>
    <w:rsid w:val="00EC45C9"/>
    <w:rsid w:val="00EC71DF"/>
    <w:rsid w:val="00ED096A"/>
    <w:rsid w:val="00ED1665"/>
    <w:rsid w:val="00ED197D"/>
    <w:rsid w:val="00ED1B6D"/>
    <w:rsid w:val="00ED36E8"/>
    <w:rsid w:val="00ED6E1A"/>
    <w:rsid w:val="00EE5696"/>
    <w:rsid w:val="00EE7E06"/>
    <w:rsid w:val="00EF56FB"/>
    <w:rsid w:val="00F013B3"/>
    <w:rsid w:val="00F03129"/>
    <w:rsid w:val="00F032E2"/>
    <w:rsid w:val="00F11B4E"/>
    <w:rsid w:val="00F12C10"/>
    <w:rsid w:val="00F12C5F"/>
    <w:rsid w:val="00F166CB"/>
    <w:rsid w:val="00F2155E"/>
    <w:rsid w:val="00F25AEA"/>
    <w:rsid w:val="00F2752E"/>
    <w:rsid w:val="00F2785A"/>
    <w:rsid w:val="00F3487C"/>
    <w:rsid w:val="00F40A06"/>
    <w:rsid w:val="00F4135F"/>
    <w:rsid w:val="00F41C97"/>
    <w:rsid w:val="00F420A0"/>
    <w:rsid w:val="00F42C64"/>
    <w:rsid w:val="00F431AF"/>
    <w:rsid w:val="00F46E10"/>
    <w:rsid w:val="00F626CC"/>
    <w:rsid w:val="00F62899"/>
    <w:rsid w:val="00F754F8"/>
    <w:rsid w:val="00F80EBA"/>
    <w:rsid w:val="00F81940"/>
    <w:rsid w:val="00F8280C"/>
    <w:rsid w:val="00F82D9D"/>
    <w:rsid w:val="00F93BBA"/>
    <w:rsid w:val="00FA00D1"/>
    <w:rsid w:val="00FA3B31"/>
    <w:rsid w:val="00FA4940"/>
    <w:rsid w:val="00FB1CEA"/>
    <w:rsid w:val="00FB23ED"/>
    <w:rsid w:val="00FB7CF8"/>
    <w:rsid w:val="00FC1D7B"/>
    <w:rsid w:val="00FC7E7E"/>
    <w:rsid w:val="00FD214F"/>
    <w:rsid w:val="00FD3ED7"/>
    <w:rsid w:val="00FD69E2"/>
    <w:rsid w:val="00FE46D6"/>
    <w:rsid w:val="00FF55AC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D6FCC"/>
    <w:rPr>
      <w:vertAlign w:val="superscript"/>
    </w:rPr>
  </w:style>
  <w:style w:type="paragraph" w:styleId="NoSpacing">
    <w:name w:val="No Spacing"/>
    <w:uiPriority w:val="1"/>
    <w:qFormat/>
    <w:rsid w:val="00DD6FCC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D6FCC"/>
    <w:rPr>
      <w:vertAlign w:val="superscript"/>
    </w:rPr>
  </w:style>
  <w:style w:type="paragraph" w:styleId="NoSpacing">
    <w:name w:val="No Spacing"/>
    <w:uiPriority w:val="1"/>
    <w:qFormat/>
    <w:rsid w:val="00DD6FCC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E1A25-58EA-4F90-9164-6D9A62675D29}"/>
</file>

<file path=customXml/itemProps2.xml><?xml version="1.0" encoding="utf-8"?>
<ds:datastoreItem xmlns:ds="http://schemas.openxmlformats.org/officeDocument/2006/customXml" ds:itemID="{5DA91E50-4F6E-440F-9C2F-2EF2E076BFBB}"/>
</file>

<file path=customXml/itemProps3.xml><?xml version="1.0" encoding="utf-8"?>
<ds:datastoreItem xmlns:ds="http://schemas.openxmlformats.org/officeDocument/2006/customXml" ds:itemID="{AE4C9957-8306-40AD-8E03-9A561138A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A Reserve Bank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JansenVanRensburg</dc:creator>
  <cp:lastModifiedBy>Yvonne JansenVanRensburg</cp:lastModifiedBy>
  <cp:revision>1</cp:revision>
  <cp:lastPrinted>2016-11-24T06:06:00Z</cp:lastPrinted>
  <dcterms:created xsi:type="dcterms:W3CDTF">2016-11-24T05:28:00Z</dcterms:created>
  <dcterms:modified xsi:type="dcterms:W3CDTF">2016-11-24T06:07:00Z</dcterms:modified>
</cp:coreProperties>
</file>